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rawings/drawing1.xml" ContentType="application/vnd.openxmlformats-officedocument.drawingml.chartshapes+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chart8.xml" ContentType="application/vnd.openxmlformats-officedocument.drawingml.chart+xml"/>
  <Override PartName="/word/charts/chart5.xml" ContentType="application/vnd.openxmlformats-officedocument.drawingml.chart+xml"/>
  <Override PartName="/word/charts/chart7.xml" ContentType="application/vnd.openxmlformats-officedocument.drawingml.chart+xml"/>
  <Override PartName="/word/charts/chart6.xml" ContentType="application/vnd.openxmlformats-officedocument.drawingml.chart+xml"/>
  <Override PartName="/word/charts/chart9.xml" ContentType="application/vnd.openxmlformats-officedocument.drawingml.chart+xml"/>
  <Override PartName="/word/charts/chart4.xml" ContentType="application/vnd.openxmlformats-officedocument.drawingml.chart+xml"/>
  <Override PartName="/word/theme/theme1.xml" ContentType="application/vnd.openxmlformats-officedocument.theme+xml"/>
  <Override PartName="/word/charts/chart10.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4C1" w:rsidRPr="0029650D" w:rsidRDefault="002C6903" w:rsidP="002C6903">
      <w:pPr>
        <w:pStyle w:val="Default"/>
        <w:tabs>
          <w:tab w:val="left" w:pos="3969"/>
        </w:tabs>
        <w:jc w:val="center"/>
        <w:rPr>
          <w:rFonts w:ascii="Verdana" w:hAnsi="Verdana"/>
          <w:sz w:val="36"/>
          <w:szCs w:val="36"/>
        </w:rPr>
      </w:pPr>
      <w:r w:rsidRPr="002C6903">
        <w:rPr>
          <w:rFonts w:ascii="Verdana" w:hAnsi="Verdana"/>
          <w:noProof/>
          <w:sz w:val="36"/>
          <w:szCs w:val="36"/>
          <w:lang w:eastAsia="es-CO"/>
        </w:rPr>
        <w:drawing>
          <wp:inline distT="0" distB="0" distL="0" distR="0">
            <wp:extent cx="5612130" cy="1294765"/>
            <wp:effectExtent l="19050" t="0" r="7620" b="0"/>
            <wp:docPr id="7" name="Imagen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cstate="print"/>
                    <a:srcRect l="21208" t="38187" r="21207" b="44094"/>
                    <a:stretch>
                      <a:fillRect/>
                    </a:stretch>
                  </pic:blipFill>
                  <pic:spPr bwMode="auto">
                    <a:xfrm>
                      <a:off x="0" y="0"/>
                      <a:ext cx="5612130" cy="1294765"/>
                    </a:xfrm>
                    <a:prstGeom prst="rect">
                      <a:avLst/>
                    </a:prstGeom>
                    <a:noFill/>
                    <a:ln w="9525">
                      <a:noFill/>
                      <a:miter lim="800000"/>
                      <a:headEnd/>
                      <a:tailEnd/>
                    </a:ln>
                  </pic:spPr>
                </pic:pic>
              </a:graphicData>
            </a:graphic>
          </wp:inline>
        </w:drawing>
      </w:r>
    </w:p>
    <w:p w:rsidR="001404C1" w:rsidRPr="0029650D" w:rsidRDefault="001404C1" w:rsidP="001404C1">
      <w:pPr>
        <w:pStyle w:val="Default"/>
        <w:rPr>
          <w:rFonts w:ascii="Verdana" w:hAnsi="Verdana"/>
          <w:b/>
          <w:bCs/>
          <w:sz w:val="36"/>
          <w:szCs w:val="36"/>
        </w:rPr>
      </w:pPr>
    </w:p>
    <w:p w:rsidR="00D7691A" w:rsidRPr="0029650D" w:rsidRDefault="00D7691A" w:rsidP="001404C1">
      <w:pPr>
        <w:pStyle w:val="Default"/>
        <w:jc w:val="center"/>
        <w:rPr>
          <w:rFonts w:ascii="Verdana" w:hAnsi="Verdana"/>
          <w:b/>
          <w:bCs/>
          <w:sz w:val="36"/>
          <w:szCs w:val="36"/>
        </w:rPr>
      </w:pPr>
    </w:p>
    <w:p w:rsidR="00D7691A" w:rsidRPr="0029650D" w:rsidRDefault="00D7691A" w:rsidP="001404C1">
      <w:pPr>
        <w:pStyle w:val="Default"/>
        <w:jc w:val="center"/>
        <w:rPr>
          <w:rFonts w:ascii="Verdana" w:hAnsi="Verdana"/>
          <w:b/>
          <w:bCs/>
          <w:sz w:val="36"/>
          <w:szCs w:val="36"/>
        </w:rPr>
      </w:pPr>
    </w:p>
    <w:p w:rsidR="001404C1" w:rsidRPr="008673D2" w:rsidRDefault="001404C1" w:rsidP="001404C1">
      <w:pPr>
        <w:pStyle w:val="Default"/>
        <w:jc w:val="center"/>
        <w:rPr>
          <w:rFonts w:ascii="Verdana" w:hAnsi="Verdana"/>
          <w:color w:val="1F497D" w:themeColor="text2"/>
          <w:sz w:val="36"/>
          <w:szCs w:val="36"/>
        </w:rPr>
      </w:pPr>
      <w:r w:rsidRPr="008673D2">
        <w:rPr>
          <w:rFonts w:ascii="Verdana" w:hAnsi="Verdana"/>
          <w:b/>
          <w:bCs/>
          <w:color w:val="1F497D" w:themeColor="text2"/>
          <w:sz w:val="36"/>
          <w:szCs w:val="36"/>
        </w:rPr>
        <w:t xml:space="preserve">INFORME DE </w:t>
      </w:r>
      <w:r w:rsidR="0029650D" w:rsidRPr="008673D2">
        <w:rPr>
          <w:rFonts w:ascii="Verdana" w:hAnsi="Verdana"/>
          <w:b/>
          <w:bCs/>
          <w:color w:val="1F497D" w:themeColor="text2"/>
          <w:sz w:val="36"/>
          <w:szCs w:val="36"/>
        </w:rPr>
        <w:t xml:space="preserve">GESTIÓN SECTORIAL </w:t>
      </w:r>
      <w:r w:rsidRPr="008673D2">
        <w:rPr>
          <w:rFonts w:ascii="Verdana" w:hAnsi="Verdana"/>
          <w:b/>
          <w:bCs/>
          <w:color w:val="1F497D" w:themeColor="text2"/>
          <w:sz w:val="36"/>
          <w:szCs w:val="36"/>
        </w:rPr>
        <w:t>201</w:t>
      </w:r>
      <w:r w:rsidR="0029650D" w:rsidRPr="008673D2">
        <w:rPr>
          <w:rFonts w:ascii="Verdana" w:hAnsi="Verdana"/>
          <w:b/>
          <w:bCs/>
          <w:color w:val="1F497D" w:themeColor="text2"/>
          <w:sz w:val="36"/>
          <w:szCs w:val="36"/>
        </w:rPr>
        <w:t>4</w:t>
      </w:r>
    </w:p>
    <w:p w:rsidR="001404C1" w:rsidRDefault="001404C1" w:rsidP="001404C1">
      <w:pPr>
        <w:pStyle w:val="Default"/>
        <w:jc w:val="center"/>
        <w:rPr>
          <w:rFonts w:ascii="Verdana" w:hAnsi="Verdana"/>
          <w:b/>
          <w:bCs/>
          <w:color w:val="1F497D" w:themeColor="text2"/>
          <w:sz w:val="36"/>
          <w:szCs w:val="36"/>
        </w:rPr>
      </w:pPr>
    </w:p>
    <w:p w:rsidR="008673D2" w:rsidRPr="008673D2" w:rsidRDefault="008673D2" w:rsidP="001404C1">
      <w:pPr>
        <w:pStyle w:val="Default"/>
        <w:jc w:val="center"/>
        <w:rPr>
          <w:rFonts w:ascii="Verdana" w:hAnsi="Verdana"/>
          <w:b/>
          <w:bCs/>
          <w:color w:val="1F497D" w:themeColor="text2"/>
          <w:sz w:val="36"/>
          <w:szCs w:val="36"/>
        </w:rPr>
      </w:pPr>
    </w:p>
    <w:p w:rsidR="001404C1" w:rsidRPr="008673D2" w:rsidRDefault="001404C1" w:rsidP="001404C1">
      <w:pPr>
        <w:pStyle w:val="Default"/>
        <w:jc w:val="center"/>
        <w:rPr>
          <w:rFonts w:ascii="Verdana" w:hAnsi="Verdana"/>
          <w:b/>
          <w:bCs/>
          <w:color w:val="1F497D" w:themeColor="text2"/>
          <w:sz w:val="36"/>
          <w:szCs w:val="36"/>
        </w:rPr>
      </w:pPr>
    </w:p>
    <w:p w:rsidR="001404C1" w:rsidRPr="008673D2" w:rsidRDefault="001404C1" w:rsidP="001404C1">
      <w:pPr>
        <w:pStyle w:val="Default"/>
        <w:jc w:val="center"/>
        <w:rPr>
          <w:rFonts w:ascii="Verdana" w:hAnsi="Verdana"/>
          <w:b/>
          <w:bCs/>
          <w:color w:val="1F497D" w:themeColor="text2"/>
          <w:sz w:val="36"/>
          <w:szCs w:val="36"/>
        </w:rPr>
      </w:pPr>
    </w:p>
    <w:p w:rsidR="00D7691A" w:rsidRPr="008673D2" w:rsidRDefault="001404C1" w:rsidP="001404C1">
      <w:pPr>
        <w:pStyle w:val="Default"/>
        <w:jc w:val="center"/>
        <w:rPr>
          <w:rFonts w:ascii="Verdana" w:hAnsi="Verdana"/>
          <w:b/>
          <w:bCs/>
          <w:color w:val="1F497D" w:themeColor="text2"/>
          <w:sz w:val="36"/>
          <w:szCs w:val="36"/>
        </w:rPr>
      </w:pPr>
      <w:r w:rsidRPr="008673D2">
        <w:rPr>
          <w:rFonts w:ascii="Verdana" w:hAnsi="Verdana"/>
          <w:b/>
          <w:bCs/>
          <w:color w:val="1F497D" w:themeColor="text2"/>
          <w:sz w:val="36"/>
          <w:szCs w:val="36"/>
        </w:rPr>
        <w:t xml:space="preserve">SECTOR DE LA INCLUSIÓN SOCIAL </w:t>
      </w:r>
    </w:p>
    <w:p w:rsidR="001404C1" w:rsidRPr="008673D2" w:rsidRDefault="001404C1" w:rsidP="001404C1">
      <w:pPr>
        <w:pStyle w:val="Default"/>
        <w:jc w:val="center"/>
        <w:rPr>
          <w:rFonts w:ascii="Verdana" w:hAnsi="Verdana"/>
          <w:color w:val="1F497D" w:themeColor="text2"/>
          <w:sz w:val="36"/>
          <w:szCs w:val="36"/>
        </w:rPr>
      </w:pPr>
      <w:r w:rsidRPr="008673D2">
        <w:rPr>
          <w:rFonts w:ascii="Verdana" w:hAnsi="Verdana"/>
          <w:b/>
          <w:bCs/>
          <w:color w:val="1F497D" w:themeColor="text2"/>
          <w:sz w:val="36"/>
          <w:szCs w:val="36"/>
        </w:rPr>
        <w:t>Y LA RECONCILIACIÓN</w:t>
      </w:r>
    </w:p>
    <w:p w:rsidR="008673D2" w:rsidRPr="008673D2" w:rsidRDefault="008673D2" w:rsidP="001404C1">
      <w:pPr>
        <w:pStyle w:val="Default"/>
        <w:jc w:val="center"/>
        <w:rPr>
          <w:rFonts w:ascii="Verdana" w:hAnsi="Verdana"/>
          <w:b/>
          <w:bCs/>
          <w:color w:val="1F497D" w:themeColor="text2"/>
          <w:sz w:val="36"/>
          <w:szCs w:val="36"/>
        </w:rPr>
      </w:pPr>
    </w:p>
    <w:p w:rsidR="001404C1" w:rsidRPr="008673D2" w:rsidRDefault="001404C1" w:rsidP="001404C1">
      <w:pPr>
        <w:pStyle w:val="Default"/>
        <w:jc w:val="center"/>
        <w:rPr>
          <w:rFonts w:ascii="Verdana" w:hAnsi="Verdana"/>
          <w:b/>
          <w:bCs/>
          <w:color w:val="1F497D" w:themeColor="text2"/>
          <w:sz w:val="36"/>
          <w:szCs w:val="36"/>
        </w:rPr>
      </w:pPr>
    </w:p>
    <w:p w:rsidR="001404C1" w:rsidRPr="008673D2" w:rsidRDefault="001404C1" w:rsidP="001404C1">
      <w:pPr>
        <w:pStyle w:val="Default"/>
        <w:jc w:val="center"/>
        <w:rPr>
          <w:rFonts w:ascii="Verdana" w:hAnsi="Verdana"/>
          <w:b/>
          <w:bCs/>
          <w:color w:val="1F497D" w:themeColor="text2"/>
          <w:sz w:val="36"/>
          <w:szCs w:val="36"/>
        </w:rPr>
      </w:pPr>
    </w:p>
    <w:p w:rsidR="001404C1" w:rsidRPr="008673D2" w:rsidRDefault="001404C1" w:rsidP="001404C1">
      <w:pPr>
        <w:pStyle w:val="Default"/>
        <w:jc w:val="center"/>
        <w:rPr>
          <w:rFonts w:ascii="Verdana" w:hAnsi="Verdana"/>
          <w:b/>
          <w:bCs/>
          <w:color w:val="1F497D" w:themeColor="text2"/>
          <w:sz w:val="36"/>
          <w:szCs w:val="36"/>
        </w:rPr>
      </w:pPr>
    </w:p>
    <w:p w:rsidR="001404C1" w:rsidRPr="008673D2" w:rsidRDefault="001404C1" w:rsidP="001404C1">
      <w:pPr>
        <w:pStyle w:val="Default"/>
        <w:jc w:val="center"/>
        <w:rPr>
          <w:rFonts w:ascii="Verdana" w:hAnsi="Verdana"/>
          <w:color w:val="1F497D" w:themeColor="text2"/>
          <w:sz w:val="36"/>
          <w:szCs w:val="36"/>
        </w:rPr>
      </w:pPr>
      <w:r w:rsidRPr="008673D2">
        <w:rPr>
          <w:rFonts w:ascii="Verdana" w:hAnsi="Verdana"/>
          <w:b/>
          <w:bCs/>
          <w:color w:val="1F497D" w:themeColor="text2"/>
          <w:sz w:val="36"/>
          <w:szCs w:val="36"/>
        </w:rPr>
        <w:t>AUDIENCIA PÚBLICA DE RENDICIÓN DE CUENTAS</w:t>
      </w:r>
    </w:p>
    <w:p w:rsidR="001404C1" w:rsidRDefault="001404C1" w:rsidP="001404C1">
      <w:pPr>
        <w:jc w:val="center"/>
        <w:rPr>
          <w:rFonts w:ascii="Verdana" w:hAnsi="Verdana"/>
          <w:b/>
          <w:bCs/>
          <w:color w:val="1F497D" w:themeColor="text2"/>
          <w:sz w:val="36"/>
          <w:szCs w:val="36"/>
        </w:rPr>
      </w:pPr>
    </w:p>
    <w:p w:rsidR="00D509E5" w:rsidRPr="008673D2" w:rsidRDefault="00D509E5" w:rsidP="001404C1">
      <w:pPr>
        <w:jc w:val="center"/>
        <w:rPr>
          <w:rFonts w:ascii="Verdana" w:hAnsi="Verdana"/>
          <w:b/>
          <w:bCs/>
          <w:color w:val="1F497D" w:themeColor="text2"/>
          <w:sz w:val="36"/>
          <w:szCs w:val="36"/>
        </w:rPr>
      </w:pPr>
    </w:p>
    <w:p w:rsidR="00DA252E" w:rsidRPr="008673D2" w:rsidRDefault="0029650D" w:rsidP="001404C1">
      <w:pPr>
        <w:jc w:val="center"/>
        <w:rPr>
          <w:rFonts w:ascii="Verdana" w:hAnsi="Verdana"/>
          <w:b/>
          <w:bCs/>
          <w:color w:val="1F497D" w:themeColor="text2"/>
          <w:sz w:val="36"/>
          <w:szCs w:val="36"/>
        </w:rPr>
      </w:pPr>
      <w:r w:rsidRPr="008673D2">
        <w:rPr>
          <w:rFonts w:ascii="Verdana" w:hAnsi="Verdana"/>
          <w:b/>
          <w:bCs/>
          <w:noProof/>
          <w:color w:val="1F497D" w:themeColor="text2"/>
          <w:sz w:val="36"/>
          <w:szCs w:val="36"/>
          <w:lang w:eastAsia="es-CO"/>
        </w:rPr>
        <w:drawing>
          <wp:anchor distT="0" distB="0" distL="114300" distR="114300" simplePos="0" relativeHeight="251659264" behindDoc="0" locked="0" layoutInCell="1" allowOverlap="1">
            <wp:simplePos x="0" y="0"/>
            <wp:positionH relativeFrom="column">
              <wp:posOffset>481965</wp:posOffset>
            </wp:positionH>
            <wp:positionV relativeFrom="paragraph">
              <wp:posOffset>427990</wp:posOffset>
            </wp:positionV>
            <wp:extent cx="501650" cy="939800"/>
            <wp:effectExtent l="19050" t="0" r="0" b="0"/>
            <wp:wrapThrough wrapText="bothSides">
              <wp:wrapPolygon edited="0">
                <wp:start x="-820" y="0"/>
                <wp:lineTo x="-820" y="21016"/>
                <wp:lineTo x="21327" y="21016"/>
                <wp:lineTo x="21327" y="0"/>
                <wp:lineTo x="-82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01650" cy="939800"/>
                    </a:xfrm>
                    <a:prstGeom prst="rect">
                      <a:avLst/>
                    </a:prstGeom>
                    <a:noFill/>
                    <a:ln w="9525">
                      <a:noFill/>
                      <a:miter lim="800000"/>
                      <a:headEnd/>
                      <a:tailEnd/>
                    </a:ln>
                  </pic:spPr>
                </pic:pic>
              </a:graphicData>
            </a:graphic>
          </wp:anchor>
        </w:drawing>
      </w:r>
      <w:r w:rsidR="001404C1" w:rsidRPr="008673D2">
        <w:rPr>
          <w:rFonts w:ascii="Verdana" w:hAnsi="Verdana"/>
          <w:b/>
          <w:bCs/>
          <w:color w:val="1F497D" w:themeColor="text2"/>
          <w:sz w:val="36"/>
          <w:szCs w:val="36"/>
        </w:rPr>
        <w:t>FEBRERO DE 2015</w:t>
      </w:r>
    </w:p>
    <w:p w:rsidR="0029650D" w:rsidRPr="0029650D" w:rsidRDefault="0029650D" w:rsidP="001404C1">
      <w:pPr>
        <w:jc w:val="center"/>
        <w:rPr>
          <w:rFonts w:ascii="Verdana" w:hAnsi="Verdana"/>
          <w:sz w:val="36"/>
          <w:szCs w:val="36"/>
        </w:rPr>
      </w:pPr>
      <w:r w:rsidRPr="0029650D">
        <w:rPr>
          <w:rFonts w:ascii="Verdana" w:hAnsi="Verdana"/>
          <w:noProof/>
          <w:sz w:val="36"/>
          <w:szCs w:val="36"/>
          <w:lang w:eastAsia="es-CO"/>
        </w:rPr>
        <w:drawing>
          <wp:anchor distT="0" distB="0" distL="114300" distR="114300" simplePos="0" relativeHeight="251658240" behindDoc="0" locked="0" layoutInCell="1" allowOverlap="1">
            <wp:simplePos x="0" y="0"/>
            <wp:positionH relativeFrom="column">
              <wp:posOffset>-280035</wp:posOffset>
            </wp:positionH>
            <wp:positionV relativeFrom="paragraph">
              <wp:posOffset>133985</wp:posOffset>
            </wp:positionV>
            <wp:extent cx="768350" cy="787400"/>
            <wp:effectExtent l="19050" t="0" r="0" b="0"/>
            <wp:wrapThrough wrapText="bothSides">
              <wp:wrapPolygon edited="0">
                <wp:start x="-536" y="0"/>
                <wp:lineTo x="-536" y="20903"/>
                <wp:lineTo x="21421" y="20903"/>
                <wp:lineTo x="21421" y="0"/>
                <wp:lineTo x="-536"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768350" cy="787400"/>
                    </a:xfrm>
                    <a:prstGeom prst="rect">
                      <a:avLst/>
                    </a:prstGeom>
                    <a:noFill/>
                    <a:ln w="9525">
                      <a:noFill/>
                      <a:miter lim="800000"/>
                      <a:headEnd/>
                      <a:tailEnd/>
                    </a:ln>
                  </pic:spPr>
                </pic:pic>
              </a:graphicData>
            </a:graphic>
          </wp:anchor>
        </w:drawing>
      </w:r>
      <w:r w:rsidRPr="0029650D">
        <w:rPr>
          <w:rFonts w:ascii="Verdana" w:hAnsi="Verdana"/>
          <w:noProof/>
          <w:sz w:val="36"/>
          <w:szCs w:val="36"/>
          <w:lang w:eastAsia="es-CO"/>
        </w:rPr>
        <w:drawing>
          <wp:anchor distT="0" distB="0" distL="114300" distR="114300" simplePos="0" relativeHeight="251660288" behindDoc="0" locked="0" layoutInCell="1" allowOverlap="1">
            <wp:simplePos x="0" y="0"/>
            <wp:positionH relativeFrom="column">
              <wp:posOffset>983615</wp:posOffset>
            </wp:positionH>
            <wp:positionV relativeFrom="paragraph">
              <wp:posOffset>83185</wp:posOffset>
            </wp:positionV>
            <wp:extent cx="1492250" cy="838200"/>
            <wp:effectExtent l="19050" t="0" r="0" b="0"/>
            <wp:wrapThrough wrapText="bothSides">
              <wp:wrapPolygon edited="0">
                <wp:start x="-276" y="0"/>
                <wp:lineTo x="-276" y="21109"/>
                <wp:lineTo x="21508" y="21109"/>
                <wp:lineTo x="21508" y="0"/>
                <wp:lineTo x="-276" y="0"/>
              </wp:wrapPolygon>
            </wp:wrapThrough>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492250" cy="838200"/>
                    </a:xfrm>
                    <a:prstGeom prst="rect">
                      <a:avLst/>
                    </a:prstGeom>
                    <a:noFill/>
                    <a:ln w="9525">
                      <a:noFill/>
                      <a:miter lim="800000"/>
                      <a:headEnd/>
                      <a:tailEnd/>
                    </a:ln>
                  </pic:spPr>
                </pic:pic>
              </a:graphicData>
            </a:graphic>
          </wp:anchor>
        </w:drawing>
      </w:r>
      <w:r w:rsidRPr="0029650D">
        <w:rPr>
          <w:rFonts w:ascii="Verdana" w:hAnsi="Verdana"/>
          <w:noProof/>
          <w:sz w:val="36"/>
          <w:szCs w:val="36"/>
          <w:lang w:eastAsia="es-CO"/>
        </w:rPr>
        <w:drawing>
          <wp:anchor distT="0" distB="0" distL="114300" distR="114300" simplePos="0" relativeHeight="251661312" behindDoc="0" locked="0" layoutInCell="1" allowOverlap="1">
            <wp:simplePos x="0" y="0"/>
            <wp:positionH relativeFrom="column">
              <wp:posOffset>4247515</wp:posOffset>
            </wp:positionH>
            <wp:positionV relativeFrom="paragraph">
              <wp:posOffset>362585</wp:posOffset>
            </wp:positionV>
            <wp:extent cx="1949450" cy="457200"/>
            <wp:effectExtent l="19050" t="0" r="0" b="0"/>
            <wp:wrapThrough wrapText="bothSides">
              <wp:wrapPolygon edited="0">
                <wp:start x="-211" y="0"/>
                <wp:lineTo x="-211" y="20700"/>
                <wp:lineTo x="21530" y="20700"/>
                <wp:lineTo x="21530" y="0"/>
                <wp:lineTo x="-211" y="0"/>
              </wp:wrapPolygon>
            </wp:wrapThrough>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949450" cy="457200"/>
                    </a:xfrm>
                    <a:prstGeom prst="rect">
                      <a:avLst/>
                    </a:prstGeom>
                    <a:noFill/>
                    <a:ln w="9525">
                      <a:noFill/>
                      <a:miter lim="800000"/>
                      <a:headEnd/>
                      <a:tailEnd/>
                    </a:ln>
                  </pic:spPr>
                </pic:pic>
              </a:graphicData>
            </a:graphic>
          </wp:anchor>
        </w:drawing>
      </w:r>
      <w:r w:rsidRPr="0029650D">
        <w:rPr>
          <w:rFonts w:ascii="Verdana" w:hAnsi="Verdana"/>
          <w:noProof/>
          <w:sz w:val="36"/>
          <w:szCs w:val="36"/>
          <w:lang w:eastAsia="es-CO"/>
        </w:rPr>
        <w:drawing>
          <wp:anchor distT="0" distB="0" distL="114300" distR="114300" simplePos="0" relativeHeight="251662336" behindDoc="0" locked="0" layoutInCell="1" allowOverlap="1">
            <wp:simplePos x="0" y="0"/>
            <wp:positionH relativeFrom="column">
              <wp:posOffset>2285365</wp:posOffset>
            </wp:positionH>
            <wp:positionV relativeFrom="paragraph">
              <wp:posOffset>337185</wp:posOffset>
            </wp:positionV>
            <wp:extent cx="1911350" cy="584200"/>
            <wp:effectExtent l="19050" t="0" r="0" b="0"/>
            <wp:wrapThrough wrapText="bothSides">
              <wp:wrapPolygon edited="0">
                <wp:start x="-215" y="0"/>
                <wp:lineTo x="-215" y="21130"/>
                <wp:lineTo x="21528" y="21130"/>
                <wp:lineTo x="21528" y="0"/>
                <wp:lineTo x="-215" y="0"/>
              </wp:wrapPolygon>
            </wp:wrapThrough>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911350" cy="584200"/>
                    </a:xfrm>
                    <a:prstGeom prst="rect">
                      <a:avLst/>
                    </a:prstGeom>
                    <a:noFill/>
                    <a:ln w="9525">
                      <a:noFill/>
                      <a:miter lim="800000"/>
                      <a:headEnd/>
                      <a:tailEnd/>
                    </a:ln>
                  </pic:spPr>
                </pic:pic>
              </a:graphicData>
            </a:graphic>
          </wp:anchor>
        </w:drawing>
      </w:r>
    </w:p>
    <w:p w:rsidR="0029650D" w:rsidRPr="0029650D" w:rsidRDefault="0029650D" w:rsidP="001404C1">
      <w:pPr>
        <w:jc w:val="center"/>
        <w:rPr>
          <w:rFonts w:ascii="Verdana" w:hAnsi="Verdana"/>
          <w:sz w:val="36"/>
          <w:szCs w:val="36"/>
        </w:rPr>
      </w:pPr>
    </w:p>
    <w:p w:rsidR="008A204F" w:rsidRDefault="008A204F" w:rsidP="0029650D">
      <w:pPr>
        <w:pStyle w:val="Default"/>
        <w:rPr>
          <w:rFonts w:ascii="Verdana" w:hAnsi="Verdana"/>
          <w:b/>
          <w:bCs/>
          <w:color w:val="1F497D" w:themeColor="text2"/>
          <w:sz w:val="32"/>
          <w:szCs w:val="32"/>
        </w:rPr>
      </w:pPr>
    </w:p>
    <w:p w:rsidR="0029650D" w:rsidRPr="00C01297" w:rsidRDefault="0029650D" w:rsidP="0029650D">
      <w:pPr>
        <w:pStyle w:val="Default"/>
        <w:rPr>
          <w:rFonts w:ascii="Verdana" w:hAnsi="Verdana"/>
          <w:color w:val="1F497D" w:themeColor="text2"/>
          <w:sz w:val="32"/>
          <w:szCs w:val="32"/>
        </w:rPr>
      </w:pPr>
      <w:r w:rsidRPr="00C01297">
        <w:rPr>
          <w:rFonts w:ascii="Verdana" w:hAnsi="Verdana"/>
          <w:b/>
          <w:bCs/>
          <w:color w:val="1F497D" w:themeColor="text2"/>
          <w:sz w:val="32"/>
          <w:szCs w:val="32"/>
        </w:rPr>
        <w:t xml:space="preserve">SECTOR DE LA INCLUSIÓN SOCIAL Y LA RECONCILIACIÓN </w:t>
      </w:r>
    </w:p>
    <w:p w:rsidR="0029650D" w:rsidRDefault="0029650D" w:rsidP="0029650D">
      <w:pPr>
        <w:pStyle w:val="Default"/>
        <w:rPr>
          <w:rFonts w:ascii="Verdana" w:hAnsi="Verdana" w:cs="Lucida Sans Unicode"/>
          <w:sz w:val="28"/>
          <w:szCs w:val="28"/>
        </w:rPr>
      </w:pPr>
    </w:p>
    <w:p w:rsidR="00E71755" w:rsidRPr="00D65E7D" w:rsidRDefault="00E71755" w:rsidP="008A204F">
      <w:pPr>
        <w:pStyle w:val="Default"/>
        <w:jc w:val="right"/>
        <w:rPr>
          <w:rFonts w:ascii="Verdana" w:hAnsi="Verdana" w:cs="Arial"/>
          <w:b/>
          <w:color w:val="1F497D" w:themeColor="text2"/>
          <w:sz w:val="26"/>
          <w:szCs w:val="26"/>
          <w:lang w:val="es-ES"/>
        </w:rPr>
      </w:pPr>
      <w:r w:rsidRPr="00D65E7D">
        <w:rPr>
          <w:rFonts w:ascii="Verdana" w:hAnsi="Verdana" w:cs="Arial"/>
          <w:b/>
          <w:color w:val="1F497D" w:themeColor="text2"/>
          <w:sz w:val="26"/>
          <w:szCs w:val="26"/>
          <w:lang w:val="es-ES"/>
        </w:rPr>
        <w:t xml:space="preserve">Tatyana </w:t>
      </w:r>
      <w:r w:rsidRPr="00D65E7D">
        <w:rPr>
          <w:rFonts w:ascii="Verdana" w:hAnsi="Verdana"/>
          <w:b/>
          <w:bCs/>
          <w:color w:val="1F497D" w:themeColor="text2"/>
        </w:rPr>
        <w:t>Orozco</w:t>
      </w:r>
      <w:r w:rsidRPr="00D65E7D">
        <w:rPr>
          <w:rFonts w:ascii="Verdana" w:hAnsi="Verdana" w:cs="Arial"/>
          <w:b/>
          <w:color w:val="1F497D" w:themeColor="text2"/>
          <w:sz w:val="26"/>
          <w:szCs w:val="26"/>
          <w:lang w:val="es-ES"/>
        </w:rPr>
        <w:t xml:space="preserve"> de la Cruz</w:t>
      </w:r>
    </w:p>
    <w:p w:rsidR="0029650D" w:rsidRPr="00D65E7D" w:rsidRDefault="0029650D" w:rsidP="008A204F">
      <w:pPr>
        <w:pStyle w:val="Default"/>
        <w:jc w:val="right"/>
        <w:rPr>
          <w:rFonts w:ascii="Verdana" w:hAnsi="Verdana" w:cs="Lucida Sans Unicode"/>
          <w:color w:val="9196BB"/>
          <w:sz w:val="28"/>
          <w:szCs w:val="28"/>
        </w:rPr>
      </w:pPr>
      <w:r w:rsidRPr="00D65E7D">
        <w:rPr>
          <w:rFonts w:ascii="Verdana" w:hAnsi="Verdana" w:cs="Lucida Sans Unicode"/>
          <w:color w:val="9196BB"/>
          <w:sz w:val="28"/>
          <w:szCs w:val="28"/>
        </w:rPr>
        <w:t>Director</w:t>
      </w:r>
      <w:r w:rsidR="00E71755" w:rsidRPr="00D65E7D">
        <w:rPr>
          <w:rFonts w:ascii="Verdana" w:hAnsi="Verdana" w:cs="Lucida Sans Unicode"/>
          <w:color w:val="9196BB"/>
          <w:sz w:val="28"/>
          <w:szCs w:val="28"/>
        </w:rPr>
        <w:t>a</w:t>
      </w:r>
      <w:r w:rsidRPr="00D65E7D">
        <w:rPr>
          <w:rFonts w:ascii="Verdana" w:hAnsi="Verdana" w:cs="Lucida Sans Unicode"/>
          <w:color w:val="9196BB"/>
          <w:sz w:val="28"/>
          <w:szCs w:val="28"/>
        </w:rPr>
        <w:t xml:space="preserve"> General </w:t>
      </w:r>
    </w:p>
    <w:p w:rsidR="0029650D" w:rsidRPr="00D65E7D" w:rsidRDefault="0029650D" w:rsidP="008A204F">
      <w:pPr>
        <w:pStyle w:val="Default"/>
        <w:jc w:val="right"/>
        <w:rPr>
          <w:rFonts w:ascii="Verdana" w:hAnsi="Verdana" w:cs="Lucida Sans Unicode"/>
          <w:b/>
          <w:color w:val="95B1DB"/>
          <w:sz w:val="28"/>
          <w:szCs w:val="28"/>
        </w:rPr>
      </w:pPr>
      <w:r w:rsidRPr="00D65E7D">
        <w:rPr>
          <w:rFonts w:ascii="Verdana" w:hAnsi="Verdana" w:cs="Lucida Sans Unicode"/>
          <w:b/>
          <w:color w:val="95B1DB"/>
          <w:sz w:val="28"/>
          <w:szCs w:val="28"/>
        </w:rPr>
        <w:t xml:space="preserve">Departamento para la Prosperidad Social </w:t>
      </w:r>
    </w:p>
    <w:p w:rsidR="0029650D" w:rsidRDefault="0029650D" w:rsidP="008A204F">
      <w:pPr>
        <w:pStyle w:val="Default"/>
        <w:jc w:val="right"/>
        <w:rPr>
          <w:rFonts w:ascii="Verdana" w:hAnsi="Verdana" w:cs="Lucida Sans Unicode"/>
          <w:sz w:val="28"/>
          <w:szCs w:val="28"/>
        </w:rPr>
      </w:pPr>
    </w:p>
    <w:p w:rsidR="008A204F" w:rsidRDefault="008A204F" w:rsidP="008A204F">
      <w:pPr>
        <w:pStyle w:val="Default"/>
        <w:jc w:val="right"/>
        <w:rPr>
          <w:rFonts w:ascii="Verdana" w:hAnsi="Verdana" w:cs="Lucida Sans Unicode"/>
          <w:sz w:val="28"/>
          <w:szCs w:val="28"/>
        </w:rPr>
      </w:pPr>
    </w:p>
    <w:p w:rsidR="0029650D" w:rsidRPr="00D65E7D" w:rsidRDefault="00941472" w:rsidP="008A204F">
      <w:pPr>
        <w:pStyle w:val="Default"/>
        <w:jc w:val="right"/>
        <w:rPr>
          <w:rFonts w:ascii="Verdana" w:hAnsi="Verdana" w:cs="Arial"/>
          <w:b/>
          <w:color w:val="1F497D" w:themeColor="text2"/>
          <w:sz w:val="26"/>
          <w:szCs w:val="26"/>
          <w:lang w:val="es-ES"/>
        </w:rPr>
      </w:pPr>
      <w:r w:rsidRPr="00D65E7D">
        <w:rPr>
          <w:rFonts w:ascii="Verdana" w:hAnsi="Verdana" w:cs="Arial"/>
          <w:b/>
          <w:color w:val="1F497D" w:themeColor="text2"/>
          <w:sz w:val="26"/>
          <w:szCs w:val="26"/>
          <w:lang w:val="es-ES"/>
        </w:rPr>
        <w:t>Cristina Plazas Michelsen</w:t>
      </w:r>
    </w:p>
    <w:p w:rsidR="0029650D" w:rsidRPr="00D65E7D" w:rsidRDefault="0029650D" w:rsidP="008A204F">
      <w:pPr>
        <w:pStyle w:val="Default"/>
        <w:jc w:val="right"/>
        <w:rPr>
          <w:rFonts w:ascii="Verdana" w:hAnsi="Verdana" w:cs="Lucida Sans Unicode"/>
          <w:color w:val="9196BB"/>
          <w:sz w:val="28"/>
          <w:szCs w:val="28"/>
        </w:rPr>
      </w:pPr>
      <w:r w:rsidRPr="00D65E7D">
        <w:rPr>
          <w:rFonts w:ascii="Verdana" w:hAnsi="Verdana" w:cs="Lucida Sans Unicode"/>
          <w:color w:val="9196BB"/>
          <w:sz w:val="28"/>
          <w:szCs w:val="28"/>
        </w:rPr>
        <w:t>Director</w:t>
      </w:r>
      <w:r w:rsidR="00D65E7D">
        <w:rPr>
          <w:rFonts w:ascii="Verdana" w:hAnsi="Verdana" w:cs="Lucida Sans Unicode"/>
          <w:color w:val="9196BB"/>
          <w:sz w:val="28"/>
          <w:szCs w:val="28"/>
        </w:rPr>
        <w:t>a</w:t>
      </w:r>
      <w:r w:rsidRPr="00D65E7D">
        <w:rPr>
          <w:rFonts w:ascii="Verdana" w:hAnsi="Verdana" w:cs="Lucida Sans Unicode"/>
          <w:color w:val="9196BB"/>
          <w:sz w:val="28"/>
          <w:szCs w:val="28"/>
        </w:rPr>
        <w:t xml:space="preserve"> General </w:t>
      </w:r>
    </w:p>
    <w:p w:rsidR="0029650D" w:rsidRPr="008A204F" w:rsidRDefault="0029650D" w:rsidP="008A204F">
      <w:pPr>
        <w:pStyle w:val="Default"/>
        <w:jc w:val="right"/>
        <w:rPr>
          <w:rFonts w:ascii="Verdana" w:hAnsi="Verdana" w:cs="Lucida Sans Unicode"/>
          <w:b/>
          <w:color w:val="95B1DB"/>
          <w:sz w:val="28"/>
          <w:szCs w:val="28"/>
        </w:rPr>
      </w:pPr>
      <w:r w:rsidRPr="008A204F">
        <w:rPr>
          <w:rFonts w:ascii="Verdana" w:hAnsi="Verdana" w:cs="Lucida Sans Unicode"/>
          <w:b/>
          <w:color w:val="95B1DB"/>
          <w:sz w:val="28"/>
          <w:szCs w:val="28"/>
        </w:rPr>
        <w:t xml:space="preserve">Instituto Colombiano de Bienestar Familiar </w:t>
      </w:r>
    </w:p>
    <w:p w:rsidR="0029650D" w:rsidRDefault="0029650D" w:rsidP="008A204F">
      <w:pPr>
        <w:pStyle w:val="Default"/>
        <w:jc w:val="right"/>
        <w:rPr>
          <w:rFonts w:ascii="Verdana" w:hAnsi="Verdana" w:cs="Lucida Sans Unicode"/>
          <w:sz w:val="28"/>
          <w:szCs w:val="28"/>
        </w:rPr>
      </w:pPr>
    </w:p>
    <w:p w:rsidR="008A204F" w:rsidRDefault="008A204F" w:rsidP="008A204F">
      <w:pPr>
        <w:pStyle w:val="Default"/>
        <w:jc w:val="right"/>
        <w:rPr>
          <w:rFonts w:ascii="Verdana" w:hAnsi="Verdana" w:cs="Lucida Sans Unicode"/>
          <w:sz w:val="28"/>
          <w:szCs w:val="28"/>
        </w:rPr>
      </w:pPr>
    </w:p>
    <w:p w:rsidR="0029650D" w:rsidRPr="00D65E7D" w:rsidRDefault="00941472" w:rsidP="008A204F">
      <w:pPr>
        <w:pStyle w:val="Default"/>
        <w:jc w:val="right"/>
        <w:rPr>
          <w:rFonts w:ascii="Verdana" w:hAnsi="Verdana" w:cs="Arial"/>
          <w:b/>
          <w:color w:val="1F497D" w:themeColor="text2"/>
          <w:sz w:val="26"/>
          <w:szCs w:val="26"/>
          <w:lang w:val="es-ES"/>
        </w:rPr>
      </w:pPr>
      <w:r w:rsidRPr="00D65E7D">
        <w:rPr>
          <w:rFonts w:ascii="Verdana" w:hAnsi="Verdana" w:cs="Arial"/>
          <w:b/>
          <w:color w:val="1F497D" w:themeColor="text2"/>
          <w:sz w:val="26"/>
          <w:szCs w:val="26"/>
          <w:lang w:val="es-ES"/>
        </w:rPr>
        <w:t>Margarita Barraquer (E)</w:t>
      </w:r>
    </w:p>
    <w:p w:rsidR="0029650D" w:rsidRPr="00D65E7D" w:rsidRDefault="0029650D" w:rsidP="008A204F">
      <w:pPr>
        <w:pStyle w:val="Default"/>
        <w:jc w:val="right"/>
        <w:rPr>
          <w:rFonts w:ascii="Verdana" w:hAnsi="Verdana" w:cs="Lucida Sans Unicode"/>
          <w:color w:val="9196BB"/>
          <w:sz w:val="28"/>
          <w:szCs w:val="28"/>
        </w:rPr>
      </w:pPr>
      <w:r w:rsidRPr="00D65E7D">
        <w:rPr>
          <w:rFonts w:ascii="Verdana" w:hAnsi="Verdana" w:cs="Lucida Sans Unicode"/>
          <w:color w:val="9196BB"/>
          <w:sz w:val="28"/>
          <w:szCs w:val="28"/>
        </w:rPr>
        <w:t xml:space="preserve">Directora General </w:t>
      </w:r>
    </w:p>
    <w:p w:rsidR="0029650D" w:rsidRPr="0029650D" w:rsidRDefault="0029650D" w:rsidP="008A204F">
      <w:pPr>
        <w:pStyle w:val="Default"/>
        <w:jc w:val="right"/>
        <w:rPr>
          <w:rFonts w:ascii="Verdana" w:hAnsi="Verdana"/>
          <w:sz w:val="28"/>
          <w:szCs w:val="28"/>
        </w:rPr>
      </w:pPr>
      <w:r w:rsidRPr="008A204F">
        <w:rPr>
          <w:rFonts w:ascii="Verdana" w:hAnsi="Verdana" w:cs="Lucida Sans Unicode"/>
          <w:b/>
          <w:color w:val="95B1DB"/>
          <w:sz w:val="28"/>
          <w:szCs w:val="28"/>
        </w:rPr>
        <w:t>Agencia Nacional para la Superación de la Pobreza</w:t>
      </w:r>
      <w:r w:rsidRPr="0029650D">
        <w:rPr>
          <w:rFonts w:ascii="Verdana" w:hAnsi="Verdana" w:cs="Lucida Sans Unicode"/>
          <w:sz w:val="28"/>
          <w:szCs w:val="28"/>
        </w:rPr>
        <w:t xml:space="preserve"> </w:t>
      </w:r>
      <w:r w:rsidRPr="008A204F">
        <w:rPr>
          <w:rFonts w:ascii="Verdana" w:hAnsi="Verdana" w:cs="Lucida Sans Unicode"/>
          <w:b/>
          <w:color w:val="95B1DB"/>
          <w:sz w:val="28"/>
          <w:szCs w:val="28"/>
        </w:rPr>
        <w:t xml:space="preserve">Extrema </w:t>
      </w:r>
    </w:p>
    <w:p w:rsidR="00E71755" w:rsidRDefault="00E71755" w:rsidP="008A204F">
      <w:pPr>
        <w:pStyle w:val="Default"/>
        <w:jc w:val="right"/>
        <w:rPr>
          <w:rFonts w:ascii="Verdana" w:hAnsi="Verdana" w:cs="Lucida Sans Unicode"/>
          <w:sz w:val="28"/>
          <w:szCs w:val="28"/>
        </w:rPr>
      </w:pPr>
    </w:p>
    <w:p w:rsidR="008A204F" w:rsidRDefault="008A204F" w:rsidP="008A204F">
      <w:pPr>
        <w:pStyle w:val="Default"/>
        <w:jc w:val="right"/>
        <w:rPr>
          <w:rFonts w:ascii="Verdana" w:hAnsi="Verdana" w:cs="Lucida Sans Unicode"/>
          <w:sz w:val="28"/>
          <w:szCs w:val="28"/>
        </w:rPr>
      </w:pPr>
    </w:p>
    <w:p w:rsidR="0029650D" w:rsidRPr="00D65E7D" w:rsidRDefault="0029650D" w:rsidP="008A204F">
      <w:pPr>
        <w:pStyle w:val="Default"/>
        <w:jc w:val="right"/>
        <w:rPr>
          <w:rFonts w:ascii="Verdana" w:hAnsi="Verdana" w:cs="Arial"/>
          <w:b/>
          <w:color w:val="1F497D" w:themeColor="text2"/>
          <w:sz w:val="26"/>
          <w:szCs w:val="26"/>
          <w:lang w:val="es-ES"/>
        </w:rPr>
      </w:pPr>
      <w:r w:rsidRPr="00D65E7D">
        <w:rPr>
          <w:rFonts w:ascii="Verdana" w:hAnsi="Verdana" w:cs="Arial"/>
          <w:b/>
          <w:color w:val="1F497D" w:themeColor="text2"/>
          <w:sz w:val="26"/>
          <w:szCs w:val="26"/>
          <w:lang w:val="es-ES"/>
        </w:rPr>
        <w:t xml:space="preserve">Paula Gaviria Betancur </w:t>
      </w:r>
    </w:p>
    <w:p w:rsidR="0029650D" w:rsidRPr="00D65E7D" w:rsidRDefault="0029650D" w:rsidP="008A204F">
      <w:pPr>
        <w:pStyle w:val="Default"/>
        <w:jc w:val="right"/>
        <w:rPr>
          <w:rFonts w:ascii="Verdana" w:hAnsi="Verdana" w:cs="Lucida Sans Unicode"/>
          <w:color w:val="9196BB"/>
          <w:sz w:val="28"/>
          <w:szCs w:val="28"/>
        </w:rPr>
      </w:pPr>
      <w:r w:rsidRPr="00D65E7D">
        <w:rPr>
          <w:rFonts w:ascii="Verdana" w:hAnsi="Verdana" w:cs="Lucida Sans Unicode"/>
          <w:color w:val="9196BB"/>
          <w:sz w:val="28"/>
          <w:szCs w:val="28"/>
        </w:rPr>
        <w:t xml:space="preserve">Directora General </w:t>
      </w:r>
    </w:p>
    <w:p w:rsidR="0029650D" w:rsidRPr="008A204F" w:rsidRDefault="0029650D" w:rsidP="008A204F">
      <w:pPr>
        <w:pStyle w:val="Default"/>
        <w:jc w:val="right"/>
        <w:rPr>
          <w:rFonts w:ascii="Verdana" w:hAnsi="Verdana" w:cs="Lucida Sans Unicode"/>
          <w:b/>
          <w:color w:val="95B1DB"/>
          <w:sz w:val="28"/>
          <w:szCs w:val="28"/>
        </w:rPr>
      </w:pPr>
      <w:r w:rsidRPr="008A204F">
        <w:rPr>
          <w:rFonts w:ascii="Verdana" w:hAnsi="Verdana" w:cs="Lucida Sans Unicode"/>
          <w:b/>
          <w:color w:val="95B1DB"/>
          <w:sz w:val="28"/>
          <w:szCs w:val="28"/>
        </w:rPr>
        <w:t xml:space="preserve">Unidad para la Atención y Reparación Integral a las Víctimas </w:t>
      </w:r>
    </w:p>
    <w:p w:rsidR="00E71755" w:rsidRDefault="00E71755" w:rsidP="008A204F">
      <w:pPr>
        <w:pStyle w:val="Default"/>
        <w:jc w:val="right"/>
        <w:rPr>
          <w:rFonts w:ascii="Verdana" w:hAnsi="Verdana" w:cs="Lucida Sans Unicode"/>
          <w:sz w:val="28"/>
          <w:szCs w:val="28"/>
        </w:rPr>
      </w:pPr>
    </w:p>
    <w:p w:rsidR="008A204F" w:rsidRDefault="008A204F" w:rsidP="008A204F">
      <w:pPr>
        <w:pStyle w:val="Default"/>
        <w:jc w:val="right"/>
        <w:rPr>
          <w:rFonts w:ascii="Verdana" w:hAnsi="Verdana" w:cs="Lucida Sans Unicode"/>
          <w:sz w:val="28"/>
          <w:szCs w:val="28"/>
        </w:rPr>
      </w:pPr>
    </w:p>
    <w:p w:rsidR="0029650D" w:rsidRPr="00D65E7D" w:rsidRDefault="0029650D" w:rsidP="008A204F">
      <w:pPr>
        <w:pStyle w:val="Default"/>
        <w:jc w:val="right"/>
        <w:rPr>
          <w:rFonts w:ascii="Verdana" w:hAnsi="Verdana" w:cs="Arial"/>
          <w:b/>
          <w:color w:val="1F497D" w:themeColor="text2"/>
          <w:sz w:val="26"/>
          <w:szCs w:val="26"/>
          <w:lang w:val="es-ES"/>
        </w:rPr>
      </w:pPr>
      <w:r w:rsidRPr="00D65E7D">
        <w:rPr>
          <w:rFonts w:ascii="Verdana" w:hAnsi="Verdana" w:cs="Arial"/>
          <w:b/>
          <w:color w:val="1F497D" w:themeColor="text2"/>
          <w:sz w:val="26"/>
          <w:szCs w:val="26"/>
          <w:lang w:val="es-ES"/>
        </w:rPr>
        <w:t xml:space="preserve">González Sánchez Gómez </w:t>
      </w:r>
    </w:p>
    <w:p w:rsidR="0029650D" w:rsidRPr="00D65E7D" w:rsidRDefault="0029650D" w:rsidP="008A204F">
      <w:pPr>
        <w:pStyle w:val="Default"/>
        <w:jc w:val="right"/>
        <w:rPr>
          <w:rFonts w:ascii="Verdana" w:hAnsi="Verdana" w:cs="Lucida Sans Unicode"/>
          <w:color w:val="9196BB"/>
          <w:sz w:val="28"/>
          <w:szCs w:val="28"/>
        </w:rPr>
      </w:pPr>
      <w:r w:rsidRPr="00D65E7D">
        <w:rPr>
          <w:rFonts w:ascii="Verdana" w:hAnsi="Verdana" w:cs="Lucida Sans Unicode"/>
          <w:color w:val="9196BB"/>
          <w:sz w:val="28"/>
          <w:szCs w:val="28"/>
        </w:rPr>
        <w:t xml:space="preserve">Director General </w:t>
      </w:r>
    </w:p>
    <w:p w:rsidR="0029650D" w:rsidRPr="008A204F" w:rsidRDefault="0029650D" w:rsidP="008A204F">
      <w:pPr>
        <w:pStyle w:val="Default"/>
        <w:jc w:val="right"/>
        <w:rPr>
          <w:rFonts w:ascii="Verdana" w:hAnsi="Verdana" w:cs="Lucida Sans Unicode"/>
          <w:b/>
          <w:color w:val="95B1DB"/>
          <w:sz w:val="28"/>
          <w:szCs w:val="28"/>
        </w:rPr>
      </w:pPr>
      <w:r w:rsidRPr="008A204F">
        <w:rPr>
          <w:rFonts w:ascii="Verdana" w:hAnsi="Verdana" w:cs="Lucida Sans Unicode"/>
          <w:b/>
          <w:color w:val="95B1DB"/>
          <w:sz w:val="28"/>
          <w:szCs w:val="28"/>
        </w:rPr>
        <w:t xml:space="preserve">Centro de Memoria Histórica </w:t>
      </w:r>
    </w:p>
    <w:p w:rsidR="00E71755" w:rsidRDefault="00E71755" w:rsidP="008A204F">
      <w:pPr>
        <w:pStyle w:val="Default"/>
        <w:jc w:val="right"/>
        <w:rPr>
          <w:rFonts w:ascii="Verdana" w:hAnsi="Verdana" w:cs="Lucida Sans Unicode"/>
          <w:sz w:val="28"/>
          <w:szCs w:val="28"/>
        </w:rPr>
      </w:pPr>
    </w:p>
    <w:p w:rsidR="0029650D" w:rsidRPr="00D65E7D" w:rsidRDefault="00F54C5D" w:rsidP="008A204F">
      <w:pPr>
        <w:pStyle w:val="Default"/>
        <w:jc w:val="right"/>
        <w:rPr>
          <w:rFonts w:ascii="Verdana" w:hAnsi="Verdana" w:cs="Arial"/>
          <w:b/>
          <w:color w:val="1F497D" w:themeColor="text2"/>
          <w:sz w:val="26"/>
          <w:szCs w:val="26"/>
          <w:lang w:val="es-ES"/>
        </w:rPr>
      </w:pPr>
      <w:r w:rsidRPr="00D65E7D">
        <w:rPr>
          <w:rFonts w:ascii="Verdana" w:hAnsi="Verdana" w:cs="Arial"/>
          <w:b/>
          <w:color w:val="1F497D" w:themeColor="text2"/>
          <w:sz w:val="26"/>
          <w:szCs w:val="26"/>
          <w:lang w:val="es-ES"/>
        </w:rPr>
        <w:t>Germán</w:t>
      </w:r>
      <w:r w:rsidR="0029650D" w:rsidRPr="00D65E7D">
        <w:rPr>
          <w:rFonts w:ascii="Verdana" w:hAnsi="Verdana" w:cs="Arial"/>
          <w:b/>
          <w:color w:val="1F497D" w:themeColor="text2"/>
          <w:sz w:val="26"/>
          <w:szCs w:val="26"/>
          <w:lang w:val="es-ES"/>
        </w:rPr>
        <w:t xml:space="preserve"> Chamorro de la Rosa </w:t>
      </w:r>
    </w:p>
    <w:p w:rsidR="0029650D" w:rsidRPr="00D65E7D" w:rsidRDefault="0029650D" w:rsidP="008A204F">
      <w:pPr>
        <w:pStyle w:val="Default"/>
        <w:jc w:val="right"/>
        <w:rPr>
          <w:rFonts w:ascii="Verdana" w:hAnsi="Verdana" w:cs="Lucida Sans Unicode"/>
          <w:color w:val="9196BB"/>
          <w:sz w:val="28"/>
          <w:szCs w:val="28"/>
        </w:rPr>
      </w:pPr>
      <w:r w:rsidRPr="00D65E7D">
        <w:rPr>
          <w:rFonts w:ascii="Verdana" w:hAnsi="Verdana" w:cs="Lucida Sans Unicode"/>
          <w:color w:val="9196BB"/>
          <w:sz w:val="28"/>
          <w:szCs w:val="28"/>
        </w:rPr>
        <w:t xml:space="preserve">Director General </w:t>
      </w:r>
    </w:p>
    <w:p w:rsidR="0029650D" w:rsidRPr="008A204F" w:rsidRDefault="0029650D" w:rsidP="008A204F">
      <w:pPr>
        <w:pStyle w:val="Default"/>
        <w:jc w:val="right"/>
        <w:rPr>
          <w:rFonts w:ascii="Verdana" w:hAnsi="Verdana" w:cs="Lucida Sans Unicode"/>
          <w:b/>
          <w:color w:val="95B1DB"/>
          <w:sz w:val="28"/>
          <w:szCs w:val="28"/>
        </w:rPr>
      </w:pPr>
      <w:r w:rsidRPr="008A204F">
        <w:rPr>
          <w:rFonts w:ascii="Verdana" w:hAnsi="Verdana" w:cs="Lucida Sans Unicode"/>
          <w:b/>
          <w:color w:val="95B1DB"/>
          <w:sz w:val="28"/>
          <w:szCs w:val="28"/>
        </w:rPr>
        <w:t>Unidad Administrativa para la Consolidación Territorial</w:t>
      </w:r>
    </w:p>
    <w:p w:rsidR="0029650D" w:rsidRPr="0029650D" w:rsidRDefault="0029650D" w:rsidP="0029650D">
      <w:pPr>
        <w:jc w:val="center"/>
        <w:rPr>
          <w:rFonts w:ascii="Verdana" w:hAnsi="Verdana" w:cs="Lucida Sans Unicode"/>
          <w:sz w:val="20"/>
          <w:szCs w:val="20"/>
        </w:rPr>
      </w:pPr>
    </w:p>
    <w:p w:rsidR="008673D2" w:rsidRDefault="008673D2" w:rsidP="00451818">
      <w:pPr>
        <w:jc w:val="both"/>
        <w:rPr>
          <w:rFonts w:ascii="Verdana" w:hAnsi="Verdana"/>
          <w:b/>
          <w:color w:val="1F497D" w:themeColor="text2"/>
          <w:sz w:val="36"/>
          <w:szCs w:val="36"/>
        </w:rPr>
      </w:pPr>
    </w:p>
    <w:p w:rsidR="0029650D" w:rsidRPr="008A204F" w:rsidRDefault="00941472" w:rsidP="00451818">
      <w:pPr>
        <w:jc w:val="both"/>
        <w:rPr>
          <w:rFonts w:ascii="Verdana" w:hAnsi="Verdana"/>
          <w:b/>
          <w:color w:val="1F497D" w:themeColor="text2"/>
          <w:sz w:val="36"/>
          <w:szCs w:val="36"/>
        </w:rPr>
      </w:pPr>
      <w:bookmarkStart w:id="0" w:name="CONTENIDO"/>
      <w:r w:rsidRPr="008A204F">
        <w:rPr>
          <w:rFonts w:ascii="Verdana" w:hAnsi="Verdana"/>
          <w:b/>
          <w:color w:val="1F497D" w:themeColor="text2"/>
          <w:sz w:val="36"/>
          <w:szCs w:val="36"/>
        </w:rPr>
        <w:t>C</w:t>
      </w:r>
      <w:r w:rsidR="0029650D" w:rsidRPr="008A204F">
        <w:rPr>
          <w:rFonts w:ascii="Verdana" w:hAnsi="Verdana"/>
          <w:b/>
          <w:color w:val="1F497D" w:themeColor="text2"/>
          <w:sz w:val="36"/>
          <w:szCs w:val="36"/>
        </w:rPr>
        <w:t>ONTENIDO</w:t>
      </w:r>
    </w:p>
    <w:bookmarkEnd w:id="0"/>
    <w:p w:rsidR="0029650D" w:rsidRPr="00ED3797" w:rsidRDefault="0029650D" w:rsidP="0029650D">
      <w:pPr>
        <w:jc w:val="center"/>
        <w:rPr>
          <w:rFonts w:ascii="Verdana" w:hAnsi="Verdana"/>
          <w:sz w:val="28"/>
          <w:szCs w:val="28"/>
        </w:rPr>
      </w:pPr>
    </w:p>
    <w:tbl>
      <w:tblPr>
        <w:tblStyle w:val="Sombreadomedio1-nfasis11"/>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816"/>
        <w:gridCol w:w="414"/>
        <w:gridCol w:w="8958"/>
      </w:tblGrid>
      <w:tr w:rsidR="00D509E5" w:rsidRPr="00D509E5" w:rsidTr="00670FC0">
        <w:trPr>
          <w:cnfStyle w:val="100000000000"/>
        </w:trPr>
        <w:tc>
          <w:tcPr>
            <w:cnfStyle w:val="001000000000"/>
            <w:tcW w:w="816" w:type="dxa"/>
            <w:tcBorders>
              <w:top w:val="none" w:sz="0" w:space="0" w:color="auto"/>
              <w:left w:val="none" w:sz="0" w:space="0" w:color="auto"/>
              <w:bottom w:val="none" w:sz="0" w:space="0" w:color="auto"/>
            </w:tcBorders>
            <w:shd w:val="clear" w:color="auto" w:fill="auto"/>
          </w:tcPr>
          <w:p w:rsidR="00D509E5" w:rsidRPr="00D509E5" w:rsidRDefault="00F3007F" w:rsidP="00CC6CED">
            <w:pPr>
              <w:rPr>
                <w:rFonts w:ascii="Verdana" w:hAnsi="Verdana"/>
                <w:color w:val="1F497D" w:themeColor="text2"/>
                <w:sz w:val="28"/>
                <w:szCs w:val="28"/>
              </w:rPr>
            </w:pPr>
            <w:r w:rsidRPr="00F3007F">
              <w:rPr>
                <w:rFonts w:ascii="Verdana" w:hAnsi="Verdana"/>
                <w:noProof/>
                <w:color w:val="1F497D" w:themeColor="text2"/>
                <w:sz w:val="28"/>
                <w:szCs w:val="28"/>
                <w:lang w:eastAsia="es-CO"/>
              </w:rPr>
              <w:drawing>
                <wp:inline distT="0" distB="0" distL="0" distR="0">
                  <wp:extent cx="360040" cy="288032"/>
                  <wp:effectExtent l="19050" t="0" r="1910" b="0"/>
                  <wp:docPr id="453" name="Objeto 21">
                    <a:hlinkClick xmlns:a="http://schemas.openxmlformats.org/drawingml/2006/main" r:id="rId14"/>
                  </wp:docPr>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0040" cy="288032"/>
                            <a:chOff x="5148064" y="6237312"/>
                            <a:chExt cx="360040" cy="288032"/>
                          </a:xfrm>
                        </a:grpSpPr>
                        <a:sp>
                          <a:nvSpPr>
                            <a:cNvPr id="34" name="33 Pentágono"/>
                            <a:cNvSpPr/>
                          </a:nvSpPr>
                          <a:spPr>
                            <a:xfrm>
                              <a:off x="5148064" y="6237312"/>
                              <a:ext cx="360040" cy="288032"/>
                            </a:xfrm>
                            <a:prstGeom prst="homePlate">
                              <a:avLst/>
                            </a:prstGeom>
                            <a:gradFill flip="none" rotWithShape="1">
                              <a:gsLst>
                                <a:gs pos="0">
                                  <a:srgbClr val="F1DBF1">
                                    <a:shade val="30000"/>
                                    <a:satMod val="115000"/>
                                  </a:srgbClr>
                                </a:gs>
                                <a:gs pos="50000">
                                  <a:srgbClr val="F1DBF1">
                                    <a:shade val="67500"/>
                                    <a:satMod val="115000"/>
                                  </a:srgbClr>
                                </a:gs>
                                <a:gs pos="100000">
                                  <a:srgbClr val="F1DBF1">
                                    <a:shade val="100000"/>
                                    <a:satMod val="115000"/>
                                  </a:srgb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c>
          <w:tcPr>
            <w:tcW w:w="414" w:type="dxa"/>
            <w:tcBorders>
              <w:top w:val="none" w:sz="0" w:space="0" w:color="auto"/>
              <w:bottom w:val="none" w:sz="0" w:space="0" w:color="auto"/>
            </w:tcBorders>
            <w:shd w:val="clear" w:color="auto" w:fill="auto"/>
          </w:tcPr>
          <w:p w:rsidR="00D509E5" w:rsidRPr="00D509E5" w:rsidRDefault="00D509E5" w:rsidP="00CC6CED">
            <w:pPr>
              <w:cnfStyle w:val="100000000000"/>
              <w:rPr>
                <w:rFonts w:ascii="Verdana" w:hAnsi="Verdana"/>
                <w:color w:val="1F497D" w:themeColor="text2"/>
                <w:sz w:val="28"/>
                <w:szCs w:val="28"/>
              </w:rPr>
            </w:pPr>
          </w:p>
        </w:tc>
        <w:tc>
          <w:tcPr>
            <w:tcW w:w="8958" w:type="dxa"/>
            <w:tcBorders>
              <w:top w:val="none" w:sz="0" w:space="0" w:color="auto"/>
              <w:bottom w:val="none" w:sz="0" w:space="0" w:color="auto"/>
              <w:right w:val="none" w:sz="0" w:space="0" w:color="auto"/>
            </w:tcBorders>
            <w:shd w:val="clear" w:color="auto" w:fill="auto"/>
          </w:tcPr>
          <w:p w:rsidR="00D509E5" w:rsidRPr="00D509E5" w:rsidRDefault="00D509E5" w:rsidP="00CC6CED">
            <w:pPr>
              <w:cnfStyle w:val="100000000000"/>
              <w:rPr>
                <w:rFonts w:ascii="Verdana" w:hAnsi="Verdana"/>
                <w:color w:val="1F497D" w:themeColor="text2"/>
                <w:sz w:val="28"/>
                <w:szCs w:val="28"/>
              </w:rPr>
            </w:pPr>
            <w:r w:rsidRPr="00D509E5">
              <w:rPr>
                <w:rFonts w:ascii="Verdana" w:hAnsi="Verdana"/>
                <w:color w:val="1F497D" w:themeColor="text2"/>
                <w:sz w:val="28"/>
                <w:szCs w:val="28"/>
              </w:rPr>
              <w:t>PRESENTACION</w:t>
            </w:r>
          </w:p>
        </w:tc>
      </w:tr>
      <w:tr w:rsidR="00D509E5" w:rsidRPr="00D509E5" w:rsidTr="00670FC0">
        <w:trPr>
          <w:cnfStyle w:val="000000100000"/>
        </w:trPr>
        <w:tc>
          <w:tcPr>
            <w:cnfStyle w:val="001000000000"/>
            <w:tcW w:w="816" w:type="dxa"/>
            <w:shd w:val="clear" w:color="auto" w:fill="auto"/>
          </w:tcPr>
          <w:p w:rsidR="00D509E5" w:rsidRPr="00D509E5" w:rsidRDefault="00D509E5" w:rsidP="00CC6CED">
            <w:pPr>
              <w:rPr>
                <w:rFonts w:ascii="Verdana" w:hAnsi="Verdana"/>
                <w:color w:val="1F497D" w:themeColor="text2"/>
                <w:sz w:val="28"/>
                <w:szCs w:val="28"/>
              </w:rPr>
            </w:pPr>
          </w:p>
        </w:tc>
        <w:tc>
          <w:tcPr>
            <w:tcW w:w="414" w:type="dxa"/>
            <w:shd w:val="clear" w:color="auto" w:fill="auto"/>
          </w:tcPr>
          <w:p w:rsidR="00D509E5" w:rsidRPr="00D509E5" w:rsidRDefault="00D509E5" w:rsidP="00CC6CED">
            <w:pPr>
              <w:cnfStyle w:val="000000100000"/>
              <w:rPr>
                <w:rFonts w:ascii="Verdana" w:hAnsi="Verdana"/>
                <w:color w:val="1F497D" w:themeColor="text2"/>
                <w:sz w:val="28"/>
                <w:szCs w:val="28"/>
              </w:rPr>
            </w:pPr>
          </w:p>
        </w:tc>
        <w:tc>
          <w:tcPr>
            <w:tcW w:w="8958" w:type="dxa"/>
            <w:shd w:val="clear" w:color="auto" w:fill="auto"/>
          </w:tcPr>
          <w:p w:rsidR="00D509E5" w:rsidRPr="00D509E5" w:rsidRDefault="00D509E5" w:rsidP="00CC6CED">
            <w:pPr>
              <w:cnfStyle w:val="000000100000"/>
              <w:rPr>
                <w:rFonts w:ascii="Verdana" w:hAnsi="Verdana"/>
                <w:color w:val="1F497D" w:themeColor="text2"/>
                <w:sz w:val="28"/>
                <w:szCs w:val="28"/>
              </w:rPr>
            </w:pPr>
          </w:p>
        </w:tc>
      </w:tr>
      <w:tr w:rsidR="00D509E5" w:rsidRPr="00D509E5" w:rsidTr="00670FC0">
        <w:trPr>
          <w:cnfStyle w:val="000000010000"/>
        </w:trPr>
        <w:tc>
          <w:tcPr>
            <w:cnfStyle w:val="001000000000"/>
            <w:tcW w:w="816" w:type="dxa"/>
            <w:shd w:val="clear" w:color="auto" w:fill="auto"/>
          </w:tcPr>
          <w:p w:rsidR="00D509E5" w:rsidRPr="00D509E5" w:rsidRDefault="00EB69A8" w:rsidP="00CC6CED">
            <w:pPr>
              <w:rPr>
                <w:rFonts w:ascii="Verdana" w:hAnsi="Verdana"/>
                <w:color w:val="1F497D" w:themeColor="text2"/>
                <w:sz w:val="28"/>
                <w:szCs w:val="28"/>
              </w:rPr>
            </w:pPr>
            <w:r w:rsidRPr="00EB69A8">
              <w:rPr>
                <w:rFonts w:ascii="Verdana" w:hAnsi="Verdana"/>
                <w:noProof/>
                <w:color w:val="1F497D" w:themeColor="text2"/>
                <w:sz w:val="28"/>
                <w:szCs w:val="28"/>
                <w:lang w:eastAsia="es-CO"/>
              </w:rPr>
              <w:drawing>
                <wp:inline distT="0" distB="0" distL="0" distR="0">
                  <wp:extent cx="360040" cy="288032"/>
                  <wp:effectExtent l="19050" t="0" r="1910" b="0"/>
                  <wp:docPr id="57" name="Objeto 2">
                    <a:hlinkClick xmlns:a="http://schemas.openxmlformats.org/drawingml/2006/main" r:id="rId15" tooltip="Ir a Sector de la Inclusión Social y Reconciliación"/>
                  </wp:docPr>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0040" cy="288032"/>
                            <a:chOff x="5868144" y="6093296"/>
                            <a:chExt cx="360040" cy="288032"/>
                          </a:xfrm>
                        </a:grpSpPr>
                        <a:sp>
                          <a:nvSpPr>
                            <a:cNvPr id="33" name="32 Pentágono"/>
                            <a:cNvSpPr/>
                          </a:nvSpPr>
                          <a:spPr>
                            <a:xfrm>
                              <a:off x="5868144" y="6093296"/>
                              <a:ext cx="360040" cy="288032"/>
                            </a:xfrm>
                            <a:prstGeom prst="homePlate">
                              <a:avLst/>
                            </a:prstGeom>
                            <a:gradFill flip="none" rotWithShape="1">
                              <a:gsLst>
                                <a:gs pos="0">
                                  <a:srgbClr val="D0BFDD">
                                    <a:shade val="30000"/>
                                    <a:satMod val="115000"/>
                                  </a:srgbClr>
                                </a:gs>
                                <a:gs pos="50000">
                                  <a:srgbClr val="D0BFDD">
                                    <a:shade val="67500"/>
                                    <a:satMod val="115000"/>
                                  </a:srgbClr>
                                </a:gs>
                                <a:gs pos="100000">
                                  <a:srgbClr val="D0BFDD">
                                    <a:shade val="100000"/>
                                    <a:satMod val="115000"/>
                                  </a:srgb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c>
          <w:tcPr>
            <w:tcW w:w="414" w:type="dxa"/>
            <w:shd w:val="clear" w:color="auto" w:fill="auto"/>
          </w:tcPr>
          <w:p w:rsidR="00D509E5" w:rsidRPr="00D509E5" w:rsidRDefault="00D509E5" w:rsidP="00CC6CED">
            <w:pPr>
              <w:cnfStyle w:val="000000010000"/>
              <w:rPr>
                <w:rFonts w:ascii="Verdana" w:hAnsi="Verdana"/>
                <w:color w:val="1F497D" w:themeColor="text2"/>
                <w:sz w:val="28"/>
                <w:szCs w:val="28"/>
              </w:rPr>
            </w:pPr>
          </w:p>
        </w:tc>
        <w:tc>
          <w:tcPr>
            <w:tcW w:w="8958" w:type="dxa"/>
            <w:shd w:val="clear" w:color="auto" w:fill="auto"/>
          </w:tcPr>
          <w:p w:rsidR="00D509E5" w:rsidRPr="00D509E5" w:rsidRDefault="00D509E5" w:rsidP="00CC6CED">
            <w:pPr>
              <w:cnfStyle w:val="000000010000"/>
              <w:rPr>
                <w:rFonts w:ascii="Verdana" w:hAnsi="Verdana"/>
                <w:color w:val="1F497D" w:themeColor="text2"/>
                <w:sz w:val="28"/>
                <w:szCs w:val="28"/>
              </w:rPr>
            </w:pPr>
            <w:r w:rsidRPr="00D509E5">
              <w:rPr>
                <w:rFonts w:ascii="Verdana" w:hAnsi="Verdana"/>
                <w:color w:val="1F497D" w:themeColor="text2"/>
                <w:sz w:val="28"/>
                <w:szCs w:val="28"/>
              </w:rPr>
              <w:t>EL SECTOR DE LA INCLUSION SOCIAL EN COLOMBIA</w:t>
            </w:r>
          </w:p>
        </w:tc>
      </w:tr>
      <w:tr w:rsidR="00D509E5" w:rsidRPr="00D509E5" w:rsidTr="00670FC0">
        <w:trPr>
          <w:cnfStyle w:val="000000100000"/>
        </w:trPr>
        <w:tc>
          <w:tcPr>
            <w:cnfStyle w:val="001000000000"/>
            <w:tcW w:w="816" w:type="dxa"/>
            <w:shd w:val="clear" w:color="auto" w:fill="auto"/>
          </w:tcPr>
          <w:p w:rsidR="00D509E5" w:rsidRPr="00D509E5" w:rsidRDefault="00D509E5" w:rsidP="00CC6CED">
            <w:pPr>
              <w:rPr>
                <w:rFonts w:ascii="Verdana" w:hAnsi="Verdana"/>
                <w:color w:val="1F497D" w:themeColor="text2"/>
                <w:sz w:val="28"/>
                <w:szCs w:val="28"/>
              </w:rPr>
            </w:pPr>
          </w:p>
        </w:tc>
        <w:tc>
          <w:tcPr>
            <w:tcW w:w="414" w:type="dxa"/>
            <w:shd w:val="clear" w:color="auto" w:fill="auto"/>
          </w:tcPr>
          <w:p w:rsidR="00D509E5" w:rsidRPr="00D509E5" w:rsidRDefault="00D509E5" w:rsidP="00CC6CED">
            <w:pPr>
              <w:cnfStyle w:val="000000100000"/>
              <w:rPr>
                <w:rFonts w:ascii="Verdana" w:hAnsi="Verdana"/>
                <w:color w:val="1F497D" w:themeColor="text2"/>
                <w:sz w:val="28"/>
                <w:szCs w:val="28"/>
              </w:rPr>
            </w:pPr>
          </w:p>
        </w:tc>
        <w:tc>
          <w:tcPr>
            <w:tcW w:w="8958" w:type="dxa"/>
            <w:shd w:val="clear" w:color="auto" w:fill="auto"/>
          </w:tcPr>
          <w:p w:rsidR="00D509E5" w:rsidRPr="00D509E5" w:rsidRDefault="00D509E5" w:rsidP="00CC6CED">
            <w:pPr>
              <w:cnfStyle w:val="000000100000"/>
              <w:rPr>
                <w:rFonts w:ascii="Verdana" w:hAnsi="Verdana"/>
                <w:color w:val="1F497D" w:themeColor="text2"/>
                <w:sz w:val="28"/>
                <w:szCs w:val="28"/>
              </w:rPr>
            </w:pPr>
          </w:p>
        </w:tc>
      </w:tr>
      <w:tr w:rsidR="00D509E5" w:rsidRPr="00D509E5" w:rsidTr="00670FC0">
        <w:trPr>
          <w:cnfStyle w:val="000000010000"/>
        </w:trPr>
        <w:tc>
          <w:tcPr>
            <w:cnfStyle w:val="001000000000"/>
            <w:tcW w:w="816" w:type="dxa"/>
            <w:shd w:val="clear" w:color="auto" w:fill="auto"/>
          </w:tcPr>
          <w:p w:rsidR="00D509E5" w:rsidRPr="00D509E5" w:rsidRDefault="00D509E5" w:rsidP="00CC6CED">
            <w:pPr>
              <w:rPr>
                <w:rFonts w:ascii="Verdana" w:hAnsi="Verdana"/>
                <w:color w:val="1F497D" w:themeColor="text2"/>
                <w:sz w:val="28"/>
                <w:szCs w:val="28"/>
              </w:rPr>
            </w:pPr>
          </w:p>
        </w:tc>
        <w:tc>
          <w:tcPr>
            <w:tcW w:w="414" w:type="dxa"/>
            <w:shd w:val="clear" w:color="auto" w:fill="auto"/>
          </w:tcPr>
          <w:p w:rsidR="00D509E5" w:rsidRPr="00D509E5" w:rsidRDefault="00D509E5" w:rsidP="00CC6CED">
            <w:pPr>
              <w:cnfStyle w:val="000000010000"/>
              <w:rPr>
                <w:rFonts w:ascii="Verdana" w:hAnsi="Verdana"/>
                <w:color w:val="1F497D" w:themeColor="text2"/>
                <w:sz w:val="28"/>
                <w:szCs w:val="28"/>
              </w:rPr>
            </w:pPr>
          </w:p>
        </w:tc>
        <w:tc>
          <w:tcPr>
            <w:tcW w:w="8958" w:type="dxa"/>
            <w:shd w:val="clear" w:color="auto" w:fill="auto"/>
          </w:tcPr>
          <w:p w:rsidR="00D509E5" w:rsidRPr="00D509E5" w:rsidRDefault="00D509E5" w:rsidP="00CC6CED">
            <w:pPr>
              <w:cnfStyle w:val="000000010000"/>
              <w:rPr>
                <w:rFonts w:ascii="Verdana" w:hAnsi="Verdana"/>
                <w:color w:val="1F497D" w:themeColor="text2"/>
                <w:sz w:val="28"/>
                <w:szCs w:val="28"/>
              </w:rPr>
            </w:pPr>
            <w:r w:rsidRPr="00D509E5">
              <w:rPr>
                <w:rFonts w:ascii="Verdana" w:hAnsi="Verdana"/>
                <w:color w:val="1F497D" w:themeColor="text2"/>
                <w:sz w:val="28"/>
                <w:szCs w:val="28"/>
              </w:rPr>
              <w:t>INFORME DE RENDICION DE CUENTAS SECTORIAL GESTI</w:t>
            </w:r>
            <w:r>
              <w:rPr>
                <w:rFonts w:ascii="Verdana" w:hAnsi="Verdana"/>
                <w:color w:val="1F497D" w:themeColor="text2"/>
                <w:sz w:val="28"/>
                <w:szCs w:val="28"/>
              </w:rPr>
              <w:t>O</w:t>
            </w:r>
            <w:r w:rsidRPr="00D509E5">
              <w:rPr>
                <w:rFonts w:ascii="Verdana" w:hAnsi="Verdana"/>
                <w:color w:val="1F497D" w:themeColor="text2"/>
                <w:sz w:val="28"/>
                <w:szCs w:val="28"/>
              </w:rPr>
              <w:t>N 2014</w:t>
            </w:r>
          </w:p>
        </w:tc>
      </w:tr>
      <w:tr w:rsidR="00D509E5" w:rsidRPr="00D509E5" w:rsidTr="00670FC0">
        <w:trPr>
          <w:cnfStyle w:val="000000100000"/>
        </w:trPr>
        <w:tc>
          <w:tcPr>
            <w:cnfStyle w:val="001000000000"/>
            <w:tcW w:w="816" w:type="dxa"/>
            <w:shd w:val="clear" w:color="auto" w:fill="auto"/>
          </w:tcPr>
          <w:p w:rsidR="00D509E5" w:rsidRPr="00D509E5" w:rsidRDefault="00D509E5" w:rsidP="00CC6CED">
            <w:pPr>
              <w:jc w:val="both"/>
              <w:rPr>
                <w:rFonts w:ascii="Verdana" w:hAnsi="Verdana"/>
                <w:b w:val="0"/>
                <w:color w:val="1F497D" w:themeColor="text2"/>
                <w:sz w:val="28"/>
                <w:szCs w:val="28"/>
              </w:rPr>
            </w:pPr>
          </w:p>
        </w:tc>
        <w:tc>
          <w:tcPr>
            <w:tcW w:w="414" w:type="dxa"/>
            <w:shd w:val="clear" w:color="auto" w:fill="auto"/>
          </w:tcPr>
          <w:p w:rsidR="00D509E5" w:rsidRPr="00D509E5" w:rsidRDefault="00D509E5" w:rsidP="00CC6CED">
            <w:pPr>
              <w:jc w:val="both"/>
              <w:cnfStyle w:val="000000100000"/>
              <w:rPr>
                <w:rFonts w:ascii="Verdana" w:hAnsi="Verdana"/>
                <w:b/>
                <w:color w:val="1F497D" w:themeColor="text2"/>
                <w:sz w:val="28"/>
                <w:szCs w:val="28"/>
              </w:rPr>
            </w:pPr>
          </w:p>
        </w:tc>
        <w:tc>
          <w:tcPr>
            <w:tcW w:w="8958" w:type="dxa"/>
            <w:shd w:val="clear" w:color="auto" w:fill="auto"/>
          </w:tcPr>
          <w:p w:rsidR="00D509E5" w:rsidRPr="00D509E5" w:rsidRDefault="00D509E5" w:rsidP="00CC6CED">
            <w:pPr>
              <w:jc w:val="both"/>
              <w:cnfStyle w:val="000000100000"/>
              <w:rPr>
                <w:rFonts w:ascii="Verdana" w:hAnsi="Verdana"/>
                <w:b/>
                <w:color w:val="1F497D" w:themeColor="text2"/>
                <w:sz w:val="28"/>
                <w:szCs w:val="28"/>
              </w:rPr>
            </w:pPr>
          </w:p>
        </w:tc>
      </w:tr>
      <w:tr w:rsidR="00D509E5" w:rsidRPr="00D509E5" w:rsidTr="00670FC0">
        <w:trPr>
          <w:cnfStyle w:val="000000010000"/>
        </w:trPr>
        <w:tc>
          <w:tcPr>
            <w:cnfStyle w:val="001000000000"/>
            <w:tcW w:w="816" w:type="dxa"/>
            <w:shd w:val="clear" w:color="auto" w:fill="auto"/>
          </w:tcPr>
          <w:p w:rsidR="00D509E5" w:rsidRPr="00D509E5" w:rsidRDefault="00EB69A8" w:rsidP="00CC6CED">
            <w:pPr>
              <w:jc w:val="both"/>
              <w:rPr>
                <w:rFonts w:ascii="Verdana" w:hAnsi="Verdana"/>
                <w:b w:val="0"/>
                <w:color w:val="1F497D" w:themeColor="text2"/>
                <w:sz w:val="28"/>
                <w:szCs w:val="28"/>
              </w:rPr>
            </w:pPr>
            <w:r w:rsidRPr="00EB69A8">
              <w:rPr>
                <w:rFonts w:ascii="Verdana" w:hAnsi="Verdana"/>
                <w:noProof/>
                <w:color w:val="1F497D" w:themeColor="text2"/>
                <w:sz w:val="28"/>
                <w:szCs w:val="28"/>
                <w:lang w:eastAsia="es-CO"/>
              </w:rPr>
              <w:drawing>
                <wp:inline distT="0" distB="0" distL="0" distR="0">
                  <wp:extent cx="360040" cy="288032"/>
                  <wp:effectExtent l="19050" t="0" r="1910" b="0"/>
                  <wp:docPr id="58" name="Objeto 3">
                    <a:hlinkClick xmlns:a="http://schemas.openxmlformats.org/drawingml/2006/main" r:id="rId16" tooltip="Ir a Rendicion de Cuentas DPS"/>
                  </wp:docPr>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0040" cy="288032"/>
                            <a:chOff x="7236296" y="2420888"/>
                            <a:chExt cx="360040" cy="288032"/>
                          </a:xfrm>
                        </a:grpSpPr>
                        <a:sp>
                          <a:nvSpPr>
                            <a:cNvPr id="7" name="6 Pentágono"/>
                            <a:cNvSpPr/>
                          </a:nvSpPr>
                          <a:spPr>
                            <a:xfrm>
                              <a:off x="7236296" y="2420888"/>
                              <a:ext cx="360040" cy="288032"/>
                            </a:xfrm>
                            <a:prstGeom prst="homePlate">
                              <a:avLst/>
                            </a:prstGeom>
                            <a:gradFill flip="none" rotWithShape="1">
                              <a:gsLst>
                                <a:gs pos="0">
                                  <a:schemeClr val="tx2">
                                    <a:lumMod val="40000"/>
                                    <a:lumOff val="60000"/>
                                    <a:shade val="30000"/>
                                    <a:satMod val="115000"/>
                                  </a:schemeClr>
                                </a:gs>
                                <a:gs pos="50000">
                                  <a:schemeClr val="tx2">
                                    <a:lumMod val="40000"/>
                                    <a:lumOff val="60000"/>
                                    <a:shade val="67500"/>
                                    <a:satMod val="115000"/>
                                  </a:schemeClr>
                                </a:gs>
                                <a:gs pos="100000">
                                  <a:schemeClr val="tx2">
                                    <a:lumMod val="40000"/>
                                    <a:lumOff val="60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dirty="0">
                                  <a:solidFill>
                                    <a:schemeClr val="accent4">
                                      <a:lumMod val="40000"/>
                                      <a:lumOff val="60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c>
          <w:tcPr>
            <w:tcW w:w="414" w:type="dxa"/>
            <w:shd w:val="clear" w:color="auto" w:fill="auto"/>
          </w:tcPr>
          <w:p w:rsidR="00D509E5" w:rsidRPr="00D509E5" w:rsidRDefault="00D509E5" w:rsidP="00CC6CED">
            <w:pPr>
              <w:jc w:val="both"/>
              <w:cnfStyle w:val="000000010000"/>
              <w:rPr>
                <w:rFonts w:ascii="Verdana" w:hAnsi="Verdana"/>
                <w:b/>
                <w:color w:val="1F497D" w:themeColor="text2"/>
                <w:sz w:val="28"/>
                <w:szCs w:val="28"/>
              </w:rPr>
            </w:pPr>
          </w:p>
        </w:tc>
        <w:tc>
          <w:tcPr>
            <w:tcW w:w="8958" w:type="dxa"/>
            <w:shd w:val="clear" w:color="auto" w:fill="auto"/>
          </w:tcPr>
          <w:p w:rsidR="00D509E5" w:rsidRPr="00344E7A" w:rsidRDefault="00D509E5" w:rsidP="00905C49">
            <w:pPr>
              <w:pStyle w:val="Prrafodelista"/>
              <w:numPr>
                <w:ilvl w:val="0"/>
                <w:numId w:val="122"/>
              </w:numPr>
              <w:jc w:val="both"/>
              <w:cnfStyle w:val="000000010000"/>
              <w:rPr>
                <w:rFonts w:ascii="Verdana" w:hAnsi="Verdana"/>
                <w:color w:val="1F497D" w:themeColor="text2"/>
                <w:sz w:val="28"/>
                <w:szCs w:val="28"/>
              </w:rPr>
            </w:pPr>
            <w:r w:rsidRPr="00344E7A">
              <w:rPr>
                <w:rFonts w:ascii="Verdana" w:hAnsi="Verdana"/>
                <w:color w:val="1F497D" w:themeColor="text2"/>
                <w:sz w:val="28"/>
                <w:szCs w:val="28"/>
              </w:rPr>
              <w:t>DEPARTAMENTO DE PROSPERIDAD SOCIAL – DPS</w:t>
            </w:r>
          </w:p>
          <w:p w:rsidR="00D509E5" w:rsidRDefault="00D509E5" w:rsidP="00CC6CED">
            <w:pPr>
              <w:jc w:val="both"/>
              <w:cnfStyle w:val="000000010000"/>
              <w:rPr>
                <w:rFonts w:ascii="Verdana" w:hAnsi="Verdana"/>
                <w:color w:val="1F497D" w:themeColor="text2"/>
                <w:sz w:val="28"/>
                <w:szCs w:val="28"/>
              </w:rPr>
            </w:pPr>
          </w:p>
          <w:p w:rsidR="00EB69A8" w:rsidRPr="00D509E5" w:rsidRDefault="00EB69A8" w:rsidP="00CC6CED">
            <w:pPr>
              <w:jc w:val="both"/>
              <w:cnfStyle w:val="000000010000"/>
              <w:rPr>
                <w:rFonts w:ascii="Verdana" w:hAnsi="Verdana"/>
                <w:color w:val="1F497D" w:themeColor="text2"/>
                <w:sz w:val="28"/>
                <w:szCs w:val="28"/>
              </w:rPr>
            </w:pPr>
          </w:p>
        </w:tc>
      </w:tr>
      <w:tr w:rsidR="00D509E5" w:rsidRPr="00D509E5" w:rsidTr="00670FC0">
        <w:trPr>
          <w:cnfStyle w:val="000000100000"/>
        </w:trPr>
        <w:tc>
          <w:tcPr>
            <w:cnfStyle w:val="001000000000"/>
            <w:tcW w:w="816" w:type="dxa"/>
            <w:shd w:val="clear" w:color="auto" w:fill="auto"/>
          </w:tcPr>
          <w:p w:rsidR="00D509E5" w:rsidRPr="00D509E5" w:rsidRDefault="00EB69A8" w:rsidP="00CC6CED">
            <w:pPr>
              <w:jc w:val="both"/>
              <w:rPr>
                <w:rFonts w:ascii="Verdana" w:hAnsi="Verdana"/>
                <w:color w:val="1F497D" w:themeColor="text2"/>
                <w:sz w:val="28"/>
                <w:szCs w:val="28"/>
              </w:rPr>
            </w:pPr>
            <w:r w:rsidRPr="00EB69A8">
              <w:rPr>
                <w:rFonts w:ascii="Verdana" w:hAnsi="Verdana"/>
                <w:noProof/>
                <w:color w:val="1F497D" w:themeColor="text2"/>
                <w:sz w:val="28"/>
                <w:szCs w:val="28"/>
                <w:lang w:eastAsia="es-CO"/>
              </w:rPr>
              <w:drawing>
                <wp:inline distT="0" distB="0" distL="0" distR="0">
                  <wp:extent cx="360040" cy="288032"/>
                  <wp:effectExtent l="19050" t="0" r="1910" b="0"/>
                  <wp:docPr id="59" name="Objeto 4">
                    <a:hlinkClick xmlns:a="http://schemas.openxmlformats.org/drawingml/2006/main" r:id="rId17" tooltip="Ir a Rendicion de Cuentas ANSPE"/>
                  </wp:docPr>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0040" cy="288032"/>
                            <a:chOff x="5868144" y="2492896"/>
                            <a:chExt cx="360040" cy="288032"/>
                          </a:xfrm>
                        </a:grpSpPr>
                        <a:sp>
                          <a:nvSpPr>
                            <a:cNvPr id="5" name="4 Pentágono"/>
                            <a:cNvSpPr/>
                          </a:nvSpPr>
                          <a:spPr>
                            <a:xfrm>
                              <a:off x="5868144" y="2492896"/>
                              <a:ext cx="360040" cy="288032"/>
                            </a:xfrm>
                            <a:prstGeom prst="homePlate">
                              <a:avLst/>
                            </a:prstGeom>
                            <a:gradFill flip="none" rotWithShape="1">
                              <a:gsLst>
                                <a:gs pos="0">
                                  <a:srgbClr val="CCECFF">
                                    <a:shade val="30000"/>
                                    <a:satMod val="115000"/>
                                  </a:srgbClr>
                                </a:gs>
                                <a:gs pos="50000">
                                  <a:srgbClr val="CCECFF">
                                    <a:shade val="67500"/>
                                    <a:satMod val="115000"/>
                                  </a:srgbClr>
                                </a:gs>
                                <a:gs pos="100000">
                                  <a:srgbClr val="CCECFF">
                                    <a:shade val="100000"/>
                                    <a:satMod val="115000"/>
                                  </a:srgb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c>
          <w:tcPr>
            <w:tcW w:w="414" w:type="dxa"/>
            <w:shd w:val="clear" w:color="auto" w:fill="auto"/>
          </w:tcPr>
          <w:p w:rsidR="00D509E5" w:rsidRPr="00D509E5" w:rsidRDefault="00D509E5" w:rsidP="00CC6CED">
            <w:pPr>
              <w:jc w:val="both"/>
              <w:cnfStyle w:val="000000100000"/>
              <w:rPr>
                <w:rFonts w:ascii="Verdana" w:hAnsi="Verdana"/>
                <w:color w:val="1F497D" w:themeColor="text2"/>
                <w:sz w:val="28"/>
                <w:szCs w:val="28"/>
              </w:rPr>
            </w:pPr>
          </w:p>
        </w:tc>
        <w:tc>
          <w:tcPr>
            <w:tcW w:w="8958" w:type="dxa"/>
            <w:shd w:val="clear" w:color="auto" w:fill="auto"/>
          </w:tcPr>
          <w:p w:rsidR="00D509E5" w:rsidRPr="00344E7A" w:rsidRDefault="00D509E5" w:rsidP="00905C49">
            <w:pPr>
              <w:pStyle w:val="Prrafodelista"/>
              <w:numPr>
                <w:ilvl w:val="0"/>
                <w:numId w:val="122"/>
              </w:numPr>
              <w:jc w:val="both"/>
              <w:cnfStyle w:val="000000100000"/>
              <w:rPr>
                <w:rFonts w:ascii="Verdana" w:hAnsi="Verdana"/>
                <w:color w:val="1F497D" w:themeColor="text2"/>
                <w:sz w:val="28"/>
                <w:szCs w:val="28"/>
              </w:rPr>
            </w:pPr>
            <w:r w:rsidRPr="00344E7A">
              <w:rPr>
                <w:rFonts w:ascii="Verdana" w:hAnsi="Verdana"/>
                <w:color w:val="1F497D" w:themeColor="text2"/>
                <w:sz w:val="28"/>
                <w:szCs w:val="28"/>
              </w:rPr>
              <w:t>AGENCIA NACIONAL PARA LA SUPERACION DE LA POBREZA EXTREMA – ANSPE</w:t>
            </w:r>
          </w:p>
          <w:p w:rsidR="00D509E5" w:rsidRPr="00D509E5" w:rsidRDefault="00D509E5" w:rsidP="00CC6CED">
            <w:pPr>
              <w:jc w:val="both"/>
              <w:cnfStyle w:val="000000100000"/>
              <w:rPr>
                <w:rFonts w:ascii="Verdana" w:hAnsi="Verdana"/>
                <w:color w:val="1F497D" w:themeColor="text2"/>
                <w:sz w:val="28"/>
                <w:szCs w:val="28"/>
              </w:rPr>
            </w:pPr>
          </w:p>
        </w:tc>
      </w:tr>
      <w:tr w:rsidR="00D509E5" w:rsidRPr="00D509E5" w:rsidTr="00670FC0">
        <w:trPr>
          <w:cnfStyle w:val="000000010000"/>
        </w:trPr>
        <w:tc>
          <w:tcPr>
            <w:cnfStyle w:val="001000000000"/>
            <w:tcW w:w="816" w:type="dxa"/>
            <w:shd w:val="clear" w:color="auto" w:fill="auto"/>
          </w:tcPr>
          <w:p w:rsidR="00D509E5" w:rsidRPr="00D509E5" w:rsidRDefault="00EB69A8" w:rsidP="00CC6CED">
            <w:pPr>
              <w:jc w:val="both"/>
              <w:rPr>
                <w:rFonts w:ascii="Verdana" w:hAnsi="Verdana"/>
                <w:b w:val="0"/>
                <w:color w:val="1F497D" w:themeColor="text2"/>
                <w:sz w:val="28"/>
                <w:szCs w:val="28"/>
              </w:rPr>
            </w:pPr>
            <w:r w:rsidRPr="00EB69A8">
              <w:rPr>
                <w:rFonts w:ascii="Verdana" w:hAnsi="Verdana"/>
                <w:noProof/>
                <w:color w:val="1F497D" w:themeColor="text2"/>
                <w:sz w:val="28"/>
                <w:szCs w:val="28"/>
                <w:lang w:eastAsia="es-CO"/>
              </w:rPr>
              <w:drawing>
                <wp:inline distT="0" distB="0" distL="0" distR="0">
                  <wp:extent cx="360040" cy="288032"/>
                  <wp:effectExtent l="19050" t="0" r="1910" b="0"/>
                  <wp:docPr id="60" name="Objeto 5">
                    <a:hlinkClick xmlns:a="http://schemas.openxmlformats.org/drawingml/2006/main" r:id="rId18" tooltip="Ir a Rendicion de Cuentas UARIV"/>
                  </wp:docPr>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0040" cy="288032"/>
                            <a:chOff x="6516216" y="2420888"/>
                            <a:chExt cx="360040" cy="288032"/>
                          </a:xfrm>
                        </a:grpSpPr>
                        <a:sp>
                          <a:nvSpPr>
                            <a:cNvPr id="9" name="8 Pentágono"/>
                            <a:cNvSpPr/>
                          </a:nvSpPr>
                          <a:spPr>
                            <a:xfrm>
                              <a:off x="6516216" y="2420888"/>
                              <a:ext cx="360040" cy="288032"/>
                            </a:xfrm>
                            <a:prstGeom prst="homePlate">
                              <a:avLst/>
                            </a:prstGeom>
                            <a:gradFill flip="none" rotWithShape="1">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c>
          <w:tcPr>
            <w:tcW w:w="414" w:type="dxa"/>
            <w:shd w:val="clear" w:color="auto" w:fill="auto"/>
          </w:tcPr>
          <w:p w:rsidR="00D509E5" w:rsidRPr="00D509E5" w:rsidRDefault="00D509E5" w:rsidP="00CC6CED">
            <w:pPr>
              <w:jc w:val="both"/>
              <w:cnfStyle w:val="000000010000"/>
              <w:rPr>
                <w:rFonts w:ascii="Verdana" w:hAnsi="Verdana"/>
                <w:b/>
                <w:color w:val="1F497D" w:themeColor="text2"/>
                <w:sz w:val="28"/>
                <w:szCs w:val="28"/>
              </w:rPr>
            </w:pPr>
          </w:p>
        </w:tc>
        <w:tc>
          <w:tcPr>
            <w:tcW w:w="8958" w:type="dxa"/>
            <w:shd w:val="clear" w:color="auto" w:fill="auto"/>
          </w:tcPr>
          <w:p w:rsidR="00D509E5" w:rsidRPr="00344E7A" w:rsidRDefault="00D509E5" w:rsidP="00905C49">
            <w:pPr>
              <w:pStyle w:val="Prrafodelista"/>
              <w:numPr>
                <w:ilvl w:val="0"/>
                <w:numId w:val="122"/>
              </w:numPr>
              <w:jc w:val="both"/>
              <w:cnfStyle w:val="000000010000"/>
              <w:rPr>
                <w:rFonts w:ascii="Verdana" w:hAnsi="Verdana"/>
                <w:color w:val="1F497D" w:themeColor="text2"/>
                <w:sz w:val="28"/>
                <w:szCs w:val="28"/>
              </w:rPr>
            </w:pPr>
            <w:r w:rsidRPr="00344E7A">
              <w:rPr>
                <w:rFonts w:ascii="Verdana" w:hAnsi="Verdana"/>
                <w:color w:val="1F497D" w:themeColor="text2"/>
                <w:sz w:val="28"/>
                <w:szCs w:val="28"/>
              </w:rPr>
              <w:t>UNIDAD PARA LA ATENCIÓN  Y REPARACION INTEGRAL DE LAS VICTIMAS – UARIV</w:t>
            </w:r>
          </w:p>
          <w:p w:rsidR="00D509E5" w:rsidRPr="00D509E5" w:rsidRDefault="00D509E5" w:rsidP="00CC6CED">
            <w:pPr>
              <w:jc w:val="both"/>
              <w:cnfStyle w:val="000000010000"/>
              <w:rPr>
                <w:rFonts w:ascii="Verdana" w:hAnsi="Verdana"/>
                <w:color w:val="1F497D" w:themeColor="text2"/>
                <w:sz w:val="28"/>
                <w:szCs w:val="28"/>
              </w:rPr>
            </w:pPr>
          </w:p>
        </w:tc>
      </w:tr>
      <w:tr w:rsidR="00D509E5" w:rsidRPr="00D509E5" w:rsidTr="00670FC0">
        <w:trPr>
          <w:cnfStyle w:val="000000100000"/>
        </w:trPr>
        <w:tc>
          <w:tcPr>
            <w:cnfStyle w:val="001000000000"/>
            <w:tcW w:w="816" w:type="dxa"/>
            <w:shd w:val="clear" w:color="auto" w:fill="auto"/>
          </w:tcPr>
          <w:p w:rsidR="00D509E5" w:rsidRPr="00D509E5" w:rsidRDefault="00EB69A8" w:rsidP="00CC6CED">
            <w:pPr>
              <w:jc w:val="both"/>
              <w:rPr>
                <w:rFonts w:ascii="Verdana" w:hAnsi="Verdana"/>
                <w:color w:val="1F497D" w:themeColor="text2"/>
                <w:sz w:val="28"/>
                <w:szCs w:val="28"/>
              </w:rPr>
            </w:pPr>
            <w:r w:rsidRPr="00EB69A8">
              <w:rPr>
                <w:rFonts w:ascii="Verdana" w:hAnsi="Verdana"/>
                <w:noProof/>
                <w:color w:val="1F497D" w:themeColor="text2"/>
                <w:sz w:val="28"/>
                <w:szCs w:val="28"/>
                <w:lang w:eastAsia="es-CO"/>
              </w:rPr>
              <w:drawing>
                <wp:inline distT="0" distB="0" distL="0" distR="0">
                  <wp:extent cx="360040" cy="288032"/>
                  <wp:effectExtent l="19050" t="0" r="1910" b="0"/>
                  <wp:docPr id="63" name="Objeto 7">
                    <a:hlinkClick xmlns:a="http://schemas.openxmlformats.org/drawingml/2006/main" r:id="rId19" tooltip="Ir a Rendicion de Cuentas CNMH"/>
                  </wp:docPr>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0040" cy="288032"/>
                            <a:chOff x="8028384" y="4365104"/>
                            <a:chExt cx="360040" cy="288032"/>
                          </a:xfrm>
                        </a:grpSpPr>
                        <a:sp>
                          <a:nvSpPr>
                            <a:cNvPr id="10" name="9 Pentágono"/>
                            <a:cNvSpPr/>
                          </a:nvSpPr>
                          <a:spPr>
                            <a:xfrm>
                              <a:off x="8028384" y="4365104"/>
                              <a:ext cx="360040" cy="288032"/>
                            </a:xfrm>
                            <a:prstGeom prst="homePlate">
                              <a:avLst/>
                            </a:prstGeom>
                            <a:gradFill flip="none" rotWithShape="1">
                              <a:gsLst>
                                <a:gs pos="0">
                                  <a:schemeClr val="bg1">
                                    <a:lumMod val="85000"/>
                                    <a:shade val="30000"/>
                                    <a:satMod val="115000"/>
                                  </a:schemeClr>
                                </a:gs>
                                <a:gs pos="50000">
                                  <a:schemeClr val="bg1">
                                    <a:lumMod val="85000"/>
                                    <a:shade val="67500"/>
                                    <a:satMod val="115000"/>
                                  </a:schemeClr>
                                </a:gs>
                                <a:gs pos="100000">
                                  <a:schemeClr val="bg1">
                                    <a:lumMod val="85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c>
          <w:tcPr>
            <w:tcW w:w="414" w:type="dxa"/>
            <w:shd w:val="clear" w:color="auto" w:fill="auto"/>
          </w:tcPr>
          <w:p w:rsidR="00D509E5" w:rsidRPr="00D509E5" w:rsidRDefault="00D509E5" w:rsidP="00CC6CED">
            <w:pPr>
              <w:jc w:val="both"/>
              <w:cnfStyle w:val="000000100000"/>
              <w:rPr>
                <w:rFonts w:ascii="Verdana" w:hAnsi="Verdana"/>
                <w:color w:val="1F497D" w:themeColor="text2"/>
                <w:sz w:val="28"/>
                <w:szCs w:val="28"/>
              </w:rPr>
            </w:pPr>
          </w:p>
        </w:tc>
        <w:tc>
          <w:tcPr>
            <w:tcW w:w="8958" w:type="dxa"/>
            <w:shd w:val="clear" w:color="auto" w:fill="auto"/>
          </w:tcPr>
          <w:p w:rsidR="00D509E5" w:rsidRPr="00581D8C" w:rsidRDefault="00D509E5" w:rsidP="00905C49">
            <w:pPr>
              <w:pStyle w:val="Prrafodelista"/>
              <w:numPr>
                <w:ilvl w:val="0"/>
                <w:numId w:val="122"/>
              </w:numPr>
              <w:jc w:val="both"/>
              <w:cnfStyle w:val="000000100000"/>
              <w:rPr>
                <w:rFonts w:ascii="Verdana" w:hAnsi="Verdana"/>
                <w:color w:val="1F497D" w:themeColor="text2"/>
                <w:sz w:val="28"/>
                <w:szCs w:val="28"/>
              </w:rPr>
            </w:pPr>
            <w:r w:rsidRPr="00581D8C">
              <w:rPr>
                <w:rFonts w:ascii="Verdana" w:hAnsi="Verdana"/>
                <w:color w:val="1F497D" w:themeColor="text2"/>
                <w:sz w:val="28"/>
                <w:szCs w:val="28"/>
              </w:rPr>
              <w:t xml:space="preserve">CENTRO </w:t>
            </w:r>
            <w:r w:rsidR="00670FC0">
              <w:rPr>
                <w:rFonts w:ascii="Verdana" w:hAnsi="Verdana"/>
                <w:color w:val="1F497D" w:themeColor="text2"/>
                <w:sz w:val="28"/>
                <w:szCs w:val="28"/>
              </w:rPr>
              <w:t>N</w:t>
            </w:r>
            <w:r w:rsidRPr="00581D8C">
              <w:rPr>
                <w:rFonts w:ascii="Verdana" w:hAnsi="Verdana"/>
                <w:color w:val="1F497D" w:themeColor="text2"/>
                <w:sz w:val="28"/>
                <w:szCs w:val="28"/>
              </w:rPr>
              <w:t>ACIONAL DE MEMORIA HISTÓRICA – CNMH</w:t>
            </w:r>
          </w:p>
          <w:p w:rsidR="00EB69A8" w:rsidRPr="00D509E5" w:rsidRDefault="00EB69A8" w:rsidP="00CC6CED">
            <w:pPr>
              <w:jc w:val="both"/>
              <w:cnfStyle w:val="000000100000"/>
              <w:rPr>
                <w:rFonts w:ascii="Verdana" w:hAnsi="Verdana"/>
                <w:color w:val="1F497D" w:themeColor="text2"/>
                <w:sz w:val="28"/>
                <w:szCs w:val="28"/>
              </w:rPr>
            </w:pPr>
          </w:p>
        </w:tc>
      </w:tr>
      <w:tr w:rsidR="00D509E5" w:rsidRPr="00D509E5" w:rsidTr="00670FC0">
        <w:trPr>
          <w:cnfStyle w:val="000000010000"/>
        </w:trPr>
        <w:tc>
          <w:tcPr>
            <w:cnfStyle w:val="001000000000"/>
            <w:tcW w:w="816" w:type="dxa"/>
            <w:shd w:val="clear" w:color="auto" w:fill="auto"/>
          </w:tcPr>
          <w:p w:rsidR="00D509E5" w:rsidRPr="00D509E5" w:rsidRDefault="00EB69A8" w:rsidP="00CC6CED">
            <w:pPr>
              <w:jc w:val="both"/>
              <w:rPr>
                <w:rFonts w:ascii="Verdana" w:hAnsi="Verdana"/>
                <w:b w:val="0"/>
                <w:color w:val="1F497D" w:themeColor="text2"/>
                <w:sz w:val="28"/>
                <w:szCs w:val="28"/>
              </w:rPr>
            </w:pPr>
            <w:r w:rsidRPr="00EB69A8">
              <w:rPr>
                <w:rFonts w:ascii="Verdana" w:hAnsi="Verdana"/>
                <w:noProof/>
                <w:color w:val="1F497D" w:themeColor="text2"/>
                <w:sz w:val="28"/>
                <w:szCs w:val="28"/>
                <w:lang w:eastAsia="es-CO"/>
              </w:rPr>
              <w:drawing>
                <wp:inline distT="0" distB="0" distL="0" distR="0">
                  <wp:extent cx="360040" cy="288032"/>
                  <wp:effectExtent l="19050" t="0" r="1910" b="0"/>
                  <wp:docPr id="62" name="Objeto 6">
                    <a:hlinkClick xmlns:a="http://schemas.openxmlformats.org/drawingml/2006/main" r:id="rId20" tooltip="Ir a Rendicion de Cuentas UACT"/>
                  </wp:docPr>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0040" cy="288032"/>
                            <a:chOff x="6372200" y="4437112"/>
                            <a:chExt cx="360040" cy="288032"/>
                          </a:xfrm>
                        </a:grpSpPr>
                        <a:sp>
                          <a:nvSpPr>
                            <a:cNvPr id="25" name="24 Pentágono"/>
                            <a:cNvSpPr/>
                          </a:nvSpPr>
                          <a:spPr>
                            <a:xfrm>
                              <a:off x="6372200" y="4437112"/>
                              <a:ext cx="360040" cy="288032"/>
                            </a:xfrm>
                            <a:prstGeom prst="homePlate">
                              <a:avLst/>
                            </a:prstGeom>
                            <a:gradFill flip="none" rotWithShape="1">
                              <a:gsLst>
                                <a:gs pos="0">
                                  <a:schemeClr val="bg1">
                                    <a:lumMod val="65000"/>
                                    <a:shade val="30000"/>
                                    <a:satMod val="115000"/>
                                  </a:schemeClr>
                                </a:gs>
                                <a:gs pos="50000">
                                  <a:schemeClr val="bg1">
                                    <a:lumMod val="65000"/>
                                    <a:shade val="67500"/>
                                    <a:satMod val="115000"/>
                                  </a:schemeClr>
                                </a:gs>
                                <a:gs pos="100000">
                                  <a:schemeClr val="bg1">
                                    <a:lumMod val="65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c>
          <w:tcPr>
            <w:tcW w:w="414" w:type="dxa"/>
            <w:shd w:val="clear" w:color="auto" w:fill="auto"/>
          </w:tcPr>
          <w:p w:rsidR="00D509E5" w:rsidRPr="00D509E5" w:rsidRDefault="00D509E5" w:rsidP="00CC6CED">
            <w:pPr>
              <w:jc w:val="both"/>
              <w:cnfStyle w:val="000000010000"/>
              <w:rPr>
                <w:rFonts w:ascii="Verdana" w:hAnsi="Verdana"/>
                <w:b/>
                <w:color w:val="1F497D" w:themeColor="text2"/>
                <w:sz w:val="28"/>
                <w:szCs w:val="28"/>
              </w:rPr>
            </w:pPr>
          </w:p>
        </w:tc>
        <w:tc>
          <w:tcPr>
            <w:tcW w:w="8958" w:type="dxa"/>
            <w:shd w:val="clear" w:color="auto" w:fill="auto"/>
          </w:tcPr>
          <w:p w:rsidR="00D509E5" w:rsidRPr="00344E7A" w:rsidRDefault="00D509E5" w:rsidP="00905C49">
            <w:pPr>
              <w:pStyle w:val="Prrafodelista"/>
              <w:numPr>
                <w:ilvl w:val="0"/>
                <w:numId w:val="122"/>
              </w:numPr>
              <w:jc w:val="both"/>
              <w:cnfStyle w:val="000000010000"/>
              <w:rPr>
                <w:rFonts w:ascii="Verdana" w:hAnsi="Verdana"/>
                <w:color w:val="1F497D" w:themeColor="text2"/>
                <w:sz w:val="28"/>
                <w:szCs w:val="28"/>
              </w:rPr>
            </w:pPr>
            <w:r w:rsidRPr="00344E7A">
              <w:rPr>
                <w:rFonts w:ascii="Verdana" w:hAnsi="Verdana"/>
                <w:color w:val="1F497D" w:themeColor="text2"/>
                <w:sz w:val="28"/>
                <w:szCs w:val="28"/>
              </w:rPr>
              <w:t>UNIDAD ADMINISTRATIVA PARA LA CONSOLIDACION TERRITORIAL – UACT</w:t>
            </w:r>
          </w:p>
          <w:p w:rsidR="00D509E5" w:rsidRPr="00D509E5" w:rsidRDefault="00D509E5" w:rsidP="00CC6CED">
            <w:pPr>
              <w:jc w:val="both"/>
              <w:cnfStyle w:val="000000010000"/>
              <w:rPr>
                <w:rFonts w:ascii="Verdana" w:hAnsi="Verdana"/>
                <w:color w:val="1F497D" w:themeColor="text2"/>
                <w:sz w:val="28"/>
                <w:szCs w:val="28"/>
              </w:rPr>
            </w:pPr>
          </w:p>
        </w:tc>
      </w:tr>
      <w:tr w:rsidR="00D509E5" w:rsidRPr="00C00566" w:rsidTr="00781F53">
        <w:trPr>
          <w:cnfStyle w:val="000000100000"/>
        </w:trPr>
        <w:tc>
          <w:tcPr>
            <w:cnfStyle w:val="001000000000"/>
            <w:tcW w:w="816" w:type="dxa"/>
            <w:shd w:val="clear" w:color="auto" w:fill="auto"/>
          </w:tcPr>
          <w:p w:rsidR="00D509E5" w:rsidRPr="00D509E5" w:rsidRDefault="00EB69A8" w:rsidP="00EB69A8">
            <w:pPr>
              <w:jc w:val="both"/>
              <w:rPr>
                <w:rFonts w:ascii="Verdana" w:hAnsi="Verdana"/>
                <w:color w:val="1F497D" w:themeColor="text2"/>
                <w:sz w:val="28"/>
                <w:szCs w:val="28"/>
              </w:rPr>
            </w:pPr>
            <w:r w:rsidRPr="00EB69A8">
              <w:rPr>
                <w:rFonts w:ascii="Verdana" w:hAnsi="Verdana"/>
                <w:noProof/>
                <w:color w:val="1F497D" w:themeColor="text2"/>
                <w:sz w:val="28"/>
                <w:szCs w:val="28"/>
                <w:lang w:eastAsia="es-CO"/>
              </w:rPr>
              <w:drawing>
                <wp:inline distT="0" distB="0" distL="0" distR="0">
                  <wp:extent cx="360040" cy="288032"/>
                  <wp:effectExtent l="19050" t="0" r="1910" b="0"/>
                  <wp:docPr id="65" name="Objeto 9">
                    <a:hlinkClick xmlns:a="http://schemas.openxmlformats.org/drawingml/2006/main" r:id="rId21" tooltip="Ir a Rendicion de Cuentas ICBF"/>
                  </wp:docPr>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0040" cy="288032"/>
                            <a:chOff x="7884368" y="2420888"/>
                            <a:chExt cx="360040" cy="288032"/>
                          </a:xfrm>
                        </a:grpSpPr>
                        <a:sp>
                          <a:nvSpPr>
                            <a:cNvPr id="6" name="5 Pentágono"/>
                            <a:cNvSpPr/>
                          </a:nvSpPr>
                          <a:spPr>
                            <a:xfrm>
                              <a:off x="7884368" y="2420888"/>
                              <a:ext cx="360040" cy="288032"/>
                            </a:xfrm>
                            <a:prstGeom prst="homePlate">
                              <a:avLst/>
                            </a:prstGeom>
                            <a:solidFill>
                              <a:schemeClr val="tx2">
                                <a:lumMod val="75000"/>
                              </a:schemeClr>
                            </a:soli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c>
          <w:tcPr>
            <w:tcW w:w="414" w:type="dxa"/>
            <w:shd w:val="clear" w:color="auto" w:fill="auto"/>
          </w:tcPr>
          <w:p w:rsidR="00D509E5" w:rsidRPr="00D509E5" w:rsidRDefault="00D509E5" w:rsidP="00D509E5">
            <w:pPr>
              <w:ind w:left="708"/>
              <w:jc w:val="both"/>
              <w:cnfStyle w:val="000000100000"/>
              <w:rPr>
                <w:rFonts w:ascii="Verdana" w:hAnsi="Verdana"/>
                <w:color w:val="1F497D" w:themeColor="text2"/>
                <w:sz w:val="28"/>
                <w:szCs w:val="28"/>
              </w:rPr>
            </w:pPr>
          </w:p>
        </w:tc>
        <w:tc>
          <w:tcPr>
            <w:tcW w:w="8958" w:type="dxa"/>
            <w:shd w:val="clear" w:color="auto" w:fill="auto"/>
          </w:tcPr>
          <w:p w:rsidR="00D509E5" w:rsidRPr="00344E7A" w:rsidRDefault="00D509E5" w:rsidP="00905C49">
            <w:pPr>
              <w:pStyle w:val="Prrafodelista"/>
              <w:numPr>
                <w:ilvl w:val="0"/>
                <w:numId w:val="122"/>
              </w:numPr>
              <w:jc w:val="both"/>
              <w:cnfStyle w:val="000000100000"/>
              <w:rPr>
                <w:rFonts w:ascii="Verdana" w:hAnsi="Verdana"/>
                <w:color w:val="1F497D" w:themeColor="text2"/>
                <w:sz w:val="28"/>
                <w:szCs w:val="28"/>
              </w:rPr>
            </w:pPr>
            <w:r w:rsidRPr="00344E7A">
              <w:rPr>
                <w:rFonts w:ascii="Verdana" w:hAnsi="Verdana"/>
                <w:color w:val="1F497D" w:themeColor="text2"/>
                <w:sz w:val="28"/>
                <w:szCs w:val="28"/>
              </w:rPr>
              <w:t xml:space="preserve">INSTITUTO COLOMBIANO PARA EL BIENESTRA FAMILIAR </w:t>
            </w:r>
            <w:r w:rsidR="00EB69A8" w:rsidRPr="00344E7A">
              <w:rPr>
                <w:rFonts w:ascii="Verdana" w:hAnsi="Verdana"/>
                <w:color w:val="1F497D" w:themeColor="text2"/>
                <w:sz w:val="28"/>
                <w:szCs w:val="28"/>
              </w:rPr>
              <w:t>–</w:t>
            </w:r>
            <w:r w:rsidRPr="00344E7A">
              <w:rPr>
                <w:rFonts w:ascii="Verdana" w:hAnsi="Verdana"/>
                <w:color w:val="1F497D" w:themeColor="text2"/>
                <w:sz w:val="28"/>
                <w:szCs w:val="28"/>
              </w:rPr>
              <w:t xml:space="preserve"> ICBF</w:t>
            </w:r>
          </w:p>
        </w:tc>
      </w:tr>
      <w:tr w:rsidR="00675A1D" w:rsidRPr="00C00566" w:rsidTr="00781F53">
        <w:trPr>
          <w:cnfStyle w:val="000000010000"/>
        </w:trPr>
        <w:tc>
          <w:tcPr>
            <w:cnfStyle w:val="001000000000"/>
            <w:tcW w:w="816" w:type="dxa"/>
            <w:tcBorders>
              <w:right w:val="none" w:sz="0" w:space="0" w:color="auto"/>
            </w:tcBorders>
            <w:shd w:val="clear" w:color="auto" w:fill="auto"/>
          </w:tcPr>
          <w:p w:rsidR="00675A1D" w:rsidRPr="00EB69A8" w:rsidRDefault="00675A1D" w:rsidP="00EB69A8">
            <w:pPr>
              <w:jc w:val="both"/>
              <w:rPr>
                <w:rFonts w:ascii="Verdana" w:hAnsi="Verdana"/>
                <w:noProof/>
                <w:color w:val="1F497D" w:themeColor="text2"/>
                <w:sz w:val="28"/>
                <w:szCs w:val="28"/>
                <w:lang w:eastAsia="es-CO"/>
              </w:rPr>
            </w:pPr>
          </w:p>
        </w:tc>
        <w:tc>
          <w:tcPr>
            <w:tcW w:w="414" w:type="dxa"/>
            <w:tcBorders>
              <w:left w:val="none" w:sz="0" w:space="0" w:color="auto"/>
              <w:right w:val="none" w:sz="0" w:space="0" w:color="auto"/>
            </w:tcBorders>
            <w:shd w:val="clear" w:color="auto" w:fill="auto"/>
          </w:tcPr>
          <w:p w:rsidR="00675A1D" w:rsidRPr="00D509E5" w:rsidRDefault="00675A1D" w:rsidP="00D509E5">
            <w:pPr>
              <w:ind w:left="708"/>
              <w:jc w:val="both"/>
              <w:cnfStyle w:val="000000010000"/>
              <w:rPr>
                <w:rFonts w:ascii="Verdana" w:hAnsi="Verdana"/>
                <w:color w:val="1F497D" w:themeColor="text2"/>
                <w:sz w:val="28"/>
                <w:szCs w:val="28"/>
              </w:rPr>
            </w:pPr>
          </w:p>
        </w:tc>
        <w:tc>
          <w:tcPr>
            <w:tcW w:w="8958" w:type="dxa"/>
            <w:tcBorders>
              <w:left w:val="none" w:sz="0" w:space="0" w:color="auto"/>
            </w:tcBorders>
            <w:shd w:val="clear" w:color="auto" w:fill="auto"/>
          </w:tcPr>
          <w:p w:rsidR="00675A1D" w:rsidRDefault="00675A1D" w:rsidP="00675A1D">
            <w:pPr>
              <w:pStyle w:val="Prrafodelista"/>
              <w:ind w:left="1080"/>
              <w:jc w:val="both"/>
              <w:cnfStyle w:val="000000010000"/>
              <w:rPr>
                <w:rFonts w:ascii="Verdana" w:hAnsi="Verdana"/>
                <w:color w:val="1F497D" w:themeColor="text2"/>
                <w:sz w:val="28"/>
                <w:szCs w:val="28"/>
              </w:rPr>
            </w:pPr>
          </w:p>
          <w:p w:rsidR="00581D8C" w:rsidRDefault="00581D8C" w:rsidP="00675A1D">
            <w:pPr>
              <w:pStyle w:val="Prrafodelista"/>
              <w:ind w:left="1080"/>
              <w:jc w:val="both"/>
              <w:cnfStyle w:val="000000010000"/>
              <w:rPr>
                <w:rFonts w:ascii="Verdana" w:hAnsi="Verdana"/>
                <w:color w:val="1F497D" w:themeColor="text2"/>
                <w:sz w:val="28"/>
                <w:szCs w:val="28"/>
              </w:rPr>
            </w:pPr>
          </w:p>
          <w:p w:rsidR="00581D8C" w:rsidRDefault="00581D8C" w:rsidP="00675A1D">
            <w:pPr>
              <w:pStyle w:val="Prrafodelista"/>
              <w:ind w:left="1080"/>
              <w:jc w:val="both"/>
              <w:cnfStyle w:val="000000010000"/>
              <w:rPr>
                <w:rFonts w:ascii="Verdana" w:hAnsi="Verdana"/>
                <w:color w:val="1F497D" w:themeColor="text2"/>
                <w:sz w:val="28"/>
                <w:szCs w:val="28"/>
              </w:rPr>
            </w:pPr>
          </w:p>
          <w:p w:rsidR="00581D8C" w:rsidRDefault="00581D8C" w:rsidP="00675A1D">
            <w:pPr>
              <w:pStyle w:val="Prrafodelista"/>
              <w:ind w:left="1080"/>
              <w:jc w:val="both"/>
              <w:cnfStyle w:val="000000010000"/>
              <w:rPr>
                <w:rFonts w:ascii="Verdana" w:hAnsi="Verdana"/>
                <w:color w:val="1F497D" w:themeColor="text2"/>
                <w:sz w:val="28"/>
                <w:szCs w:val="28"/>
              </w:rPr>
            </w:pPr>
          </w:p>
          <w:p w:rsidR="00581D8C" w:rsidRDefault="00581D8C" w:rsidP="00675A1D">
            <w:pPr>
              <w:pStyle w:val="Prrafodelista"/>
              <w:ind w:left="1080"/>
              <w:jc w:val="both"/>
              <w:cnfStyle w:val="000000010000"/>
              <w:rPr>
                <w:rFonts w:ascii="Verdana" w:hAnsi="Verdana"/>
                <w:color w:val="1F497D" w:themeColor="text2"/>
                <w:sz w:val="28"/>
                <w:szCs w:val="28"/>
              </w:rPr>
            </w:pPr>
          </w:p>
          <w:p w:rsidR="00675A1D" w:rsidRPr="00DA7572" w:rsidRDefault="00581D8C" w:rsidP="00DA7572">
            <w:pPr>
              <w:pStyle w:val="Prrafodelista"/>
              <w:ind w:left="1080"/>
              <w:cnfStyle w:val="000000010000"/>
              <w:rPr>
                <w:rFonts w:ascii="Verdana" w:hAnsi="Verdana"/>
                <w:b/>
                <w:color w:val="1F497D" w:themeColor="text2"/>
                <w:sz w:val="28"/>
                <w:szCs w:val="28"/>
              </w:rPr>
            </w:pPr>
            <w:r w:rsidRPr="00DA7572">
              <w:rPr>
                <w:rFonts w:ascii="Verdana" w:hAnsi="Verdana"/>
                <w:b/>
                <w:color w:val="1F497D" w:themeColor="text2"/>
                <w:sz w:val="28"/>
                <w:szCs w:val="28"/>
              </w:rPr>
              <w:t xml:space="preserve">TABLA DE </w:t>
            </w:r>
            <w:r w:rsidR="00675A1D" w:rsidRPr="00DA7572">
              <w:rPr>
                <w:rFonts w:ascii="Verdana" w:hAnsi="Verdana"/>
                <w:b/>
                <w:color w:val="1F497D" w:themeColor="text2"/>
                <w:sz w:val="28"/>
                <w:szCs w:val="28"/>
              </w:rPr>
              <w:t>ANEXOS</w:t>
            </w:r>
          </w:p>
          <w:p w:rsidR="00581D8C" w:rsidRDefault="00581D8C" w:rsidP="00675A1D">
            <w:pPr>
              <w:pStyle w:val="Prrafodelista"/>
              <w:ind w:left="1080"/>
              <w:jc w:val="both"/>
              <w:cnfStyle w:val="000000010000"/>
              <w:rPr>
                <w:rFonts w:ascii="Verdana" w:hAnsi="Verdana"/>
                <w:color w:val="1F497D" w:themeColor="text2"/>
                <w:sz w:val="28"/>
                <w:szCs w:val="28"/>
              </w:rPr>
            </w:pPr>
          </w:p>
          <w:p w:rsidR="00581D8C" w:rsidRPr="00344E7A" w:rsidRDefault="00581D8C" w:rsidP="00675A1D">
            <w:pPr>
              <w:pStyle w:val="Prrafodelista"/>
              <w:ind w:left="1080"/>
              <w:jc w:val="both"/>
              <w:cnfStyle w:val="000000010000"/>
              <w:rPr>
                <w:rFonts w:ascii="Verdana" w:hAnsi="Verdana"/>
                <w:color w:val="1F497D" w:themeColor="text2"/>
                <w:sz w:val="28"/>
                <w:szCs w:val="28"/>
              </w:rPr>
            </w:pPr>
          </w:p>
        </w:tc>
      </w:tr>
      <w:tr w:rsidR="00675A1D" w:rsidRPr="00C00566" w:rsidTr="00781F53">
        <w:trPr>
          <w:cnfStyle w:val="000000100000"/>
        </w:trPr>
        <w:tc>
          <w:tcPr>
            <w:cnfStyle w:val="001000000000"/>
            <w:tcW w:w="816" w:type="dxa"/>
            <w:tcBorders>
              <w:right w:val="none" w:sz="0" w:space="0" w:color="auto"/>
            </w:tcBorders>
            <w:shd w:val="clear" w:color="auto" w:fill="auto"/>
          </w:tcPr>
          <w:p w:rsidR="00675A1D" w:rsidRPr="00EB69A8" w:rsidRDefault="00675A1D" w:rsidP="00EB69A8">
            <w:pPr>
              <w:jc w:val="both"/>
              <w:rPr>
                <w:rFonts w:ascii="Verdana" w:hAnsi="Verdana"/>
                <w:noProof/>
                <w:color w:val="1F497D" w:themeColor="text2"/>
                <w:sz w:val="28"/>
                <w:szCs w:val="28"/>
                <w:lang w:eastAsia="es-CO"/>
              </w:rPr>
            </w:pPr>
          </w:p>
        </w:tc>
        <w:tc>
          <w:tcPr>
            <w:tcW w:w="414" w:type="dxa"/>
            <w:tcBorders>
              <w:left w:val="none" w:sz="0" w:space="0" w:color="auto"/>
              <w:right w:val="none" w:sz="0" w:space="0" w:color="auto"/>
            </w:tcBorders>
            <w:shd w:val="clear" w:color="auto" w:fill="auto"/>
          </w:tcPr>
          <w:p w:rsidR="00675A1D" w:rsidRPr="00D509E5" w:rsidRDefault="00675A1D" w:rsidP="00D509E5">
            <w:pPr>
              <w:ind w:left="708"/>
              <w:jc w:val="both"/>
              <w:cnfStyle w:val="000000100000"/>
              <w:rPr>
                <w:rFonts w:ascii="Verdana" w:hAnsi="Verdana"/>
                <w:color w:val="1F497D" w:themeColor="text2"/>
                <w:sz w:val="28"/>
                <w:szCs w:val="28"/>
              </w:rPr>
            </w:pPr>
          </w:p>
        </w:tc>
        <w:tc>
          <w:tcPr>
            <w:tcW w:w="8958" w:type="dxa"/>
            <w:tcBorders>
              <w:left w:val="none" w:sz="0" w:space="0" w:color="auto"/>
            </w:tcBorders>
            <w:shd w:val="clear" w:color="auto" w:fill="auto"/>
          </w:tcPr>
          <w:p w:rsidR="00675A1D" w:rsidRDefault="00675A1D" w:rsidP="00BB6307">
            <w:pPr>
              <w:jc w:val="both"/>
              <w:cnfStyle w:val="000000100000"/>
              <w:rPr>
                <w:rFonts w:ascii="Verdana" w:hAnsi="Verdana"/>
                <w:color w:val="1F497D" w:themeColor="text2"/>
                <w:sz w:val="28"/>
                <w:szCs w:val="28"/>
              </w:rPr>
            </w:pPr>
            <w:r w:rsidRPr="00675A1D">
              <w:rPr>
                <w:rFonts w:ascii="Verdana" w:hAnsi="Verdana"/>
                <w:color w:val="1F497D" w:themeColor="text2"/>
                <w:sz w:val="28"/>
                <w:szCs w:val="28"/>
              </w:rPr>
              <w:t>ANEXO 1A. ESTADOS FINANCIEROS DPS</w:t>
            </w:r>
          </w:p>
          <w:p w:rsidR="00DA7572" w:rsidRPr="00675A1D" w:rsidRDefault="00DA7572" w:rsidP="00BB6307">
            <w:pPr>
              <w:jc w:val="both"/>
              <w:cnfStyle w:val="000000100000"/>
              <w:rPr>
                <w:rFonts w:ascii="Verdana" w:hAnsi="Verdana"/>
                <w:color w:val="1F497D" w:themeColor="text2"/>
                <w:sz w:val="28"/>
                <w:szCs w:val="28"/>
              </w:rPr>
            </w:pPr>
          </w:p>
        </w:tc>
      </w:tr>
      <w:tr w:rsidR="00675A1D" w:rsidRPr="00C00566" w:rsidTr="00781F53">
        <w:trPr>
          <w:cnfStyle w:val="000000010000"/>
          <w:trHeight w:val="659"/>
        </w:trPr>
        <w:tc>
          <w:tcPr>
            <w:cnfStyle w:val="001000000000"/>
            <w:tcW w:w="816" w:type="dxa"/>
            <w:tcBorders>
              <w:right w:val="none" w:sz="0" w:space="0" w:color="auto"/>
            </w:tcBorders>
            <w:shd w:val="clear" w:color="auto" w:fill="auto"/>
          </w:tcPr>
          <w:p w:rsidR="00675A1D" w:rsidRPr="00EB69A8" w:rsidRDefault="00675A1D" w:rsidP="00EB69A8">
            <w:pPr>
              <w:jc w:val="both"/>
              <w:rPr>
                <w:rFonts w:ascii="Verdana" w:hAnsi="Verdana"/>
                <w:noProof/>
                <w:color w:val="1F497D" w:themeColor="text2"/>
                <w:sz w:val="28"/>
                <w:szCs w:val="28"/>
                <w:lang w:eastAsia="es-CO"/>
              </w:rPr>
            </w:pPr>
          </w:p>
        </w:tc>
        <w:tc>
          <w:tcPr>
            <w:tcW w:w="414" w:type="dxa"/>
            <w:tcBorders>
              <w:left w:val="none" w:sz="0" w:space="0" w:color="auto"/>
              <w:right w:val="none" w:sz="0" w:space="0" w:color="auto"/>
            </w:tcBorders>
            <w:shd w:val="clear" w:color="auto" w:fill="auto"/>
          </w:tcPr>
          <w:p w:rsidR="00675A1D" w:rsidRPr="00D509E5" w:rsidRDefault="00675A1D" w:rsidP="00D509E5">
            <w:pPr>
              <w:ind w:left="708"/>
              <w:jc w:val="both"/>
              <w:cnfStyle w:val="000000010000"/>
              <w:rPr>
                <w:rFonts w:ascii="Verdana" w:hAnsi="Verdana"/>
                <w:color w:val="1F497D" w:themeColor="text2"/>
                <w:sz w:val="28"/>
                <w:szCs w:val="28"/>
              </w:rPr>
            </w:pPr>
          </w:p>
        </w:tc>
        <w:tc>
          <w:tcPr>
            <w:tcW w:w="8958" w:type="dxa"/>
            <w:tcBorders>
              <w:left w:val="none" w:sz="0" w:space="0" w:color="auto"/>
            </w:tcBorders>
            <w:shd w:val="clear" w:color="auto" w:fill="auto"/>
          </w:tcPr>
          <w:p w:rsidR="00CE0320" w:rsidRDefault="00675A1D" w:rsidP="00675A1D">
            <w:pPr>
              <w:cnfStyle w:val="000000010000"/>
              <w:rPr>
                <w:rFonts w:ascii="Verdana" w:hAnsi="Verdana"/>
                <w:color w:val="1F497D" w:themeColor="text2"/>
                <w:sz w:val="28"/>
                <w:szCs w:val="28"/>
              </w:rPr>
            </w:pPr>
            <w:r>
              <w:rPr>
                <w:rFonts w:ascii="Verdana" w:hAnsi="Verdana"/>
                <w:color w:val="1F497D" w:themeColor="text2"/>
                <w:sz w:val="28"/>
                <w:szCs w:val="28"/>
              </w:rPr>
              <w:t xml:space="preserve">ANEXO 1B. </w:t>
            </w:r>
            <w:r w:rsidRPr="00675A1D">
              <w:rPr>
                <w:rFonts w:ascii="Verdana" w:hAnsi="Verdana"/>
                <w:color w:val="1F497D" w:themeColor="text2"/>
                <w:sz w:val="28"/>
                <w:szCs w:val="28"/>
              </w:rPr>
              <w:t xml:space="preserve">RELACIÓN DE CONTRATOS EJECUTADOS Y </w:t>
            </w:r>
            <w:r w:rsidR="00CE0320">
              <w:rPr>
                <w:rFonts w:ascii="Verdana" w:hAnsi="Verdana"/>
                <w:color w:val="1F497D" w:themeColor="text2"/>
                <w:sz w:val="28"/>
                <w:szCs w:val="28"/>
              </w:rPr>
              <w:t xml:space="preserve"> </w:t>
            </w:r>
          </w:p>
          <w:p w:rsidR="00675A1D" w:rsidRDefault="00CE0320" w:rsidP="00CE0320">
            <w:pPr>
              <w:cnfStyle w:val="000000010000"/>
              <w:rPr>
                <w:rFonts w:ascii="Verdana" w:hAnsi="Verdana"/>
                <w:color w:val="1F497D" w:themeColor="text2"/>
                <w:sz w:val="28"/>
                <w:szCs w:val="28"/>
              </w:rPr>
            </w:pPr>
            <w:r>
              <w:rPr>
                <w:rFonts w:ascii="Verdana" w:hAnsi="Verdana"/>
                <w:color w:val="1F497D" w:themeColor="text2"/>
                <w:sz w:val="28"/>
                <w:szCs w:val="28"/>
              </w:rPr>
              <w:t xml:space="preserve">                 </w:t>
            </w:r>
            <w:r w:rsidR="00675A1D" w:rsidRPr="00675A1D">
              <w:rPr>
                <w:rFonts w:ascii="Verdana" w:hAnsi="Verdana"/>
                <w:color w:val="1F497D" w:themeColor="text2"/>
                <w:sz w:val="28"/>
                <w:szCs w:val="28"/>
              </w:rPr>
              <w:t>TERMINADOS DURANTE LA VIGENCIA 2014 DPS</w:t>
            </w:r>
          </w:p>
          <w:p w:rsidR="00DA7572" w:rsidRPr="00675A1D" w:rsidRDefault="00DA7572" w:rsidP="00CE0320">
            <w:pPr>
              <w:cnfStyle w:val="000000010000"/>
              <w:rPr>
                <w:rFonts w:ascii="Verdana" w:hAnsi="Verdana"/>
                <w:color w:val="1F497D" w:themeColor="text2"/>
                <w:sz w:val="28"/>
                <w:szCs w:val="28"/>
              </w:rPr>
            </w:pPr>
          </w:p>
        </w:tc>
      </w:tr>
      <w:tr w:rsidR="00675A1D" w:rsidRPr="00C00566" w:rsidTr="00781F53">
        <w:trPr>
          <w:cnfStyle w:val="000000100000"/>
        </w:trPr>
        <w:tc>
          <w:tcPr>
            <w:cnfStyle w:val="001000000000"/>
            <w:tcW w:w="816" w:type="dxa"/>
            <w:tcBorders>
              <w:right w:val="none" w:sz="0" w:space="0" w:color="auto"/>
            </w:tcBorders>
            <w:shd w:val="clear" w:color="auto" w:fill="auto"/>
          </w:tcPr>
          <w:p w:rsidR="00675A1D" w:rsidRPr="00EB69A8" w:rsidRDefault="00675A1D" w:rsidP="00EB69A8">
            <w:pPr>
              <w:jc w:val="both"/>
              <w:rPr>
                <w:rFonts w:ascii="Verdana" w:hAnsi="Verdana"/>
                <w:noProof/>
                <w:color w:val="1F497D" w:themeColor="text2"/>
                <w:sz w:val="28"/>
                <w:szCs w:val="28"/>
                <w:lang w:eastAsia="es-CO"/>
              </w:rPr>
            </w:pPr>
          </w:p>
        </w:tc>
        <w:tc>
          <w:tcPr>
            <w:tcW w:w="414" w:type="dxa"/>
            <w:tcBorders>
              <w:left w:val="none" w:sz="0" w:space="0" w:color="auto"/>
              <w:right w:val="none" w:sz="0" w:space="0" w:color="auto"/>
            </w:tcBorders>
            <w:shd w:val="clear" w:color="auto" w:fill="auto"/>
          </w:tcPr>
          <w:p w:rsidR="00675A1D" w:rsidRPr="00D509E5" w:rsidRDefault="00675A1D" w:rsidP="00D509E5">
            <w:pPr>
              <w:ind w:left="708"/>
              <w:jc w:val="both"/>
              <w:cnfStyle w:val="000000100000"/>
              <w:rPr>
                <w:rFonts w:ascii="Verdana" w:hAnsi="Verdana"/>
                <w:color w:val="1F497D" w:themeColor="text2"/>
                <w:sz w:val="28"/>
                <w:szCs w:val="28"/>
              </w:rPr>
            </w:pPr>
          </w:p>
        </w:tc>
        <w:tc>
          <w:tcPr>
            <w:tcW w:w="8958" w:type="dxa"/>
            <w:tcBorders>
              <w:left w:val="none" w:sz="0" w:space="0" w:color="auto"/>
            </w:tcBorders>
            <w:shd w:val="clear" w:color="auto" w:fill="auto"/>
          </w:tcPr>
          <w:p w:rsidR="00DA7572" w:rsidRDefault="00670FC0" w:rsidP="00670FC0">
            <w:pPr>
              <w:cnfStyle w:val="000000100000"/>
              <w:rPr>
                <w:rFonts w:ascii="Verdana" w:hAnsi="Verdana"/>
                <w:color w:val="1F497D" w:themeColor="text2"/>
                <w:sz w:val="28"/>
                <w:szCs w:val="28"/>
              </w:rPr>
            </w:pPr>
            <w:r>
              <w:rPr>
                <w:rFonts w:ascii="Verdana" w:hAnsi="Verdana"/>
                <w:color w:val="1F497D" w:themeColor="text2"/>
                <w:sz w:val="28"/>
                <w:szCs w:val="28"/>
              </w:rPr>
              <w:t>ANEXO 1C. CONTRATOS TERMINADOS Y EJECUTADOS 2014</w:t>
            </w:r>
          </w:p>
          <w:p w:rsidR="00670FC0" w:rsidRDefault="00670FC0" w:rsidP="00670FC0">
            <w:pPr>
              <w:cnfStyle w:val="000000100000"/>
              <w:rPr>
                <w:rFonts w:ascii="Verdana" w:hAnsi="Verdana"/>
                <w:color w:val="1F497D" w:themeColor="text2"/>
                <w:sz w:val="28"/>
                <w:szCs w:val="28"/>
              </w:rPr>
            </w:pPr>
          </w:p>
        </w:tc>
      </w:tr>
      <w:tr w:rsidR="00670FC0" w:rsidRPr="00C00566" w:rsidTr="00781F53">
        <w:trPr>
          <w:cnfStyle w:val="000000010000"/>
        </w:trPr>
        <w:tc>
          <w:tcPr>
            <w:cnfStyle w:val="001000000000"/>
            <w:tcW w:w="816" w:type="dxa"/>
            <w:tcBorders>
              <w:right w:val="none" w:sz="0" w:space="0" w:color="auto"/>
            </w:tcBorders>
            <w:shd w:val="clear" w:color="auto" w:fill="auto"/>
          </w:tcPr>
          <w:p w:rsidR="00670FC0" w:rsidRPr="00EB69A8" w:rsidRDefault="00670FC0" w:rsidP="00EB69A8">
            <w:pPr>
              <w:jc w:val="both"/>
              <w:rPr>
                <w:rFonts w:ascii="Verdana" w:hAnsi="Verdana"/>
                <w:noProof/>
                <w:color w:val="1F497D" w:themeColor="text2"/>
                <w:sz w:val="28"/>
                <w:szCs w:val="28"/>
                <w:lang w:eastAsia="es-CO"/>
              </w:rPr>
            </w:pPr>
          </w:p>
        </w:tc>
        <w:tc>
          <w:tcPr>
            <w:tcW w:w="414" w:type="dxa"/>
            <w:tcBorders>
              <w:left w:val="none" w:sz="0" w:space="0" w:color="auto"/>
              <w:right w:val="none" w:sz="0" w:space="0" w:color="auto"/>
            </w:tcBorders>
            <w:shd w:val="clear" w:color="auto" w:fill="auto"/>
          </w:tcPr>
          <w:p w:rsidR="00670FC0" w:rsidRPr="00D509E5" w:rsidRDefault="00670FC0" w:rsidP="00D509E5">
            <w:pPr>
              <w:ind w:left="708"/>
              <w:jc w:val="both"/>
              <w:cnfStyle w:val="000000010000"/>
              <w:rPr>
                <w:rFonts w:ascii="Verdana" w:hAnsi="Verdana"/>
                <w:color w:val="1F497D" w:themeColor="text2"/>
                <w:sz w:val="28"/>
                <w:szCs w:val="28"/>
              </w:rPr>
            </w:pPr>
          </w:p>
        </w:tc>
        <w:tc>
          <w:tcPr>
            <w:tcW w:w="8958" w:type="dxa"/>
            <w:tcBorders>
              <w:left w:val="none" w:sz="0" w:space="0" w:color="auto"/>
            </w:tcBorders>
            <w:shd w:val="clear" w:color="auto" w:fill="auto"/>
          </w:tcPr>
          <w:p w:rsidR="00670FC0" w:rsidRDefault="00670FC0" w:rsidP="00670FC0">
            <w:pPr>
              <w:cnfStyle w:val="000000010000"/>
              <w:rPr>
                <w:rFonts w:ascii="Verdana" w:hAnsi="Verdana"/>
                <w:color w:val="1F497D" w:themeColor="text2"/>
                <w:sz w:val="28"/>
                <w:szCs w:val="28"/>
              </w:rPr>
            </w:pPr>
            <w:r>
              <w:rPr>
                <w:rFonts w:ascii="Verdana" w:hAnsi="Verdana"/>
                <w:color w:val="1F497D" w:themeColor="text2"/>
                <w:sz w:val="28"/>
                <w:szCs w:val="28"/>
              </w:rPr>
              <w:t>ANEXO 2A. ANSPE ESTADOS FINANCIEROS NOV 2014</w:t>
            </w:r>
          </w:p>
          <w:p w:rsidR="00670FC0" w:rsidRDefault="00670FC0" w:rsidP="00BB6307">
            <w:pPr>
              <w:cnfStyle w:val="000000010000"/>
              <w:rPr>
                <w:rFonts w:ascii="Verdana" w:hAnsi="Verdana"/>
                <w:color w:val="1F497D" w:themeColor="text2"/>
                <w:sz w:val="28"/>
                <w:szCs w:val="28"/>
              </w:rPr>
            </w:pPr>
          </w:p>
        </w:tc>
      </w:tr>
      <w:tr w:rsidR="00BB6307" w:rsidRPr="00C00566" w:rsidTr="00781F53">
        <w:trPr>
          <w:cnfStyle w:val="000000100000"/>
        </w:trPr>
        <w:tc>
          <w:tcPr>
            <w:cnfStyle w:val="001000000000"/>
            <w:tcW w:w="816" w:type="dxa"/>
            <w:tcBorders>
              <w:right w:val="none" w:sz="0" w:space="0" w:color="auto"/>
            </w:tcBorders>
            <w:shd w:val="clear" w:color="auto" w:fill="auto"/>
          </w:tcPr>
          <w:p w:rsidR="00BB6307" w:rsidRPr="00EB69A8" w:rsidRDefault="00BB6307" w:rsidP="00EB69A8">
            <w:pPr>
              <w:jc w:val="both"/>
              <w:rPr>
                <w:rFonts w:ascii="Verdana" w:hAnsi="Verdana"/>
                <w:noProof/>
                <w:color w:val="1F497D" w:themeColor="text2"/>
                <w:sz w:val="28"/>
                <w:szCs w:val="28"/>
                <w:lang w:eastAsia="es-CO"/>
              </w:rPr>
            </w:pPr>
          </w:p>
        </w:tc>
        <w:tc>
          <w:tcPr>
            <w:tcW w:w="414" w:type="dxa"/>
            <w:tcBorders>
              <w:left w:val="none" w:sz="0" w:space="0" w:color="auto"/>
              <w:right w:val="none" w:sz="0" w:space="0" w:color="auto"/>
            </w:tcBorders>
            <w:shd w:val="clear" w:color="auto" w:fill="auto"/>
          </w:tcPr>
          <w:p w:rsidR="00BB6307" w:rsidRPr="00D509E5" w:rsidRDefault="00BB6307" w:rsidP="00D509E5">
            <w:pPr>
              <w:ind w:left="708"/>
              <w:jc w:val="both"/>
              <w:cnfStyle w:val="000000100000"/>
              <w:rPr>
                <w:rFonts w:ascii="Verdana" w:hAnsi="Verdana"/>
                <w:color w:val="1F497D" w:themeColor="text2"/>
                <w:sz w:val="28"/>
                <w:szCs w:val="28"/>
              </w:rPr>
            </w:pPr>
          </w:p>
        </w:tc>
        <w:tc>
          <w:tcPr>
            <w:tcW w:w="8958" w:type="dxa"/>
            <w:tcBorders>
              <w:left w:val="none" w:sz="0" w:space="0" w:color="auto"/>
            </w:tcBorders>
            <w:shd w:val="clear" w:color="auto" w:fill="auto"/>
          </w:tcPr>
          <w:p w:rsidR="00BB6307" w:rsidRDefault="00BB6307" w:rsidP="00BB6307">
            <w:pPr>
              <w:cnfStyle w:val="000000100000"/>
              <w:rPr>
                <w:rFonts w:ascii="Verdana" w:hAnsi="Verdana"/>
                <w:color w:val="1F497D" w:themeColor="text2"/>
                <w:sz w:val="28"/>
                <w:szCs w:val="28"/>
              </w:rPr>
            </w:pPr>
            <w:r>
              <w:rPr>
                <w:rFonts w:ascii="Verdana" w:hAnsi="Verdana"/>
                <w:color w:val="1F497D" w:themeColor="text2"/>
                <w:sz w:val="28"/>
                <w:szCs w:val="28"/>
              </w:rPr>
              <w:t xml:space="preserve">ANEXO 2B. ANSPE ESTADOS FINANCEROS 2013 </w:t>
            </w:r>
          </w:p>
          <w:p w:rsidR="00DA7572" w:rsidRDefault="00DA7572" w:rsidP="00BB6307">
            <w:pPr>
              <w:cnfStyle w:val="000000100000"/>
              <w:rPr>
                <w:rFonts w:ascii="Verdana" w:hAnsi="Verdana"/>
                <w:color w:val="1F497D" w:themeColor="text2"/>
                <w:sz w:val="28"/>
                <w:szCs w:val="28"/>
              </w:rPr>
            </w:pPr>
          </w:p>
        </w:tc>
      </w:tr>
      <w:tr w:rsidR="009136F5" w:rsidRPr="00C00566" w:rsidTr="00781F53">
        <w:trPr>
          <w:cnfStyle w:val="000000010000"/>
        </w:trPr>
        <w:tc>
          <w:tcPr>
            <w:cnfStyle w:val="001000000000"/>
            <w:tcW w:w="816" w:type="dxa"/>
            <w:tcBorders>
              <w:right w:val="none" w:sz="0" w:space="0" w:color="auto"/>
            </w:tcBorders>
            <w:shd w:val="clear" w:color="auto" w:fill="auto"/>
          </w:tcPr>
          <w:p w:rsidR="009136F5" w:rsidRPr="00EB69A8" w:rsidRDefault="009136F5" w:rsidP="00EB69A8">
            <w:pPr>
              <w:jc w:val="both"/>
              <w:rPr>
                <w:rFonts w:ascii="Verdana" w:hAnsi="Verdana"/>
                <w:noProof/>
                <w:color w:val="1F497D" w:themeColor="text2"/>
                <w:sz w:val="28"/>
                <w:szCs w:val="28"/>
                <w:lang w:eastAsia="es-CO"/>
              </w:rPr>
            </w:pPr>
          </w:p>
        </w:tc>
        <w:tc>
          <w:tcPr>
            <w:tcW w:w="414" w:type="dxa"/>
            <w:tcBorders>
              <w:left w:val="none" w:sz="0" w:space="0" w:color="auto"/>
              <w:right w:val="none" w:sz="0" w:space="0" w:color="auto"/>
            </w:tcBorders>
            <w:shd w:val="clear" w:color="auto" w:fill="auto"/>
          </w:tcPr>
          <w:p w:rsidR="009136F5" w:rsidRPr="00D509E5" w:rsidRDefault="009136F5" w:rsidP="00D509E5">
            <w:pPr>
              <w:ind w:left="708"/>
              <w:jc w:val="both"/>
              <w:cnfStyle w:val="000000010000"/>
              <w:rPr>
                <w:rFonts w:ascii="Verdana" w:hAnsi="Verdana"/>
                <w:color w:val="1F497D" w:themeColor="text2"/>
                <w:sz w:val="28"/>
                <w:szCs w:val="28"/>
              </w:rPr>
            </w:pPr>
          </w:p>
        </w:tc>
        <w:tc>
          <w:tcPr>
            <w:tcW w:w="8958" w:type="dxa"/>
            <w:tcBorders>
              <w:left w:val="none" w:sz="0" w:space="0" w:color="auto"/>
            </w:tcBorders>
            <w:shd w:val="clear" w:color="auto" w:fill="auto"/>
          </w:tcPr>
          <w:p w:rsidR="009136F5" w:rsidRDefault="00670FC0" w:rsidP="00DA7572">
            <w:pPr>
              <w:jc w:val="both"/>
              <w:cnfStyle w:val="000000010000"/>
              <w:rPr>
                <w:rFonts w:ascii="Verdana" w:hAnsi="Verdana"/>
                <w:color w:val="1F497D" w:themeColor="text2"/>
                <w:sz w:val="28"/>
                <w:szCs w:val="28"/>
              </w:rPr>
            </w:pPr>
            <w:r w:rsidRPr="00DA7572">
              <w:rPr>
                <w:rFonts w:ascii="Verdana" w:hAnsi="Verdana"/>
                <w:color w:val="1F497D" w:themeColor="text2"/>
                <w:sz w:val="28"/>
                <w:szCs w:val="28"/>
              </w:rPr>
              <w:t>ANEXO 3A CNMH ESTADOS FINANCIEROS 2014,</w:t>
            </w:r>
          </w:p>
          <w:p w:rsidR="00DA7572" w:rsidRDefault="00DA7572" w:rsidP="00DA7572">
            <w:pPr>
              <w:jc w:val="both"/>
              <w:cnfStyle w:val="000000010000"/>
              <w:rPr>
                <w:rFonts w:ascii="Verdana" w:hAnsi="Verdana"/>
                <w:color w:val="1F497D" w:themeColor="text2"/>
                <w:sz w:val="28"/>
                <w:szCs w:val="28"/>
              </w:rPr>
            </w:pPr>
          </w:p>
        </w:tc>
      </w:tr>
      <w:tr w:rsidR="009136F5" w:rsidRPr="00C00566" w:rsidTr="00781F53">
        <w:trPr>
          <w:cnfStyle w:val="000000100000"/>
        </w:trPr>
        <w:tc>
          <w:tcPr>
            <w:cnfStyle w:val="001000000000"/>
            <w:tcW w:w="816" w:type="dxa"/>
            <w:tcBorders>
              <w:right w:val="none" w:sz="0" w:space="0" w:color="auto"/>
            </w:tcBorders>
            <w:shd w:val="clear" w:color="auto" w:fill="auto"/>
          </w:tcPr>
          <w:p w:rsidR="009136F5" w:rsidRPr="00EB69A8" w:rsidRDefault="009136F5" w:rsidP="00DA7572">
            <w:pPr>
              <w:jc w:val="both"/>
              <w:rPr>
                <w:rFonts w:ascii="Verdana" w:hAnsi="Verdana"/>
                <w:noProof/>
                <w:color w:val="1F497D" w:themeColor="text2"/>
                <w:sz w:val="28"/>
                <w:szCs w:val="28"/>
                <w:lang w:eastAsia="es-CO"/>
              </w:rPr>
            </w:pPr>
          </w:p>
        </w:tc>
        <w:tc>
          <w:tcPr>
            <w:tcW w:w="414" w:type="dxa"/>
            <w:tcBorders>
              <w:left w:val="none" w:sz="0" w:space="0" w:color="auto"/>
              <w:right w:val="none" w:sz="0" w:space="0" w:color="auto"/>
            </w:tcBorders>
            <w:shd w:val="clear" w:color="auto" w:fill="auto"/>
          </w:tcPr>
          <w:p w:rsidR="009136F5" w:rsidRPr="00D509E5" w:rsidRDefault="009136F5" w:rsidP="00D509E5">
            <w:pPr>
              <w:ind w:left="708"/>
              <w:jc w:val="both"/>
              <w:cnfStyle w:val="000000100000"/>
              <w:rPr>
                <w:rFonts w:ascii="Verdana" w:hAnsi="Verdana"/>
                <w:color w:val="1F497D" w:themeColor="text2"/>
                <w:sz w:val="28"/>
                <w:szCs w:val="28"/>
              </w:rPr>
            </w:pPr>
          </w:p>
        </w:tc>
        <w:tc>
          <w:tcPr>
            <w:tcW w:w="8958" w:type="dxa"/>
            <w:tcBorders>
              <w:left w:val="none" w:sz="0" w:space="0" w:color="auto"/>
            </w:tcBorders>
            <w:shd w:val="clear" w:color="auto" w:fill="auto"/>
          </w:tcPr>
          <w:p w:rsidR="00670FC0" w:rsidRDefault="00670FC0" w:rsidP="00DA7572">
            <w:pPr>
              <w:jc w:val="both"/>
              <w:cnfStyle w:val="000000100000"/>
              <w:rPr>
                <w:rFonts w:ascii="Verdana" w:hAnsi="Verdana"/>
                <w:color w:val="1F497D" w:themeColor="text2"/>
                <w:sz w:val="28"/>
                <w:szCs w:val="28"/>
              </w:rPr>
            </w:pPr>
            <w:r w:rsidRPr="00DA7572">
              <w:rPr>
                <w:rFonts w:ascii="Verdana" w:hAnsi="Verdana"/>
                <w:color w:val="1F497D" w:themeColor="text2"/>
                <w:sz w:val="28"/>
                <w:szCs w:val="28"/>
              </w:rPr>
              <w:t xml:space="preserve">ANEXO 3B CNMH ESTADOS FINANCIEROS 2014 CAMBIO EN </w:t>
            </w:r>
            <w:r>
              <w:rPr>
                <w:rFonts w:ascii="Verdana" w:hAnsi="Verdana"/>
                <w:color w:val="1F497D" w:themeColor="text2"/>
                <w:sz w:val="28"/>
                <w:szCs w:val="28"/>
              </w:rPr>
              <w:t xml:space="preserve">  </w:t>
            </w:r>
          </w:p>
          <w:p w:rsidR="009136F5" w:rsidRDefault="00670FC0" w:rsidP="00DA7572">
            <w:pPr>
              <w:jc w:val="both"/>
              <w:cnfStyle w:val="000000100000"/>
              <w:rPr>
                <w:rFonts w:ascii="Verdana" w:hAnsi="Verdana"/>
                <w:color w:val="1F497D" w:themeColor="text2"/>
                <w:sz w:val="28"/>
                <w:szCs w:val="28"/>
              </w:rPr>
            </w:pPr>
            <w:r>
              <w:rPr>
                <w:rFonts w:ascii="Verdana" w:hAnsi="Verdana"/>
                <w:color w:val="1F497D" w:themeColor="text2"/>
                <w:sz w:val="28"/>
                <w:szCs w:val="28"/>
              </w:rPr>
              <w:t xml:space="preserve">               </w:t>
            </w:r>
            <w:r w:rsidRPr="00DA7572">
              <w:rPr>
                <w:rFonts w:ascii="Verdana" w:hAnsi="Verdana"/>
                <w:color w:val="1F497D" w:themeColor="text2"/>
                <w:sz w:val="28"/>
                <w:szCs w:val="28"/>
              </w:rPr>
              <w:t>EL PATRIMONIO</w:t>
            </w:r>
          </w:p>
          <w:p w:rsidR="00DA7572" w:rsidRDefault="00DA7572" w:rsidP="00DA7572">
            <w:pPr>
              <w:jc w:val="both"/>
              <w:cnfStyle w:val="000000100000"/>
              <w:rPr>
                <w:rFonts w:ascii="Verdana" w:hAnsi="Verdana"/>
                <w:color w:val="1F497D" w:themeColor="text2"/>
                <w:sz w:val="28"/>
                <w:szCs w:val="28"/>
              </w:rPr>
            </w:pPr>
          </w:p>
        </w:tc>
      </w:tr>
      <w:tr w:rsidR="009136F5" w:rsidRPr="00C00566" w:rsidTr="00781F53">
        <w:trPr>
          <w:cnfStyle w:val="000000010000"/>
        </w:trPr>
        <w:tc>
          <w:tcPr>
            <w:cnfStyle w:val="001000000000"/>
            <w:tcW w:w="816" w:type="dxa"/>
            <w:tcBorders>
              <w:right w:val="none" w:sz="0" w:space="0" w:color="auto"/>
            </w:tcBorders>
            <w:shd w:val="clear" w:color="auto" w:fill="auto"/>
          </w:tcPr>
          <w:p w:rsidR="009136F5" w:rsidRPr="00EB69A8" w:rsidRDefault="009136F5" w:rsidP="00EB69A8">
            <w:pPr>
              <w:jc w:val="both"/>
              <w:rPr>
                <w:rFonts w:ascii="Verdana" w:hAnsi="Verdana"/>
                <w:noProof/>
                <w:color w:val="1F497D" w:themeColor="text2"/>
                <w:sz w:val="28"/>
                <w:szCs w:val="28"/>
                <w:lang w:eastAsia="es-CO"/>
              </w:rPr>
            </w:pPr>
          </w:p>
        </w:tc>
        <w:tc>
          <w:tcPr>
            <w:tcW w:w="414" w:type="dxa"/>
            <w:tcBorders>
              <w:left w:val="none" w:sz="0" w:space="0" w:color="auto"/>
              <w:right w:val="none" w:sz="0" w:space="0" w:color="auto"/>
            </w:tcBorders>
            <w:shd w:val="clear" w:color="auto" w:fill="auto"/>
          </w:tcPr>
          <w:p w:rsidR="009136F5" w:rsidRPr="00D509E5" w:rsidRDefault="009136F5" w:rsidP="00D509E5">
            <w:pPr>
              <w:ind w:left="708"/>
              <w:jc w:val="both"/>
              <w:cnfStyle w:val="000000010000"/>
              <w:rPr>
                <w:rFonts w:ascii="Verdana" w:hAnsi="Verdana"/>
                <w:color w:val="1F497D" w:themeColor="text2"/>
                <w:sz w:val="28"/>
                <w:szCs w:val="28"/>
              </w:rPr>
            </w:pPr>
          </w:p>
        </w:tc>
        <w:tc>
          <w:tcPr>
            <w:tcW w:w="8958" w:type="dxa"/>
            <w:tcBorders>
              <w:left w:val="none" w:sz="0" w:space="0" w:color="auto"/>
            </w:tcBorders>
            <w:shd w:val="clear" w:color="auto" w:fill="auto"/>
          </w:tcPr>
          <w:p w:rsidR="009136F5" w:rsidRDefault="00670FC0" w:rsidP="00DA7572">
            <w:pPr>
              <w:jc w:val="both"/>
              <w:cnfStyle w:val="000000010000"/>
              <w:rPr>
                <w:rFonts w:ascii="Verdana" w:hAnsi="Verdana"/>
                <w:color w:val="1F497D" w:themeColor="text2"/>
                <w:sz w:val="28"/>
                <w:szCs w:val="28"/>
              </w:rPr>
            </w:pPr>
            <w:r w:rsidRPr="00DA7572">
              <w:rPr>
                <w:rFonts w:ascii="Verdana" w:hAnsi="Verdana"/>
                <w:color w:val="1F497D" w:themeColor="text2"/>
                <w:sz w:val="28"/>
                <w:szCs w:val="28"/>
              </w:rPr>
              <w:t>ANEXO 3C CNMH ESTADOS FINANCIEROS 2013</w:t>
            </w:r>
          </w:p>
          <w:p w:rsidR="00DA7572" w:rsidRDefault="00DA7572" w:rsidP="00DA7572">
            <w:pPr>
              <w:jc w:val="both"/>
              <w:cnfStyle w:val="000000010000"/>
              <w:rPr>
                <w:rFonts w:ascii="Verdana" w:hAnsi="Verdana"/>
                <w:color w:val="1F497D" w:themeColor="text2"/>
                <w:sz w:val="28"/>
                <w:szCs w:val="28"/>
              </w:rPr>
            </w:pPr>
          </w:p>
        </w:tc>
      </w:tr>
      <w:tr w:rsidR="00670FC0" w:rsidRPr="00C00566" w:rsidTr="00781F53">
        <w:trPr>
          <w:cnfStyle w:val="000000100000"/>
        </w:trPr>
        <w:tc>
          <w:tcPr>
            <w:cnfStyle w:val="001000000000"/>
            <w:tcW w:w="816" w:type="dxa"/>
            <w:tcBorders>
              <w:right w:val="none" w:sz="0" w:space="0" w:color="auto"/>
            </w:tcBorders>
            <w:shd w:val="clear" w:color="auto" w:fill="auto"/>
          </w:tcPr>
          <w:p w:rsidR="00670FC0" w:rsidRPr="00EB69A8" w:rsidRDefault="00670FC0" w:rsidP="00EB69A8">
            <w:pPr>
              <w:jc w:val="both"/>
              <w:rPr>
                <w:rFonts w:ascii="Verdana" w:hAnsi="Verdana"/>
                <w:noProof/>
                <w:color w:val="1F497D" w:themeColor="text2"/>
                <w:sz w:val="28"/>
                <w:szCs w:val="28"/>
                <w:lang w:eastAsia="es-CO"/>
              </w:rPr>
            </w:pPr>
          </w:p>
        </w:tc>
        <w:tc>
          <w:tcPr>
            <w:tcW w:w="414" w:type="dxa"/>
            <w:tcBorders>
              <w:left w:val="none" w:sz="0" w:space="0" w:color="auto"/>
              <w:right w:val="none" w:sz="0" w:space="0" w:color="auto"/>
            </w:tcBorders>
            <w:shd w:val="clear" w:color="auto" w:fill="auto"/>
          </w:tcPr>
          <w:p w:rsidR="00670FC0" w:rsidRPr="00D509E5" w:rsidRDefault="00670FC0" w:rsidP="00D509E5">
            <w:pPr>
              <w:ind w:left="708"/>
              <w:jc w:val="both"/>
              <w:cnfStyle w:val="000000100000"/>
              <w:rPr>
                <w:rFonts w:ascii="Verdana" w:hAnsi="Verdana"/>
                <w:color w:val="1F497D" w:themeColor="text2"/>
                <w:sz w:val="28"/>
                <w:szCs w:val="28"/>
              </w:rPr>
            </w:pPr>
          </w:p>
        </w:tc>
        <w:tc>
          <w:tcPr>
            <w:tcW w:w="8958" w:type="dxa"/>
            <w:tcBorders>
              <w:left w:val="none" w:sz="0" w:space="0" w:color="auto"/>
            </w:tcBorders>
            <w:shd w:val="clear" w:color="auto" w:fill="auto"/>
          </w:tcPr>
          <w:p w:rsidR="00670FC0" w:rsidRDefault="00670FC0" w:rsidP="00670FC0">
            <w:pPr>
              <w:cnfStyle w:val="000000100000"/>
              <w:rPr>
                <w:rFonts w:ascii="Verdana" w:hAnsi="Verdana"/>
                <w:color w:val="1F497D" w:themeColor="text2"/>
                <w:sz w:val="28"/>
                <w:szCs w:val="28"/>
              </w:rPr>
            </w:pPr>
            <w:r w:rsidRPr="0088087E">
              <w:rPr>
                <w:rFonts w:ascii="Verdana" w:hAnsi="Verdana"/>
                <w:color w:val="1F497D" w:themeColor="text2"/>
                <w:sz w:val="28"/>
                <w:szCs w:val="28"/>
              </w:rPr>
              <w:t>ANEXO 3</w:t>
            </w:r>
            <w:r>
              <w:rPr>
                <w:rFonts w:ascii="Verdana" w:hAnsi="Verdana"/>
                <w:color w:val="1F497D" w:themeColor="text2"/>
                <w:sz w:val="28"/>
                <w:szCs w:val="28"/>
              </w:rPr>
              <w:t>D</w:t>
            </w:r>
            <w:r w:rsidRPr="0088087E">
              <w:rPr>
                <w:rFonts w:ascii="Verdana" w:hAnsi="Verdana"/>
                <w:color w:val="1F497D" w:themeColor="text2"/>
                <w:sz w:val="28"/>
                <w:szCs w:val="28"/>
              </w:rPr>
              <w:t xml:space="preserve"> CNMH </w:t>
            </w:r>
            <w:r>
              <w:rPr>
                <w:rFonts w:ascii="Verdana" w:hAnsi="Verdana"/>
                <w:color w:val="1F497D" w:themeColor="text2"/>
                <w:sz w:val="28"/>
                <w:szCs w:val="28"/>
              </w:rPr>
              <w:t>PROCESOS CONTRACTUALES</w:t>
            </w:r>
          </w:p>
          <w:p w:rsidR="00670FC0" w:rsidRDefault="00670FC0" w:rsidP="00670FC0">
            <w:pPr>
              <w:cnfStyle w:val="000000100000"/>
            </w:pPr>
          </w:p>
        </w:tc>
      </w:tr>
      <w:tr w:rsidR="00670FC0" w:rsidRPr="00C00566" w:rsidTr="00781F53">
        <w:trPr>
          <w:cnfStyle w:val="000000010000"/>
        </w:trPr>
        <w:tc>
          <w:tcPr>
            <w:cnfStyle w:val="001000000000"/>
            <w:tcW w:w="816" w:type="dxa"/>
            <w:tcBorders>
              <w:right w:val="none" w:sz="0" w:space="0" w:color="auto"/>
            </w:tcBorders>
            <w:shd w:val="clear" w:color="auto" w:fill="auto"/>
          </w:tcPr>
          <w:p w:rsidR="00670FC0" w:rsidRPr="00EB69A8" w:rsidRDefault="00670FC0" w:rsidP="00EB69A8">
            <w:pPr>
              <w:jc w:val="both"/>
              <w:rPr>
                <w:rFonts w:ascii="Verdana" w:hAnsi="Verdana"/>
                <w:noProof/>
                <w:color w:val="1F497D" w:themeColor="text2"/>
                <w:sz w:val="28"/>
                <w:szCs w:val="28"/>
                <w:lang w:eastAsia="es-CO"/>
              </w:rPr>
            </w:pPr>
          </w:p>
        </w:tc>
        <w:tc>
          <w:tcPr>
            <w:tcW w:w="414" w:type="dxa"/>
            <w:tcBorders>
              <w:left w:val="none" w:sz="0" w:space="0" w:color="auto"/>
              <w:right w:val="none" w:sz="0" w:space="0" w:color="auto"/>
            </w:tcBorders>
            <w:shd w:val="clear" w:color="auto" w:fill="auto"/>
          </w:tcPr>
          <w:p w:rsidR="00670FC0" w:rsidRPr="00D509E5" w:rsidRDefault="00670FC0" w:rsidP="00D509E5">
            <w:pPr>
              <w:ind w:left="708"/>
              <w:jc w:val="both"/>
              <w:cnfStyle w:val="000000010000"/>
              <w:rPr>
                <w:rFonts w:ascii="Verdana" w:hAnsi="Verdana"/>
                <w:color w:val="1F497D" w:themeColor="text2"/>
                <w:sz w:val="28"/>
                <w:szCs w:val="28"/>
              </w:rPr>
            </w:pPr>
          </w:p>
        </w:tc>
        <w:tc>
          <w:tcPr>
            <w:tcW w:w="8958" w:type="dxa"/>
            <w:tcBorders>
              <w:left w:val="none" w:sz="0" w:space="0" w:color="auto"/>
            </w:tcBorders>
            <w:shd w:val="clear" w:color="auto" w:fill="auto"/>
          </w:tcPr>
          <w:p w:rsidR="00670FC0" w:rsidRDefault="00670FC0" w:rsidP="00670FC0">
            <w:pPr>
              <w:cnfStyle w:val="000000010000"/>
              <w:rPr>
                <w:rFonts w:ascii="Verdana" w:hAnsi="Verdana"/>
                <w:color w:val="1F497D" w:themeColor="text2"/>
                <w:sz w:val="28"/>
                <w:szCs w:val="28"/>
              </w:rPr>
            </w:pPr>
            <w:r w:rsidRPr="0088087E">
              <w:rPr>
                <w:rFonts w:ascii="Verdana" w:hAnsi="Verdana"/>
                <w:color w:val="1F497D" w:themeColor="text2"/>
                <w:sz w:val="28"/>
                <w:szCs w:val="28"/>
              </w:rPr>
              <w:t>ANEXO 3</w:t>
            </w:r>
            <w:r>
              <w:rPr>
                <w:rFonts w:ascii="Verdana" w:hAnsi="Verdana"/>
                <w:color w:val="1F497D" w:themeColor="text2"/>
                <w:sz w:val="28"/>
                <w:szCs w:val="28"/>
              </w:rPr>
              <w:t>E</w:t>
            </w:r>
            <w:r w:rsidRPr="0088087E">
              <w:rPr>
                <w:rFonts w:ascii="Verdana" w:hAnsi="Verdana"/>
                <w:color w:val="1F497D" w:themeColor="text2"/>
                <w:sz w:val="28"/>
                <w:szCs w:val="28"/>
              </w:rPr>
              <w:t xml:space="preserve"> CNMH </w:t>
            </w:r>
            <w:r>
              <w:rPr>
                <w:rFonts w:ascii="Verdana" w:hAnsi="Verdana"/>
                <w:color w:val="1F497D" w:themeColor="text2"/>
                <w:sz w:val="28"/>
                <w:szCs w:val="28"/>
              </w:rPr>
              <w:t>TRANSPARENCIA, PARTICIPACION Y</w:t>
            </w:r>
          </w:p>
          <w:p w:rsidR="00670FC0" w:rsidRDefault="00670FC0" w:rsidP="00670FC0">
            <w:pPr>
              <w:cnfStyle w:val="000000010000"/>
              <w:rPr>
                <w:rFonts w:ascii="Verdana" w:hAnsi="Verdana"/>
                <w:color w:val="1F497D" w:themeColor="text2"/>
                <w:sz w:val="28"/>
                <w:szCs w:val="28"/>
              </w:rPr>
            </w:pPr>
            <w:r>
              <w:rPr>
                <w:rFonts w:ascii="Verdana" w:hAnsi="Verdana"/>
                <w:color w:val="1F497D" w:themeColor="text2"/>
                <w:sz w:val="28"/>
                <w:szCs w:val="28"/>
              </w:rPr>
              <w:t xml:space="preserve">                SERVICIO AL CIUDADANO.</w:t>
            </w:r>
          </w:p>
          <w:p w:rsidR="00670FC0" w:rsidRDefault="00670FC0" w:rsidP="00670FC0">
            <w:pPr>
              <w:cnfStyle w:val="000000010000"/>
            </w:pPr>
          </w:p>
        </w:tc>
      </w:tr>
      <w:tr w:rsidR="009136F5" w:rsidRPr="00C00566" w:rsidTr="00781F53">
        <w:trPr>
          <w:cnfStyle w:val="000000100000"/>
        </w:trPr>
        <w:tc>
          <w:tcPr>
            <w:cnfStyle w:val="001000000000"/>
            <w:tcW w:w="816" w:type="dxa"/>
            <w:tcBorders>
              <w:right w:val="none" w:sz="0" w:space="0" w:color="auto"/>
            </w:tcBorders>
            <w:shd w:val="clear" w:color="auto" w:fill="auto"/>
          </w:tcPr>
          <w:p w:rsidR="009136F5" w:rsidRPr="00EB69A8" w:rsidRDefault="009136F5" w:rsidP="00EB69A8">
            <w:pPr>
              <w:jc w:val="both"/>
              <w:rPr>
                <w:rFonts w:ascii="Verdana" w:hAnsi="Verdana"/>
                <w:noProof/>
                <w:color w:val="1F497D" w:themeColor="text2"/>
                <w:sz w:val="28"/>
                <w:szCs w:val="28"/>
                <w:lang w:eastAsia="es-CO"/>
              </w:rPr>
            </w:pPr>
          </w:p>
        </w:tc>
        <w:tc>
          <w:tcPr>
            <w:tcW w:w="414" w:type="dxa"/>
            <w:tcBorders>
              <w:left w:val="none" w:sz="0" w:space="0" w:color="auto"/>
              <w:right w:val="none" w:sz="0" w:space="0" w:color="auto"/>
            </w:tcBorders>
            <w:shd w:val="clear" w:color="auto" w:fill="auto"/>
          </w:tcPr>
          <w:p w:rsidR="009136F5" w:rsidRPr="00D509E5" w:rsidRDefault="009136F5" w:rsidP="00D509E5">
            <w:pPr>
              <w:ind w:left="708"/>
              <w:jc w:val="both"/>
              <w:cnfStyle w:val="000000100000"/>
              <w:rPr>
                <w:rFonts w:ascii="Verdana" w:hAnsi="Verdana"/>
                <w:color w:val="1F497D" w:themeColor="text2"/>
                <w:sz w:val="28"/>
                <w:szCs w:val="28"/>
              </w:rPr>
            </w:pPr>
          </w:p>
        </w:tc>
        <w:tc>
          <w:tcPr>
            <w:tcW w:w="8958" w:type="dxa"/>
            <w:tcBorders>
              <w:left w:val="none" w:sz="0" w:space="0" w:color="auto"/>
            </w:tcBorders>
            <w:shd w:val="clear" w:color="auto" w:fill="auto"/>
          </w:tcPr>
          <w:p w:rsidR="009136F5" w:rsidRDefault="009136F5" w:rsidP="009136F5">
            <w:pPr>
              <w:jc w:val="both"/>
              <w:cnfStyle w:val="000000100000"/>
              <w:rPr>
                <w:rFonts w:ascii="Verdana" w:hAnsi="Verdana"/>
                <w:color w:val="1F497D" w:themeColor="text2"/>
                <w:sz w:val="28"/>
                <w:szCs w:val="28"/>
              </w:rPr>
            </w:pPr>
            <w:r w:rsidRPr="009136F5">
              <w:rPr>
                <w:rFonts w:ascii="Verdana" w:hAnsi="Verdana"/>
                <w:color w:val="1F497D" w:themeColor="text2"/>
                <w:sz w:val="28"/>
                <w:szCs w:val="28"/>
              </w:rPr>
              <w:t>ANEXO 4A UACT ESTADO FINANCIERO 2014</w:t>
            </w:r>
          </w:p>
          <w:p w:rsidR="009136F5" w:rsidRDefault="009136F5" w:rsidP="00BB6307">
            <w:pPr>
              <w:cnfStyle w:val="000000100000"/>
              <w:rPr>
                <w:rFonts w:ascii="Verdana" w:hAnsi="Verdana"/>
                <w:color w:val="1F497D" w:themeColor="text2"/>
                <w:sz w:val="28"/>
                <w:szCs w:val="28"/>
              </w:rPr>
            </w:pPr>
          </w:p>
        </w:tc>
      </w:tr>
      <w:tr w:rsidR="009136F5" w:rsidRPr="00C00566" w:rsidTr="00781F53">
        <w:trPr>
          <w:cnfStyle w:val="000000010000"/>
        </w:trPr>
        <w:tc>
          <w:tcPr>
            <w:cnfStyle w:val="001000000000"/>
            <w:tcW w:w="816" w:type="dxa"/>
            <w:tcBorders>
              <w:right w:val="none" w:sz="0" w:space="0" w:color="auto"/>
            </w:tcBorders>
            <w:shd w:val="clear" w:color="auto" w:fill="auto"/>
          </w:tcPr>
          <w:p w:rsidR="009136F5" w:rsidRPr="00EB69A8" w:rsidRDefault="009136F5" w:rsidP="00EB69A8">
            <w:pPr>
              <w:jc w:val="both"/>
              <w:rPr>
                <w:rFonts w:ascii="Verdana" w:hAnsi="Verdana"/>
                <w:noProof/>
                <w:color w:val="1F497D" w:themeColor="text2"/>
                <w:sz w:val="28"/>
                <w:szCs w:val="28"/>
                <w:lang w:eastAsia="es-CO"/>
              </w:rPr>
            </w:pPr>
          </w:p>
        </w:tc>
        <w:tc>
          <w:tcPr>
            <w:tcW w:w="414" w:type="dxa"/>
            <w:tcBorders>
              <w:left w:val="none" w:sz="0" w:space="0" w:color="auto"/>
              <w:right w:val="none" w:sz="0" w:space="0" w:color="auto"/>
            </w:tcBorders>
            <w:shd w:val="clear" w:color="auto" w:fill="auto"/>
          </w:tcPr>
          <w:p w:rsidR="009136F5" w:rsidRPr="00D509E5" w:rsidRDefault="009136F5" w:rsidP="00D509E5">
            <w:pPr>
              <w:ind w:left="708"/>
              <w:jc w:val="both"/>
              <w:cnfStyle w:val="000000010000"/>
              <w:rPr>
                <w:rFonts w:ascii="Verdana" w:hAnsi="Verdana"/>
                <w:color w:val="1F497D" w:themeColor="text2"/>
                <w:sz w:val="28"/>
                <w:szCs w:val="28"/>
              </w:rPr>
            </w:pPr>
          </w:p>
        </w:tc>
        <w:tc>
          <w:tcPr>
            <w:tcW w:w="8958" w:type="dxa"/>
            <w:tcBorders>
              <w:left w:val="none" w:sz="0" w:space="0" w:color="auto"/>
            </w:tcBorders>
            <w:shd w:val="clear" w:color="auto" w:fill="auto"/>
          </w:tcPr>
          <w:p w:rsidR="009136F5" w:rsidRPr="009136F5" w:rsidRDefault="009136F5" w:rsidP="009136F5">
            <w:pPr>
              <w:jc w:val="both"/>
              <w:cnfStyle w:val="000000010000"/>
              <w:rPr>
                <w:rFonts w:ascii="Verdana" w:hAnsi="Verdana"/>
                <w:color w:val="1F497D" w:themeColor="text2"/>
                <w:sz w:val="28"/>
                <w:szCs w:val="28"/>
              </w:rPr>
            </w:pPr>
            <w:r w:rsidRPr="009136F5">
              <w:rPr>
                <w:rFonts w:ascii="Verdana" w:hAnsi="Verdana"/>
                <w:color w:val="1F497D" w:themeColor="text2"/>
                <w:sz w:val="28"/>
                <w:szCs w:val="28"/>
              </w:rPr>
              <w:t>ANEXO 4B UACT COMPARATIVO BALANCES FINANCIEROS</w:t>
            </w:r>
          </w:p>
          <w:p w:rsidR="009136F5" w:rsidRDefault="009136F5" w:rsidP="00BB6307">
            <w:pPr>
              <w:cnfStyle w:val="000000010000"/>
              <w:rPr>
                <w:rFonts w:ascii="Verdana" w:hAnsi="Verdana"/>
                <w:color w:val="1F497D" w:themeColor="text2"/>
                <w:sz w:val="28"/>
                <w:szCs w:val="28"/>
              </w:rPr>
            </w:pPr>
          </w:p>
        </w:tc>
      </w:tr>
      <w:tr w:rsidR="009136F5" w:rsidRPr="00C00566" w:rsidTr="00781F53">
        <w:trPr>
          <w:cnfStyle w:val="000000100000"/>
        </w:trPr>
        <w:tc>
          <w:tcPr>
            <w:cnfStyle w:val="001000000000"/>
            <w:tcW w:w="816" w:type="dxa"/>
            <w:tcBorders>
              <w:right w:val="none" w:sz="0" w:space="0" w:color="auto"/>
            </w:tcBorders>
            <w:shd w:val="clear" w:color="auto" w:fill="auto"/>
          </w:tcPr>
          <w:p w:rsidR="009136F5" w:rsidRPr="00EB69A8" w:rsidRDefault="009136F5" w:rsidP="00EB69A8">
            <w:pPr>
              <w:jc w:val="both"/>
              <w:rPr>
                <w:rFonts w:ascii="Verdana" w:hAnsi="Verdana"/>
                <w:noProof/>
                <w:color w:val="1F497D" w:themeColor="text2"/>
                <w:sz w:val="28"/>
                <w:szCs w:val="28"/>
                <w:lang w:eastAsia="es-CO"/>
              </w:rPr>
            </w:pPr>
          </w:p>
        </w:tc>
        <w:tc>
          <w:tcPr>
            <w:tcW w:w="414" w:type="dxa"/>
            <w:tcBorders>
              <w:left w:val="none" w:sz="0" w:space="0" w:color="auto"/>
              <w:right w:val="none" w:sz="0" w:space="0" w:color="auto"/>
            </w:tcBorders>
            <w:shd w:val="clear" w:color="auto" w:fill="auto"/>
          </w:tcPr>
          <w:p w:rsidR="009136F5" w:rsidRPr="00D509E5" w:rsidRDefault="009136F5" w:rsidP="009136F5">
            <w:pPr>
              <w:jc w:val="both"/>
              <w:cnfStyle w:val="000000100000"/>
              <w:rPr>
                <w:rFonts w:ascii="Verdana" w:hAnsi="Verdana"/>
                <w:color w:val="1F497D" w:themeColor="text2"/>
                <w:sz w:val="28"/>
                <w:szCs w:val="28"/>
              </w:rPr>
            </w:pPr>
          </w:p>
        </w:tc>
        <w:tc>
          <w:tcPr>
            <w:tcW w:w="8958" w:type="dxa"/>
            <w:tcBorders>
              <w:left w:val="none" w:sz="0" w:space="0" w:color="auto"/>
            </w:tcBorders>
            <w:shd w:val="clear" w:color="auto" w:fill="auto"/>
          </w:tcPr>
          <w:p w:rsidR="009136F5" w:rsidRPr="009136F5" w:rsidRDefault="009136F5" w:rsidP="009136F5">
            <w:pPr>
              <w:jc w:val="both"/>
              <w:cnfStyle w:val="000000100000"/>
              <w:rPr>
                <w:rFonts w:ascii="Verdana" w:hAnsi="Verdana"/>
                <w:color w:val="1F497D" w:themeColor="text2"/>
                <w:sz w:val="28"/>
                <w:szCs w:val="28"/>
              </w:rPr>
            </w:pPr>
            <w:r w:rsidRPr="009136F5">
              <w:rPr>
                <w:rFonts w:ascii="Verdana" w:hAnsi="Verdana"/>
                <w:color w:val="1F497D" w:themeColor="text2"/>
                <w:sz w:val="28"/>
                <w:szCs w:val="28"/>
              </w:rPr>
              <w:t>ANEXO 4C UACT ESTADO DE CAMBIO EN EL PATRIMONIO DIC 2014</w:t>
            </w:r>
          </w:p>
          <w:p w:rsidR="009136F5" w:rsidRDefault="009136F5" w:rsidP="00BB6307">
            <w:pPr>
              <w:cnfStyle w:val="000000100000"/>
              <w:rPr>
                <w:rFonts w:ascii="Verdana" w:hAnsi="Verdana"/>
                <w:color w:val="1F497D" w:themeColor="text2"/>
                <w:sz w:val="28"/>
                <w:szCs w:val="28"/>
              </w:rPr>
            </w:pPr>
          </w:p>
        </w:tc>
      </w:tr>
      <w:tr w:rsidR="009136F5" w:rsidRPr="00C00566" w:rsidTr="00781F53">
        <w:trPr>
          <w:cnfStyle w:val="000000010000"/>
        </w:trPr>
        <w:tc>
          <w:tcPr>
            <w:cnfStyle w:val="001000000000"/>
            <w:tcW w:w="816" w:type="dxa"/>
            <w:tcBorders>
              <w:right w:val="none" w:sz="0" w:space="0" w:color="auto"/>
            </w:tcBorders>
            <w:shd w:val="clear" w:color="auto" w:fill="auto"/>
          </w:tcPr>
          <w:p w:rsidR="009136F5" w:rsidRPr="00EB69A8" w:rsidRDefault="009136F5" w:rsidP="00EB69A8">
            <w:pPr>
              <w:jc w:val="both"/>
              <w:rPr>
                <w:rFonts w:ascii="Verdana" w:hAnsi="Verdana"/>
                <w:noProof/>
                <w:color w:val="1F497D" w:themeColor="text2"/>
                <w:sz w:val="28"/>
                <w:szCs w:val="28"/>
                <w:lang w:eastAsia="es-CO"/>
              </w:rPr>
            </w:pPr>
          </w:p>
        </w:tc>
        <w:tc>
          <w:tcPr>
            <w:tcW w:w="414" w:type="dxa"/>
            <w:tcBorders>
              <w:left w:val="none" w:sz="0" w:space="0" w:color="auto"/>
              <w:right w:val="none" w:sz="0" w:space="0" w:color="auto"/>
            </w:tcBorders>
            <w:shd w:val="clear" w:color="auto" w:fill="auto"/>
          </w:tcPr>
          <w:p w:rsidR="009136F5" w:rsidRPr="00D95407" w:rsidRDefault="009136F5" w:rsidP="009136F5">
            <w:pPr>
              <w:jc w:val="both"/>
              <w:cnfStyle w:val="000000010000"/>
              <w:rPr>
                <w:rFonts w:ascii="Verdana" w:hAnsi="Verdana"/>
                <w:sz w:val="24"/>
                <w:szCs w:val="24"/>
              </w:rPr>
            </w:pPr>
          </w:p>
        </w:tc>
        <w:tc>
          <w:tcPr>
            <w:tcW w:w="8958" w:type="dxa"/>
            <w:tcBorders>
              <w:left w:val="none" w:sz="0" w:space="0" w:color="auto"/>
            </w:tcBorders>
            <w:shd w:val="clear" w:color="auto" w:fill="auto"/>
          </w:tcPr>
          <w:p w:rsidR="009136F5" w:rsidRPr="009136F5" w:rsidRDefault="009136F5" w:rsidP="009136F5">
            <w:pPr>
              <w:jc w:val="both"/>
              <w:cnfStyle w:val="000000010000"/>
              <w:rPr>
                <w:rFonts w:ascii="Verdana" w:hAnsi="Verdana"/>
                <w:color w:val="1F497D" w:themeColor="text2"/>
                <w:sz w:val="28"/>
                <w:szCs w:val="28"/>
              </w:rPr>
            </w:pPr>
            <w:r w:rsidRPr="009136F5">
              <w:rPr>
                <w:rFonts w:ascii="Verdana" w:hAnsi="Verdana"/>
                <w:color w:val="1F497D" w:themeColor="text2"/>
                <w:sz w:val="28"/>
                <w:szCs w:val="28"/>
              </w:rPr>
              <w:t>ANEXO 4D UACT CERTIFICACION BALANCES FINANCIEROS</w:t>
            </w:r>
          </w:p>
          <w:p w:rsidR="009136F5" w:rsidRPr="009136F5" w:rsidRDefault="009136F5" w:rsidP="009136F5">
            <w:pPr>
              <w:jc w:val="both"/>
              <w:cnfStyle w:val="000000010000"/>
              <w:rPr>
                <w:rFonts w:ascii="Verdana" w:hAnsi="Verdana"/>
                <w:color w:val="1F497D" w:themeColor="text2"/>
                <w:sz w:val="28"/>
                <w:szCs w:val="28"/>
              </w:rPr>
            </w:pPr>
          </w:p>
        </w:tc>
      </w:tr>
      <w:tr w:rsidR="009136F5" w:rsidRPr="00C00566" w:rsidTr="00781F53">
        <w:trPr>
          <w:cnfStyle w:val="000000100000"/>
        </w:trPr>
        <w:tc>
          <w:tcPr>
            <w:cnfStyle w:val="001000000000"/>
            <w:tcW w:w="816" w:type="dxa"/>
            <w:tcBorders>
              <w:right w:val="none" w:sz="0" w:space="0" w:color="auto"/>
            </w:tcBorders>
            <w:shd w:val="clear" w:color="auto" w:fill="auto"/>
          </w:tcPr>
          <w:p w:rsidR="009136F5" w:rsidRPr="00EB69A8" w:rsidRDefault="009136F5" w:rsidP="00EB69A8">
            <w:pPr>
              <w:jc w:val="both"/>
              <w:rPr>
                <w:rFonts w:ascii="Verdana" w:hAnsi="Verdana"/>
                <w:noProof/>
                <w:color w:val="1F497D" w:themeColor="text2"/>
                <w:sz w:val="28"/>
                <w:szCs w:val="28"/>
                <w:lang w:eastAsia="es-CO"/>
              </w:rPr>
            </w:pPr>
          </w:p>
        </w:tc>
        <w:tc>
          <w:tcPr>
            <w:tcW w:w="414" w:type="dxa"/>
            <w:tcBorders>
              <w:left w:val="none" w:sz="0" w:space="0" w:color="auto"/>
              <w:right w:val="none" w:sz="0" w:space="0" w:color="auto"/>
            </w:tcBorders>
            <w:shd w:val="clear" w:color="auto" w:fill="auto"/>
          </w:tcPr>
          <w:p w:rsidR="009136F5" w:rsidRPr="00D95407" w:rsidRDefault="009136F5" w:rsidP="009136F5">
            <w:pPr>
              <w:jc w:val="both"/>
              <w:cnfStyle w:val="000000100000"/>
              <w:rPr>
                <w:rFonts w:ascii="Verdana" w:hAnsi="Verdana"/>
                <w:sz w:val="24"/>
                <w:szCs w:val="24"/>
              </w:rPr>
            </w:pPr>
          </w:p>
        </w:tc>
        <w:tc>
          <w:tcPr>
            <w:tcW w:w="8958" w:type="dxa"/>
            <w:tcBorders>
              <w:left w:val="none" w:sz="0" w:space="0" w:color="auto"/>
            </w:tcBorders>
            <w:shd w:val="clear" w:color="auto" w:fill="auto"/>
          </w:tcPr>
          <w:p w:rsidR="009136F5" w:rsidRPr="009136F5" w:rsidRDefault="009136F5" w:rsidP="009136F5">
            <w:pPr>
              <w:jc w:val="both"/>
              <w:cnfStyle w:val="000000100000"/>
              <w:rPr>
                <w:rFonts w:ascii="Verdana" w:hAnsi="Verdana"/>
                <w:color w:val="1F497D" w:themeColor="text2"/>
                <w:sz w:val="28"/>
                <w:szCs w:val="28"/>
              </w:rPr>
            </w:pPr>
            <w:r w:rsidRPr="009136F5">
              <w:rPr>
                <w:rFonts w:ascii="Verdana" w:hAnsi="Verdana"/>
                <w:color w:val="1F497D" w:themeColor="text2"/>
                <w:sz w:val="28"/>
                <w:szCs w:val="28"/>
              </w:rPr>
              <w:t>ANEXO 4E UACT NOTAS AL ESTADO FINANCIERO 2014</w:t>
            </w:r>
          </w:p>
          <w:p w:rsidR="009136F5" w:rsidRPr="009136F5" w:rsidRDefault="009136F5" w:rsidP="009136F5">
            <w:pPr>
              <w:jc w:val="both"/>
              <w:cnfStyle w:val="000000100000"/>
              <w:rPr>
                <w:rFonts w:ascii="Verdana" w:hAnsi="Verdana"/>
                <w:color w:val="1F497D" w:themeColor="text2"/>
                <w:sz w:val="28"/>
                <w:szCs w:val="28"/>
              </w:rPr>
            </w:pPr>
          </w:p>
        </w:tc>
      </w:tr>
    </w:tbl>
    <w:p w:rsidR="008673D2" w:rsidRDefault="008673D2">
      <w:pPr>
        <w:rPr>
          <w:rFonts w:ascii="Verdana" w:hAnsi="Verdana"/>
          <w:sz w:val="36"/>
          <w:szCs w:val="36"/>
        </w:rPr>
      </w:pPr>
      <w:r>
        <w:rPr>
          <w:rFonts w:ascii="Verdana" w:hAnsi="Verdana"/>
          <w:sz w:val="36"/>
          <w:szCs w:val="36"/>
        </w:rPr>
        <w:br w:type="page"/>
      </w:r>
    </w:p>
    <w:p w:rsidR="00F33CF6" w:rsidRDefault="00F33CF6" w:rsidP="00F33CF6">
      <w:pPr>
        <w:pStyle w:val="Prrafodelista"/>
        <w:ind w:left="1080"/>
        <w:jc w:val="center"/>
        <w:rPr>
          <w:rFonts w:ascii="Verdana" w:hAnsi="Verdana"/>
          <w:b/>
          <w:color w:val="1F497D" w:themeColor="text2"/>
          <w:sz w:val="28"/>
          <w:szCs w:val="28"/>
        </w:rPr>
      </w:pPr>
    </w:p>
    <w:p w:rsidR="00F33CF6" w:rsidRDefault="00F33CF6">
      <w:pPr>
        <w:rPr>
          <w:rFonts w:ascii="Verdana" w:hAnsi="Verdana" w:cs="Lucida Sans Unicode"/>
          <w:color w:val="000000"/>
          <w:sz w:val="28"/>
          <w:szCs w:val="28"/>
        </w:rPr>
      </w:pPr>
    </w:p>
    <w:p w:rsidR="00451818" w:rsidRPr="00F3007F" w:rsidRDefault="00451818" w:rsidP="00451818">
      <w:pPr>
        <w:autoSpaceDE w:val="0"/>
        <w:autoSpaceDN w:val="0"/>
        <w:adjustRightInd w:val="0"/>
        <w:spacing w:after="0" w:line="240" w:lineRule="auto"/>
        <w:rPr>
          <w:rFonts w:ascii="Verdana" w:hAnsi="Verdana" w:cs="Lucida Sans Unicode"/>
          <w:b/>
          <w:color w:val="1F497D" w:themeColor="text2"/>
          <w:sz w:val="28"/>
          <w:szCs w:val="24"/>
        </w:rPr>
      </w:pPr>
      <w:bookmarkStart w:id="1" w:name="PRESENTACION"/>
      <w:r w:rsidRPr="00F3007F">
        <w:rPr>
          <w:rFonts w:ascii="Verdana" w:hAnsi="Verdana" w:cs="Lucida Sans Unicode"/>
          <w:b/>
          <w:color w:val="1F497D" w:themeColor="text2"/>
          <w:sz w:val="28"/>
          <w:szCs w:val="24"/>
        </w:rPr>
        <w:t>PRESENTACION</w:t>
      </w:r>
    </w:p>
    <w:bookmarkEnd w:id="1"/>
    <w:p w:rsidR="00451818" w:rsidRPr="00F3007F" w:rsidRDefault="00451818" w:rsidP="00451818">
      <w:pPr>
        <w:autoSpaceDE w:val="0"/>
        <w:autoSpaceDN w:val="0"/>
        <w:adjustRightInd w:val="0"/>
        <w:spacing w:after="0" w:line="240" w:lineRule="auto"/>
        <w:rPr>
          <w:rFonts w:ascii="Verdana" w:hAnsi="Verdana" w:cs="Lucida Sans Unicode"/>
          <w:b/>
          <w:color w:val="000000"/>
          <w:sz w:val="24"/>
          <w:szCs w:val="24"/>
        </w:rPr>
      </w:pPr>
    </w:p>
    <w:p w:rsidR="00451818" w:rsidRPr="00F3007F" w:rsidRDefault="00451818" w:rsidP="00451818">
      <w:pPr>
        <w:autoSpaceDE w:val="0"/>
        <w:autoSpaceDN w:val="0"/>
        <w:adjustRightInd w:val="0"/>
        <w:spacing w:after="0" w:line="240" w:lineRule="auto"/>
        <w:rPr>
          <w:rFonts w:ascii="Verdana" w:hAnsi="Verdana" w:cs="Lucida Sans Unicode"/>
          <w:color w:val="000000"/>
          <w:sz w:val="24"/>
          <w:szCs w:val="24"/>
        </w:rPr>
      </w:pPr>
    </w:p>
    <w:p w:rsidR="00B04FE5" w:rsidRPr="00F3007F" w:rsidRDefault="00B04FE5" w:rsidP="00B04FE5">
      <w:pPr>
        <w:spacing w:line="240" w:lineRule="auto"/>
        <w:jc w:val="both"/>
        <w:rPr>
          <w:rFonts w:ascii="Verdana" w:hAnsi="Verdana"/>
          <w:color w:val="000000"/>
          <w:sz w:val="24"/>
          <w:szCs w:val="24"/>
        </w:rPr>
      </w:pPr>
      <w:r w:rsidRPr="00F3007F">
        <w:rPr>
          <w:rFonts w:ascii="Verdana" w:hAnsi="Verdana"/>
          <w:color w:val="000000"/>
          <w:sz w:val="24"/>
          <w:szCs w:val="24"/>
        </w:rPr>
        <w:t>El sector de la Inclusión Social y la Reconciliación está comprometido con la participación ciudadana y el proceso de rendición de cuentas es muestra de ello, en esta oportunidad el sector quiere dar a conocer con mayor énfasis lo que el ciudadano le está preguntando, ha destinado alrededor de la audiencia pública de rendición de cuentas espacios para que el ciudadano se informe, la acción más importante es el presente informe que da a conocer el desempeño de las entidades que conforman el sector, esta información está organizada por cada una de las entidades y da cuenta en cada uno de estos acápites información adicional producto del análisis de nuestros sistemas de peticiones quejas y reclamos.</w:t>
      </w:r>
    </w:p>
    <w:p w:rsidR="00B04FE5" w:rsidRPr="00F3007F" w:rsidRDefault="00B04FE5" w:rsidP="00B04FE5">
      <w:pPr>
        <w:autoSpaceDE w:val="0"/>
        <w:autoSpaceDN w:val="0"/>
        <w:spacing w:line="240" w:lineRule="auto"/>
        <w:jc w:val="both"/>
        <w:rPr>
          <w:rFonts w:ascii="Verdana" w:hAnsi="Verdana"/>
          <w:color w:val="000000"/>
          <w:sz w:val="24"/>
          <w:szCs w:val="24"/>
        </w:rPr>
      </w:pPr>
      <w:r w:rsidRPr="00F3007F">
        <w:rPr>
          <w:rFonts w:ascii="Verdana" w:hAnsi="Verdana"/>
          <w:color w:val="000000"/>
          <w:sz w:val="24"/>
          <w:szCs w:val="24"/>
        </w:rPr>
        <w:t xml:space="preserve">La confiabilidad en la gestión de la estructura del Estado y la fortaleza de sus instituciones, es el resultado en gran medida de procesos de Rendición de Cuentas, es por esto que como proceso fundamental del Buen Gobierno, el Sector de la Inclusión Social y la Reconciliación el próximo 26 de Marzo y 15 de abril se vuelca a las regiones y  realizará la Audiencia Pública de Rendición de Cuentas en dos sesiones desarrolladas en Riohacha, en el departamento de La Guajira y Tumaco en el departamento de Nariño, estas audiencias nos permitirán dialogar con los ciudadanos en aquellas regiones que más han necesitado de este sector durante la vigencia 2014. </w:t>
      </w:r>
    </w:p>
    <w:p w:rsidR="00B04FE5" w:rsidRPr="00F3007F" w:rsidRDefault="00B04FE5" w:rsidP="00B04FE5">
      <w:pPr>
        <w:autoSpaceDE w:val="0"/>
        <w:autoSpaceDN w:val="0"/>
        <w:spacing w:line="240" w:lineRule="auto"/>
        <w:jc w:val="both"/>
        <w:rPr>
          <w:rFonts w:ascii="Verdana" w:hAnsi="Verdana"/>
          <w:color w:val="000000"/>
          <w:sz w:val="24"/>
          <w:szCs w:val="24"/>
        </w:rPr>
      </w:pPr>
      <w:r w:rsidRPr="00F3007F">
        <w:rPr>
          <w:rFonts w:ascii="Verdana" w:hAnsi="Verdana"/>
          <w:color w:val="000000"/>
          <w:sz w:val="24"/>
          <w:szCs w:val="24"/>
        </w:rPr>
        <w:t>Este ejercicio, tiene como propósito fomentar el diálogo y la retroalimentación entre las entidades del Estado y los ciudadanos, como parte del ejercicio permanente de transparencia y participación ciudadana. El sector está convencido en la importancia del ciudadano en la construcción de paz, equidad y educación, la participación y el control ciudadano en este proceso de rendición de cuentas deben llevarnos a mejorar continuamente</w:t>
      </w:r>
    </w:p>
    <w:p w:rsidR="00451818" w:rsidRPr="00F3007F" w:rsidRDefault="00B04FE5" w:rsidP="00D509E5">
      <w:pPr>
        <w:autoSpaceDE w:val="0"/>
        <w:autoSpaceDN w:val="0"/>
        <w:spacing w:line="240" w:lineRule="auto"/>
        <w:jc w:val="both"/>
        <w:rPr>
          <w:rFonts w:ascii="Verdana" w:hAnsi="Verdana" w:cs="Lucida Sans Unicode"/>
          <w:color w:val="000000"/>
          <w:sz w:val="24"/>
          <w:szCs w:val="24"/>
        </w:rPr>
      </w:pPr>
      <w:r w:rsidRPr="00F3007F">
        <w:rPr>
          <w:rFonts w:ascii="Verdana" w:hAnsi="Verdana"/>
          <w:color w:val="000000"/>
          <w:sz w:val="24"/>
          <w:szCs w:val="24"/>
        </w:rPr>
        <w:t>A continuación se presentan las Entidades del Sector de la Inclusión y la Reconciliación, y posteriormente el Informe de Gestión Sectorial, presentado por Entidad, el cual esboza la gestión del Sector durante el 2014, el cual servirá de insumo para los ciudadanos interesados en participar activamente en este ejercicio.</w:t>
      </w:r>
      <w:r w:rsidR="00CC6CED" w:rsidRPr="00F3007F">
        <w:rPr>
          <w:noProof/>
          <w:sz w:val="24"/>
          <w:szCs w:val="24"/>
          <w:lang w:eastAsia="es-CO"/>
        </w:rPr>
        <w:t xml:space="preserve"> </w:t>
      </w:r>
      <w:r w:rsidR="00451818" w:rsidRPr="00F3007F">
        <w:rPr>
          <w:rFonts w:ascii="Verdana" w:hAnsi="Verdana" w:cs="Lucida Sans Unicode"/>
          <w:color w:val="000000"/>
          <w:sz w:val="24"/>
          <w:szCs w:val="24"/>
        </w:rPr>
        <w:br w:type="page"/>
      </w:r>
      <w:r w:rsidR="00BD4C94" w:rsidRPr="00F3007F">
        <w:rPr>
          <w:rFonts w:ascii="Verdana" w:hAnsi="Verdana" w:cs="Lucida Sans Unicode"/>
          <w:noProof/>
          <w:color w:val="000000"/>
          <w:sz w:val="24"/>
          <w:szCs w:val="24"/>
          <w:lang w:eastAsia="es-CO"/>
        </w:rPr>
        <w:drawing>
          <wp:anchor distT="0" distB="0" distL="114300" distR="114300" simplePos="0" relativeHeight="251719680" behindDoc="0" locked="0" layoutInCell="1" allowOverlap="1">
            <wp:simplePos x="0" y="0"/>
            <wp:positionH relativeFrom="column">
              <wp:posOffset>6422832</wp:posOffset>
            </wp:positionH>
            <wp:positionV relativeFrom="paragraph">
              <wp:posOffset>1324858</wp:posOffset>
            </wp:positionV>
            <wp:extent cx="504411" cy="357809"/>
            <wp:effectExtent l="19050" t="0" r="0" b="0"/>
            <wp:wrapThrough wrapText="bothSides">
              <wp:wrapPolygon edited="0">
                <wp:start x="-816" y="0"/>
                <wp:lineTo x="-816" y="20718"/>
                <wp:lineTo x="21219" y="20718"/>
                <wp:lineTo x="21219" y="0"/>
                <wp:lineTo x="-816" y="0"/>
              </wp:wrapPolygon>
            </wp:wrapThrough>
            <wp:docPr id="70" name="Objeto 10">
              <a:hlinkClick xmlns:a="http://schemas.openxmlformats.org/drawingml/2006/main" r:id="rId22" tooltip="Ir a la pagina de CONTENIDO."/>
            </wp:docPr>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4056" cy="360040"/>
                      <a:chOff x="683568" y="5517232"/>
                      <a:chExt cx="504056" cy="360040"/>
                    </a:xfrm>
                  </a:grpSpPr>
                  <a:sp>
                    <a:nvSpPr>
                      <a:cNvPr id="36" name="35 Botón de acción: Inicio"/>
                      <a:cNvSpPr/>
                    </a:nvSpPr>
                    <a:spPr>
                      <a:xfrm>
                        <a:off x="683568" y="5517232"/>
                        <a:ext cx="504056" cy="360040"/>
                      </a:xfrm>
                      <a:prstGeom prst="actionButtonHome">
                        <a:avLst/>
                      </a:prstGeom>
                      <a:solidFill>
                        <a:schemeClr val="accent5">
                          <a:lumMod val="60000"/>
                          <a:lumOff val="40000"/>
                        </a:schemeClr>
                      </a:soli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F54C5D" w:rsidRPr="00F3007F" w:rsidRDefault="00F54C5D" w:rsidP="00F54C5D">
      <w:pPr>
        <w:spacing w:after="0" w:line="240" w:lineRule="auto"/>
        <w:jc w:val="both"/>
        <w:rPr>
          <w:rFonts w:ascii="Verdana" w:hAnsi="Verdana" w:cs="Lucida Sans Unicode"/>
          <w:color w:val="000000"/>
          <w:sz w:val="24"/>
          <w:szCs w:val="24"/>
        </w:rPr>
      </w:pPr>
    </w:p>
    <w:p w:rsidR="000351B9" w:rsidRPr="00F3007F" w:rsidRDefault="000351B9" w:rsidP="00F54C5D">
      <w:pPr>
        <w:spacing w:after="0" w:line="240" w:lineRule="auto"/>
        <w:jc w:val="both"/>
        <w:rPr>
          <w:rFonts w:ascii="Verdana" w:hAnsi="Verdana"/>
          <w:b/>
          <w:bCs/>
          <w:sz w:val="24"/>
          <w:szCs w:val="24"/>
        </w:rPr>
      </w:pPr>
    </w:p>
    <w:p w:rsidR="00ED3797" w:rsidRPr="00F3007F" w:rsidRDefault="008A204F" w:rsidP="00F54C5D">
      <w:pPr>
        <w:spacing w:after="0" w:line="240" w:lineRule="auto"/>
        <w:jc w:val="both"/>
        <w:rPr>
          <w:rFonts w:ascii="Verdana" w:hAnsi="Verdana"/>
          <w:b/>
          <w:bCs/>
          <w:color w:val="1F497D" w:themeColor="text2"/>
          <w:sz w:val="28"/>
          <w:szCs w:val="24"/>
        </w:rPr>
      </w:pPr>
      <w:bookmarkStart w:id="2" w:name="SECTORINCLUSION"/>
      <w:r w:rsidRPr="00F3007F">
        <w:rPr>
          <w:rFonts w:ascii="Verdana" w:hAnsi="Verdana"/>
          <w:b/>
          <w:bCs/>
          <w:color w:val="1F497D" w:themeColor="text2"/>
          <w:sz w:val="28"/>
          <w:szCs w:val="24"/>
        </w:rPr>
        <w:t>E</w:t>
      </w:r>
      <w:r w:rsidR="00451818" w:rsidRPr="00F3007F">
        <w:rPr>
          <w:rFonts w:ascii="Verdana" w:hAnsi="Verdana"/>
          <w:b/>
          <w:bCs/>
          <w:color w:val="1F497D" w:themeColor="text2"/>
          <w:sz w:val="28"/>
          <w:szCs w:val="24"/>
        </w:rPr>
        <w:t xml:space="preserve">L </w:t>
      </w:r>
      <w:r w:rsidR="00F54C5D" w:rsidRPr="00F3007F">
        <w:rPr>
          <w:rFonts w:ascii="Verdana" w:hAnsi="Verdana"/>
          <w:b/>
          <w:bCs/>
          <w:color w:val="1F497D" w:themeColor="text2"/>
          <w:sz w:val="28"/>
          <w:szCs w:val="24"/>
        </w:rPr>
        <w:t xml:space="preserve">SECTOR DE LA INCLUSIÓN SOCIAL Y LA RECONCILIACIÓN </w:t>
      </w:r>
    </w:p>
    <w:bookmarkEnd w:id="2"/>
    <w:p w:rsidR="00ED3797" w:rsidRPr="00F3007F" w:rsidRDefault="00ED3797" w:rsidP="00F54C5D">
      <w:pPr>
        <w:spacing w:after="0" w:line="240" w:lineRule="auto"/>
        <w:jc w:val="both"/>
        <w:rPr>
          <w:rFonts w:ascii="Verdana" w:hAnsi="Verdana"/>
          <w:b/>
          <w:bCs/>
          <w:sz w:val="24"/>
          <w:szCs w:val="24"/>
        </w:rPr>
      </w:pPr>
    </w:p>
    <w:p w:rsidR="00BB2547" w:rsidRPr="00F3007F" w:rsidRDefault="00BB2547" w:rsidP="00F54C5D">
      <w:pPr>
        <w:spacing w:after="0" w:line="240" w:lineRule="auto"/>
        <w:jc w:val="both"/>
        <w:rPr>
          <w:rFonts w:ascii="Verdana" w:hAnsi="Verdana"/>
          <w:b/>
          <w:bCs/>
          <w:sz w:val="24"/>
          <w:szCs w:val="24"/>
        </w:rPr>
      </w:pPr>
    </w:p>
    <w:p w:rsidR="00C746F3" w:rsidRPr="00F3007F" w:rsidRDefault="00C746F3" w:rsidP="00C746F3">
      <w:pPr>
        <w:autoSpaceDE w:val="0"/>
        <w:autoSpaceDN w:val="0"/>
        <w:jc w:val="both"/>
        <w:rPr>
          <w:rFonts w:ascii="Verdana" w:hAnsi="Verdana"/>
          <w:color w:val="000000"/>
          <w:sz w:val="24"/>
          <w:szCs w:val="24"/>
        </w:rPr>
      </w:pPr>
      <w:r w:rsidRPr="00F3007F">
        <w:rPr>
          <w:rFonts w:ascii="Verdana" w:hAnsi="Verdana"/>
          <w:color w:val="000000"/>
          <w:sz w:val="24"/>
          <w:szCs w:val="24"/>
        </w:rPr>
        <w:t>El sector de la Inclusión Social y la Reconciliación se creó con el propósito de tener como tema de Estado la superación de la pobreza, la inclusión social, la reconciliación, la recuperación de territorios, la atención y reparación a víctimas de la violencia, la atención a grupos vulnerables, población discapacitada y la reintegración social y económica.</w:t>
      </w:r>
    </w:p>
    <w:p w:rsidR="00C746F3" w:rsidRPr="00F3007F" w:rsidRDefault="00C746F3" w:rsidP="00C746F3">
      <w:pPr>
        <w:autoSpaceDE w:val="0"/>
        <w:autoSpaceDN w:val="0"/>
        <w:jc w:val="both"/>
        <w:rPr>
          <w:rFonts w:ascii="Verdana" w:hAnsi="Verdana"/>
          <w:color w:val="000000"/>
          <w:sz w:val="24"/>
          <w:szCs w:val="24"/>
        </w:rPr>
      </w:pPr>
    </w:p>
    <w:p w:rsidR="00C746F3" w:rsidRPr="00F3007F" w:rsidRDefault="00C746F3" w:rsidP="00C746F3">
      <w:pPr>
        <w:autoSpaceDE w:val="0"/>
        <w:autoSpaceDN w:val="0"/>
        <w:jc w:val="both"/>
        <w:rPr>
          <w:rFonts w:ascii="Verdana" w:hAnsi="Verdana"/>
          <w:color w:val="000000"/>
          <w:sz w:val="24"/>
          <w:szCs w:val="24"/>
        </w:rPr>
      </w:pPr>
      <w:r w:rsidRPr="00F3007F">
        <w:rPr>
          <w:rFonts w:ascii="Verdana" w:hAnsi="Verdana"/>
          <w:color w:val="000000"/>
          <w:sz w:val="24"/>
          <w:szCs w:val="24"/>
        </w:rPr>
        <w:t>Esta conformación se configura en primer lugar con una cabeza de sector, en este caso este rol esta dado al del Departamento para la Prosperidad Social-DPS, y cinco entidades adscritas, 4 de ellas creadas en el ámbito de las facultades extraordinarias del Presidente de la República para modificar la estructura del estado en la Ley 1444 de 2011 y el Instituto Colombiano de Bienestar Familiar-ICBF que viene a reforzar la configuración del sector.</w:t>
      </w:r>
    </w:p>
    <w:p w:rsidR="00C746F3" w:rsidRPr="00F3007F" w:rsidRDefault="00C746F3" w:rsidP="00C746F3">
      <w:pPr>
        <w:autoSpaceDE w:val="0"/>
        <w:autoSpaceDN w:val="0"/>
        <w:jc w:val="both"/>
        <w:rPr>
          <w:rFonts w:ascii="Verdana" w:hAnsi="Verdana"/>
          <w:sz w:val="24"/>
          <w:szCs w:val="24"/>
        </w:rPr>
      </w:pPr>
    </w:p>
    <w:p w:rsidR="00C746F3" w:rsidRPr="00F3007F" w:rsidRDefault="00C746F3" w:rsidP="00C746F3">
      <w:pPr>
        <w:autoSpaceDE w:val="0"/>
        <w:autoSpaceDN w:val="0"/>
        <w:jc w:val="both"/>
        <w:rPr>
          <w:rFonts w:ascii="Verdana" w:hAnsi="Verdana"/>
          <w:sz w:val="24"/>
          <w:szCs w:val="24"/>
        </w:rPr>
      </w:pPr>
      <w:r w:rsidRPr="00F3007F">
        <w:rPr>
          <w:rFonts w:ascii="Verdana" w:hAnsi="Verdana"/>
          <w:sz w:val="24"/>
          <w:szCs w:val="24"/>
        </w:rPr>
        <w:t>La creación del sector de la inclusión social y la reconciliación hace visible a la población vulnerable, a través de la generación de criterios diferenciales, para poderlas atender según su situación. Pues se adscribieron entidades para atender poblaciones con situaciones o en condiciones específicas, como la Unidad Administrativa Especial para la Atención y Reparación a las Víctimas y Centro de Memoria Histórica para el tema de víctimas, y la Agencia Nacional para la Superación de la Pobreza Extrema, el Instituto Colombiano de Bienestar Familiar y el Departamento para la Prosperidad Social-DPS, entidades encargadas del tema de la igualdad de oportunidades; así como la adscripción de la Unidad Administrativa Especial para la Consolidación Territorial como entidad encargada del despliegue de acciones articuladas del Estado nacional y local para asegurar la presencia integral de Estado.</w:t>
      </w:r>
    </w:p>
    <w:p w:rsidR="00C746F3" w:rsidRPr="00F3007F" w:rsidRDefault="00C746F3" w:rsidP="00C746F3">
      <w:pPr>
        <w:autoSpaceDE w:val="0"/>
        <w:autoSpaceDN w:val="0"/>
        <w:jc w:val="both"/>
        <w:rPr>
          <w:rFonts w:ascii="Verdana" w:hAnsi="Verdana"/>
          <w:sz w:val="24"/>
          <w:szCs w:val="24"/>
        </w:rPr>
      </w:pPr>
    </w:p>
    <w:p w:rsidR="00C746F3" w:rsidRPr="00F3007F" w:rsidRDefault="00C746F3" w:rsidP="00C746F3">
      <w:pPr>
        <w:autoSpaceDE w:val="0"/>
        <w:autoSpaceDN w:val="0"/>
        <w:jc w:val="both"/>
        <w:rPr>
          <w:rFonts w:ascii="Verdana" w:hAnsi="Verdana"/>
          <w:sz w:val="24"/>
          <w:szCs w:val="24"/>
        </w:rPr>
      </w:pPr>
      <w:r w:rsidRPr="00F3007F">
        <w:rPr>
          <w:rFonts w:ascii="Verdana" w:hAnsi="Verdana"/>
          <w:sz w:val="24"/>
          <w:szCs w:val="24"/>
        </w:rPr>
        <w:lastRenderedPageBreak/>
        <w:t>A continuación se muestra en detalle el quehacer de este sector que al terminar 2014 lleva funcionando tres (3) años al servicio de los colombianos</w:t>
      </w:r>
    </w:p>
    <w:p w:rsidR="000351B9" w:rsidRPr="00F3007F" w:rsidRDefault="000351B9" w:rsidP="000351B9">
      <w:pPr>
        <w:autoSpaceDE w:val="0"/>
        <w:autoSpaceDN w:val="0"/>
        <w:adjustRightInd w:val="0"/>
        <w:spacing w:after="0" w:line="240" w:lineRule="auto"/>
        <w:jc w:val="both"/>
        <w:rPr>
          <w:rFonts w:ascii="Verdana" w:hAnsi="Verdana" w:cs="Lucida Sans Unicode"/>
          <w:sz w:val="24"/>
          <w:szCs w:val="24"/>
        </w:rPr>
      </w:pPr>
      <w:r w:rsidRPr="00F3007F">
        <w:rPr>
          <w:rFonts w:ascii="Verdana" w:hAnsi="Verdana" w:cs="Lucida Sans Unicode"/>
          <w:sz w:val="24"/>
          <w:szCs w:val="24"/>
        </w:rPr>
        <w:t xml:space="preserve"> </w:t>
      </w:r>
    </w:p>
    <w:p w:rsidR="008A204F" w:rsidRPr="00F3007F" w:rsidRDefault="00C746F3" w:rsidP="00C746F3">
      <w:pPr>
        <w:spacing w:after="0" w:line="240" w:lineRule="auto"/>
        <w:jc w:val="center"/>
        <w:rPr>
          <w:rFonts w:ascii="Verdana" w:hAnsi="Verdana"/>
          <w:bCs/>
          <w:sz w:val="24"/>
          <w:szCs w:val="24"/>
        </w:rPr>
      </w:pPr>
      <w:r w:rsidRPr="00F3007F">
        <w:rPr>
          <w:rFonts w:ascii="Verdana" w:hAnsi="Verdana"/>
          <w:bCs/>
          <w:noProof/>
          <w:sz w:val="24"/>
          <w:szCs w:val="24"/>
          <w:lang w:eastAsia="es-CO"/>
        </w:rPr>
        <w:drawing>
          <wp:anchor distT="0" distB="0" distL="114300" distR="114300" simplePos="0" relativeHeight="251688960" behindDoc="0" locked="0" layoutInCell="1" allowOverlap="1">
            <wp:simplePos x="0" y="0"/>
            <wp:positionH relativeFrom="column">
              <wp:posOffset>491656</wp:posOffset>
            </wp:positionH>
            <wp:positionV relativeFrom="paragraph">
              <wp:posOffset>675530</wp:posOffset>
            </wp:positionV>
            <wp:extent cx="5036654" cy="993913"/>
            <wp:effectExtent l="19050" t="0" r="0" b="0"/>
            <wp:wrapTopAndBottom/>
            <wp:docPr id="26" name="Objet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28592" cy="1584176"/>
                      <a:chOff x="467544" y="620688"/>
                      <a:chExt cx="5328592" cy="1584176"/>
                    </a:xfrm>
                  </a:grpSpPr>
                  <a:sp>
                    <a:nvSpPr>
                      <a:cNvPr id="4" name="3 Rectángulo"/>
                      <a:cNvSpPr/>
                    </a:nvSpPr>
                    <a:spPr>
                      <a:xfrm>
                        <a:off x="2627784" y="620688"/>
                        <a:ext cx="1008112" cy="648072"/>
                      </a:xfrm>
                      <a:prstGeom prst="rect">
                        <a:avLst/>
                      </a:prstGeom>
                    </a:spPr>
                    <a:txSp>
                      <a:txBody>
                        <a:bodyPr rtlCol="0" anchor="ctr"/>
                        <a:lstStyle>
                          <a:defPPr>
                            <a:defRPr lang="es-CO"/>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CO" dirty="0" smtClean="0"/>
                            <a:t>DPS</a:t>
                          </a:r>
                          <a:endParaRPr lang="es-CO" dirty="0"/>
                        </a:p>
                      </a:txBody>
                      <a:useSpRect/>
                    </a:txSp>
                    <a:style>
                      <a:lnRef idx="2">
                        <a:schemeClr val="accent1"/>
                      </a:lnRef>
                      <a:fillRef idx="1">
                        <a:schemeClr val="lt1"/>
                      </a:fillRef>
                      <a:effectRef idx="0">
                        <a:schemeClr val="accent1"/>
                      </a:effectRef>
                      <a:fontRef idx="minor">
                        <a:schemeClr val="dk1"/>
                      </a:fontRef>
                    </a:style>
                  </a:sp>
                  <a:sp>
                    <a:nvSpPr>
                      <a:cNvPr id="6" name="5 Rectángulo"/>
                      <a:cNvSpPr/>
                    </a:nvSpPr>
                    <a:spPr>
                      <a:xfrm>
                        <a:off x="4788024" y="1556792"/>
                        <a:ext cx="1008112" cy="648072"/>
                      </a:xfrm>
                      <a:prstGeom prst="rect">
                        <a:avLst/>
                      </a:prstGeom>
                    </a:spPr>
                    <a:txSp>
                      <a:txBody>
                        <a:bodyPr rtlCol="0" anchor="ctr"/>
                        <a:lstStyle>
                          <a:defPPr>
                            <a:defRPr lang="es-CO"/>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CO" dirty="0" smtClean="0"/>
                            <a:t>ICBF</a:t>
                          </a:r>
                          <a:endParaRPr lang="es-CO" dirty="0"/>
                        </a:p>
                      </a:txBody>
                      <a:useSpRect/>
                    </a:txSp>
                    <a:style>
                      <a:lnRef idx="2">
                        <a:schemeClr val="dk1"/>
                      </a:lnRef>
                      <a:fillRef idx="1">
                        <a:schemeClr val="lt1"/>
                      </a:fillRef>
                      <a:effectRef idx="0">
                        <a:schemeClr val="dk1"/>
                      </a:effectRef>
                      <a:fontRef idx="minor">
                        <a:schemeClr val="dk1"/>
                      </a:fontRef>
                    </a:style>
                  </a:sp>
                  <a:sp>
                    <a:nvSpPr>
                      <a:cNvPr id="7" name="6 Rectángulo"/>
                      <a:cNvSpPr/>
                    </a:nvSpPr>
                    <a:spPr>
                      <a:xfrm>
                        <a:off x="3707904" y="1556792"/>
                        <a:ext cx="1008112" cy="648072"/>
                      </a:xfrm>
                      <a:prstGeom prst="rect">
                        <a:avLst/>
                      </a:prstGeom>
                    </a:spPr>
                    <a:txSp>
                      <a:txBody>
                        <a:bodyPr rtlCol="0" anchor="ctr"/>
                        <a:lstStyle>
                          <a:defPPr>
                            <a:defRPr lang="es-CO"/>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CO" dirty="0" smtClean="0"/>
                            <a:t>UACT</a:t>
                          </a:r>
                          <a:endParaRPr lang="es-CO" dirty="0"/>
                        </a:p>
                      </a:txBody>
                      <a:useSpRect/>
                    </a:txSp>
                    <a:style>
                      <a:lnRef idx="2">
                        <a:schemeClr val="dk1"/>
                      </a:lnRef>
                      <a:fillRef idx="1">
                        <a:schemeClr val="lt1"/>
                      </a:fillRef>
                      <a:effectRef idx="0">
                        <a:schemeClr val="dk1"/>
                      </a:effectRef>
                      <a:fontRef idx="minor">
                        <a:schemeClr val="dk1"/>
                      </a:fontRef>
                    </a:style>
                  </a:sp>
                  <a:sp>
                    <a:nvSpPr>
                      <a:cNvPr id="8" name="7 Rectángulo"/>
                      <a:cNvSpPr/>
                    </a:nvSpPr>
                    <a:spPr>
                      <a:xfrm>
                        <a:off x="2627784" y="1556792"/>
                        <a:ext cx="1008112" cy="648072"/>
                      </a:xfrm>
                      <a:prstGeom prst="rect">
                        <a:avLst/>
                      </a:prstGeom>
                    </a:spPr>
                    <a:txSp>
                      <a:txBody>
                        <a:bodyPr rtlCol="0" anchor="ctr"/>
                        <a:lstStyle>
                          <a:defPPr>
                            <a:defRPr lang="es-CO"/>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CO" dirty="0" smtClean="0"/>
                            <a:t>CNMH</a:t>
                          </a:r>
                          <a:endParaRPr lang="es-CO" dirty="0"/>
                        </a:p>
                      </a:txBody>
                      <a:useSpRect/>
                    </a:txSp>
                    <a:style>
                      <a:lnRef idx="2">
                        <a:schemeClr val="dk1"/>
                      </a:lnRef>
                      <a:fillRef idx="1">
                        <a:schemeClr val="lt1"/>
                      </a:fillRef>
                      <a:effectRef idx="0">
                        <a:schemeClr val="dk1"/>
                      </a:effectRef>
                      <a:fontRef idx="minor">
                        <a:schemeClr val="dk1"/>
                      </a:fontRef>
                    </a:style>
                  </a:sp>
                  <a:sp>
                    <a:nvSpPr>
                      <a:cNvPr id="9" name="8 Rectángulo"/>
                      <a:cNvSpPr/>
                    </a:nvSpPr>
                    <a:spPr>
                      <a:xfrm>
                        <a:off x="1547664" y="1556792"/>
                        <a:ext cx="1008112" cy="648072"/>
                      </a:xfrm>
                      <a:prstGeom prst="rect">
                        <a:avLst/>
                      </a:prstGeom>
                    </a:spPr>
                    <a:txSp>
                      <a:txBody>
                        <a:bodyPr rtlCol="0" anchor="ctr"/>
                        <a:lstStyle>
                          <a:defPPr>
                            <a:defRPr lang="es-CO"/>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CO" dirty="0" smtClean="0"/>
                            <a:t>UARIV</a:t>
                          </a:r>
                          <a:endParaRPr lang="es-CO" dirty="0"/>
                        </a:p>
                      </a:txBody>
                      <a:useSpRect/>
                    </a:txSp>
                    <a:style>
                      <a:lnRef idx="2">
                        <a:schemeClr val="dk1"/>
                      </a:lnRef>
                      <a:fillRef idx="1">
                        <a:schemeClr val="lt1"/>
                      </a:fillRef>
                      <a:effectRef idx="0">
                        <a:schemeClr val="dk1"/>
                      </a:effectRef>
                      <a:fontRef idx="minor">
                        <a:schemeClr val="dk1"/>
                      </a:fontRef>
                    </a:style>
                  </a:sp>
                  <a:sp>
                    <a:nvSpPr>
                      <a:cNvPr id="10" name="9 Rectángulo"/>
                      <a:cNvSpPr/>
                    </a:nvSpPr>
                    <a:spPr>
                      <a:xfrm>
                        <a:off x="467544" y="1556792"/>
                        <a:ext cx="1008112" cy="648072"/>
                      </a:xfrm>
                      <a:prstGeom prst="rect">
                        <a:avLst/>
                      </a:prstGeom>
                    </a:spPr>
                    <a:txSp>
                      <a:txBody>
                        <a:bodyPr rtlCol="0" anchor="ctr"/>
                        <a:lstStyle>
                          <a:defPPr>
                            <a:defRPr lang="es-CO"/>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s-CO" dirty="0" smtClean="0"/>
                            <a:t>ANSPE</a:t>
                          </a:r>
                          <a:endParaRPr lang="es-CO" dirty="0"/>
                        </a:p>
                      </a:txBody>
                      <a:useSpRect/>
                    </a:txSp>
                    <a:style>
                      <a:lnRef idx="2">
                        <a:schemeClr val="dk1"/>
                      </a:lnRef>
                      <a:fillRef idx="1">
                        <a:schemeClr val="lt1"/>
                      </a:fillRef>
                      <a:effectRef idx="0">
                        <a:schemeClr val="dk1"/>
                      </a:effectRef>
                      <a:fontRef idx="minor">
                        <a:schemeClr val="dk1"/>
                      </a:fontRef>
                    </a:style>
                  </a:sp>
                  <a:cxnSp>
                    <a:nvCxnSpPr>
                      <a:cNvPr id="12" name="11 Conector angular"/>
                      <a:cNvCxnSpPr>
                        <a:stCxn id="4" idx="2"/>
                        <a:endCxn id="10" idx="0"/>
                      </a:cNvCxnSpPr>
                    </a:nvCxnSpPr>
                    <a:spPr>
                      <a:xfrm rot="5400000">
                        <a:off x="1907704" y="332656"/>
                        <a:ext cx="288032" cy="2160240"/>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3" name="12 Conector angular"/>
                      <a:cNvCxnSpPr>
                        <a:stCxn id="4" idx="2"/>
                        <a:endCxn id="9" idx="0"/>
                      </a:cNvCxnSpPr>
                    </a:nvCxnSpPr>
                    <a:spPr>
                      <a:xfrm rot="5400000">
                        <a:off x="2447764" y="872716"/>
                        <a:ext cx="288032" cy="1080120"/>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6" name="15 Conector angular"/>
                      <a:cNvCxnSpPr>
                        <a:stCxn id="4" idx="2"/>
                        <a:endCxn id="8" idx="0"/>
                      </a:cNvCxnSpPr>
                    </a:nvCxnSpPr>
                    <a:spPr>
                      <a:xfrm rot="5400000">
                        <a:off x="2987824" y="1412776"/>
                        <a:ext cx="288032" cy="12700"/>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0" name="19 Conector angular"/>
                      <a:cNvCxnSpPr>
                        <a:stCxn id="4" idx="2"/>
                        <a:endCxn id="7" idx="0"/>
                      </a:cNvCxnSpPr>
                    </a:nvCxnSpPr>
                    <a:spPr>
                      <a:xfrm rot="16200000" flipH="1">
                        <a:off x="3527884" y="872716"/>
                        <a:ext cx="288032" cy="1080120"/>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3" name="22 Conector angular"/>
                      <a:cNvCxnSpPr>
                        <a:stCxn id="4" idx="2"/>
                        <a:endCxn id="6" idx="0"/>
                      </a:cNvCxnSpPr>
                    </a:nvCxnSpPr>
                    <a:spPr>
                      <a:xfrm rot="16200000" flipH="1">
                        <a:off x="4067944" y="332656"/>
                        <a:ext cx="288032" cy="2160240"/>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sidR="008A204F" w:rsidRPr="00F3007F">
        <w:rPr>
          <w:rFonts w:ascii="Verdana" w:hAnsi="Verdana"/>
          <w:bCs/>
          <w:sz w:val="24"/>
          <w:szCs w:val="24"/>
        </w:rPr>
        <w:t>Sector de la Inclusión Social y la Reconciliación</w:t>
      </w:r>
    </w:p>
    <w:p w:rsidR="008A204F" w:rsidRPr="00F3007F" w:rsidRDefault="008A204F" w:rsidP="00F54C5D">
      <w:pPr>
        <w:spacing w:after="0" w:line="240" w:lineRule="auto"/>
        <w:jc w:val="both"/>
        <w:rPr>
          <w:rFonts w:ascii="Verdana" w:hAnsi="Verdana"/>
          <w:b/>
          <w:bCs/>
          <w:sz w:val="24"/>
          <w:szCs w:val="24"/>
        </w:rPr>
      </w:pPr>
    </w:p>
    <w:p w:rsidR="008A204F" w:rsidRPr="00F3007F" w:rsidRDefault="008A204F" w:rsidP="00F54C5D">
      <w:pPr>
        <w:spacing w:after="0" w:line="240" w:lineRule="auto"/>
        <w:jc w:val="both"/>
        <w:rPr>
          <w:rFonts w:ascii="Verdana" w:hAnsi="Verdana"/>
          <w:b/>
          <w:bCs/>
          <w:sz w:val="24"/>
          <w:szCs w:val="24"/>
        </w:rPr>
      </w:pPr>
    </w:p>
    <w:p w:rsidR="00B04FE5" w:rsidRPr="00F3007F" w:rsidRDefault="00B04FE5" w:rsidP="00F54C5D">
      <w:pPr>
        <w:spacing w:after="0" w:line="240" w:lineRule="auto"/>
        <w:jc w:val="both"/>
        <w:rPr>
          <w:rFonts w:ascii="Verdana" w:hAnsi="Verdana"/>
          <w:b/>
          <w:bCs/>
          <w:color w:val="1F497D" w:themeColor="text2"/>
          <w:sz w:val="24"/>
          <w:szCs w:val="24"/>
        </w:rPr>
      </w:pPr>
    </w:p>
    <w:p w:rsidR="00C746F3" w:rsidRPr="00F3007F" w:rsidRDefault="00C746F3" w:rsidP="00F54C5D">
      <w:pPr>
        <w:spacing w:after="0" w:line="240" w:lineRule="auto"/>
        <w:jc w:val="both"/>
        <w:rPr>
          <w:rFonts w:ascii="Verdana" w:hAnsi="Verdana"/>
          <w:b/>
          <w:bCs/>
          <w:color w:val="1F497D" w:themeColor="text2"/>
          <w:sz w:val="24"/>
          <w:szCs w:val="24"/>
        </w:rPr>
      </w:pPr>
    </w:p>
    <w:p w:rsidR="00ED3797" w:rsidRPr="00F3007F" w:rsidRDefault="00F54C5D" w:rsidP="00F54C5D">
      <w:pPr>
        <w:spacing w:after="0" w:line="240" w:lineRule="auto"/>
        <w:jc w:val="both"/>
        <w:rPr>
          <w:rFonts w:ascii="Verdana" w:hAnsi="Verdana" w:cs="Futura Bk BT"/>
          <w:color w:val="1F497D" w:themeColor="text2"/>
          <w:sz w:val="28"/>
          <w:szCs w:val="24"/>
        </w:rPr>
      </w:pPr>
      <w:r w:rsidRPr="00F3007F">
        <w:rPr>
          <w:rFonts w:ascii="Verdana" w:hAnsi="Verdana"/>
          <w:b/>
          <w:bCs/>
          <w:color w:val="1F497D" w:themeColor="text2"/>
          <w:sz w:val="28"/>
          <w:szCs w:val="24"/>
        </w:rPr>
        <w:t>Departamento para la Prosperidad Social</w:t>
      </w:r>
      <w:r w:rsidR="00730D45" w:rsidRPr="00F3007F">
        <w:rPr>
          <w:rFonts w:ascii="Verdana" w:hAnsi="Verdana"/>
          <w:b/>
          <w:bCs/>
          <w:color w:val="1F497D" w:themeColor="text2"/>
          <w:sz w:val="28"/>
          <w:szCs w:val="24"/>
        </w:rPr>
        <w:t xml:space="preserve"> - </w:t>
      </w:r>
      <w:r w:rsidR="006D6D48" w:rsidRPr="00F3007F">
        <w:rPr>
          <w:rFonts w:ascii="Verdana" w:hAnsi="Verdana"/>
          <w:b/>
          <w:bCs/>
          <w:color w:val="1F497D" w:themeColor="text2"/>
          <w:sz w:val="28"/>
          <w:szCs w:val="24"/>
        </w:rPr>
        <w:t>DPS</w:t>
      </w:r>
    </w:p>
    <w:p w:rsidR="00ED3797" w:rsidRPr="00F3007F" w:rsidRDefault="00ED3797" w:rsidP="00F54C5D">
      <w:pPr>
        <w:spacing w:after="0" w:line="240" w:lineRule="auto"/>
        <w:jc w:val="both"/>
        <w:rPr>
          <w:rFonts w:ascii="Verdana" w:hAnsi="Verdana" w:cs="Futura Bk BT"/>
          <w:sz w:val="24"/>
          <w:szCs w:val="24"/>
        </w:rPr>
      </w:pPr>
    </w:p>
    <w:p w:rsidR="00ED3797" w:rsidRPr="00F3007F" w:rsidRDefault="00BB2547" w:rsidP="005228F6">
      <w:pPr>
        <w:autoSpaceDE w:val="0"/>
        <w:autoSpaceDN w:val="0"/>
        <w:jc w:val="both"/>
        <w:rPr>
          <w:rFonts w:ascii="Verdana" w:hAnsi="Verdana"/>
          <w:color w:val="000000"/>
          <w:sz w:val="24"/>
          <w:szCs w:val="24"/>
        </w:rPr>
      </w:pPr>
      <w:r w:rsidRPr="00F3007F">
        <w:rPr>
          <w:rFonts w:ascii="Verdana" w:hAnsi="Verdana"/>
          <w:noProof/>
          <w:color w:val="000000"/>
          <w:sz w:val="24"/>
          <w:szCs w:val="24"/>
          <w:lang w:eastAsia="es-CO"/>
        </w:rPr>
        <w:drawing>
          <wp:anchor distT="0" distB="0" distL="114300" distR="114300" simplePos="0" relativeHeight="251676672" behindDoc="0" locked="0" layoutInCell="1" allowOverlap="1">
            <wp:simplePos x="0" y="0"/>
            <wp:positionH relativeFrom="column">
              <wp:posOffset>-70485</wp:posOffset>
            </wp:positionH>
            <wp:positionV relativeFrom="paragraph">
              <wp:posOffset>69850</wp:posOffset>
            </wp:positionV>
            <wp:extent cx="1441450" cy="459105"/>
            <wp:effectExtent l="19050" t="0" r="6350" b="0"/>
            <wp:wrapThrough wrapText="bothSides">
              <wp:wrapPolygon edited="0">
                <wp:start x="-285" y="0"/>
                <wp:lineTo x="-285" y="20614"/>
                <wp:lineTo x="21695" y="20614"/>
                <wp:lineTo x="21695" y="0"/>
                <wp:lineTo x="-285" y="0"/>
              </wp:wrapPolygon>
            </wp:wrapThrough>
            <wp:docPr id="14" name="Imagen 1" descr="http://172.20.3.111/ISOlucion/GrafVinetas/0pruebalogodp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172.20.3.111/ISOlucion/GrafVinetas/0pruebalogodps0.jpg"/>
                    <pic:cNvPicPr>
                      <a:picLocks noChangeAspect="1" noChangeArrowheads="1"/>
                    </pic:cNvPicPr>
                  </pic:nvPicPr>
                  <pic:blipFill>
                    <a:blip r:embed="rId23" cstate="print"/>
                    <a:srcRect l="5971" t="16536" r="11044" b="25984"/>
                    <a:stretch>
                      <a:fillRect/>
                    </a:stretch>
                  </pic:blipFill>
                  <pic:spPr bwMode="auto">
                    <a:xfrm>
                      <a:off x="0" y="0"/>
                      <a:ext cx="1441450" cy="459105"/>
                    </a:xfrm>
                    <a:prstGeom prst="rect">
                      <a:avLst/>
                    </a:prstGeom>
                    <a:noFill/>
                    <a:ln w="9525">
                      <a:noFill/>
                      <a:miter lim="800000"/>
                      <a:headEnd/>
                      <a:tailEnd/>
                    </a:ln>
                  </pic:spPr>
                </pic:pic>
              </a:graphicData>
            </a:graphic>
          </wp:anchor>
        </w:drawing>
      </w:r>
      <w:r w:rsidR="006A3135" w:rsidRPr="00F3007F">
        <w:rPr>
          <w:rFonts w:ascii="Verdana" w:hAnsi="Verdana"/>
          <w:color w:val="000000"/>
          <w:sz w:val="24"/>
          <w:szCs w:val="24"/>
        </w:rPr>
        <w:t>M</w:t>
      </w:r>
      <w:r w:rsidR="00F54C5D" w:rsidRPr="00F3007F">
        <w:rPr>
          <w:rFonts w:ascii="Verdana" w:hAnsi="Verdana"/>
          <w:color w:val="000000"/>
          <w:sz w:val="24"/>
          <w:szCs w:val="24"/>
        </w:rPr>
        <w:t>ediante el Decreto 4155 de 2011 se crea el Departamento Administrativo para la Prosperidad Social-DPS</w:t>
      </w:r>
      <w:r w:rsidR="006A3135" w:rsidRPr="00F3007F">
        <w:rPr>
          <w:rFonts w:ascii="Verdana" w:hAnsi="Verdana"/>
          <w:color w:val="000000"/>
          <w:sz w:val="24"/>
          <w:szCs w:val="24"/>
        </w:rPr>
        <w:t xml:space="preserve">, el cual </w:t>
      </w:r>
      <w:r w:rsidR="00F54C5D" w:rsidRPr="00F3007F">
        <w:rPr>
          <w:rFonts w:ascii="Verdana" w:hAnsi="Verdana"/>
          <w:color w:val="000000"/>
          <w:sz w:val="24"/>
          <w:szCs w:val="24"/>
        </w:rPr>
        <w:t>como líder del Sector tiene la tarea de formular, ejecutar y evaluar la política sectorial, promoviendo el fortalecimiento de las capacidades institucionales, garantizando el enfoque diferencial y gestionando las alianzas estratégicas que impulsen el logro de los objetivos del Sector. Esto para garantizar procesos de inclusión productiva y sostenibilidad a través de la generación de capacidades y oportunidades y acceso a activos a la población objeto de atención</w:t>
      </w:r>
      <w:r w:rsidR="006D6D48" w:rsidRPr="00F3007F">
        <w:rPr>
          <w:rFonts w:ascii="Verdana" w:hAnsi="Verdana"/>
          <w:color w:val="000000"/>
          <w:sz w:val="24"/>
          <w:szCs w:val="24"/>
        </w:rPr>
        <w:t>.</w:t>
      </w:r>
    </w:p>
    <w:p w:rsidR="00ED3797" w:rsidRPr="00F3007F" w:rsidRDefault="00ED3797" w:rsidP="00F54C5D">
      <w:pPr>
        <w:spacing w:after="0" w:line="240" w:lineRule="auto"/>
        <w:jc w:val="both"/>
        <w:rPr>
          <w:rFonts w:ascii="Verdana" w:hAnsi="Verdana"/>
          <w:sz w:val="24"/>
          <w:szCs w:val="24"/>
        </w:rPr>
      </w:pPr>
    </w:p>
    <w:p w:rsidR="008673D2" w:rsidRPr="00F3007F" w:rsidRDefault="008673D2" w:rsidP="00F54C5D">
      <w:pPr>
        <w:spacing w:after="0" w:line="240" w:lineRule="auto"/>
        <w:jc w:val="both"/>
        <w:rPr>
          <w:rFonts w:ascii="Verdana" w:hAnsi="Verdana" w:cs="Futura Bk BT"/>
          <w:b/>
          <w:color w:val="1F497D" w:themeColor="text2"/>
          <w:sz w:val="24"/>
          <w:szCs w:val="24"/>
        </w:rPr>
      </w:pPr>
    </w:p>
    <w:p w:rsidR="008673D2" w:rsidRPr="00F3007F" w:rsidRDefault="008673D2" w:rsidP="00F54C5D">
      <w:pPr>
        <w:spacing w:after="0" w:line="240" w:lineRule="auto"/>
        <w:jc w:val="both"/>
        <w:rPr>
          <w:rFonts w:ascii="Verdana" w:hAnsi="Verdana" w:cs="Futura Bk BT"/>
          <w:b/>
          <w:color w:val="1F497D" w:themeColor="text2"/>
          <w:sz w:val="24"/>
          <w:szCs w:val="24"/>
        </w:rPr>
      </w:pPr>
    </w:p>
    <w:p w:rsidR="006A3135" w:rsidRPr="00F3007F" w:rsidRDefault="00F54C5D" w:rsidP="00F54C5D">
      <w:pPr>
        <w:spacing w:after="0" w:line="240" w:lineRule="auto"/>
        <w:jc w:val="both"/>
        <w:rPr>
          <w:rFonts w:ascii="Verdana" w:hAnsi="Verdana" w:cs="Futura Bk BT"/>
          <w:b/>
          <w:color w:val="1F497D" w:themeColor="text2"/>
          <w:sz w:val="28"/>
          <w:szCs w:val="24"/>
        </w:rPr>
      </w:pPr>
      <w:r w:rsidRPr="00F3007F">
        <w:rPr>
          <w:rFonts w:ascii="Verdana" w:hAnsi="Verdana" w:cs="Futura Bk BT"/>
          <w:b/>
          <w:color w:val="1F497D" w:themeColor="text2"/>
          <w:sz w:val="28"/>
          <w:szCs w:val="24"/>
        </w:rPr>
        <w:t xml:space="preserve">Agencia Nacional para la Superación de la Pobreza Extrema </w:t>
      </w:r>
      <w:r w:rsidR="00730D45" w:rsidRPr="00F3007F">
        <w:rPr>
          <w:rFonts w:ascii="Verdana" w:hAnsi="Verdana" w:cs="Futura Bk BT"/>
          <w:b/>
          <w:color w:val="1F497D" w:themeColor="text2"/>
          <w:sz w:val="28"/>
          <w:szCs w:val="24"/>
        </w:rPr>
        <w:t>- ANSPE</w:t>
      </w:r>
    </w:p>
    <w:p w:rsidR="006A3135" w:rsidRPr="00F3007F" w:rsidRDefault="006A3135" w:rsidP="00F54C5D">
      <w:pPr>
        <w:spacing w:after="0" w:line="240" w:lineRule="auto"/>
        <w:jc w:val="both"/>
        <w:rPr>
          <w:rFonts w:ascii="Verdana" w:hAnsi="Verdana" w:cs="Futura Bk BT"/>
          <w:b/>
          <w:sz w:val="24"/>
          <w:szCs w:val="24"/>
        </w:rPr>
      </w:pPr>
    </w:p>
    <w:p w:rsidR="00ED3797" w:rsidRPr="00F3007F" w:rsidRDefault="00422A18" w:rsidP="005228F6">
      <w:pPr>
        <w:autoSpaceDE w:val="0"/>
        <w:autoSpaceDN w:val="0"/>
        <w:jc w:val="both"/>
        <w:rPr>
          <w:rFonts w:ascii="Verdana" w:hAnsi="Verdana"/>
          <w:color w:val="000000"/>
          <w:sz w:val="24"/>
          <w:szCs w:val="24"/>
        </w:rPr>
      </w:pPr>
      <w:r w:rsidRPr="00F3007F">
        <w:rPr>
          <w:rFonts w:ascii="Verdana" w:hAnsi="Verdana"/>
          <w:noProof/>
          <w:color w:val="000000"/>
          <w:sz w:val="24"/>
          <w:szCs w:val="24"/>
          <w:lang w:eastAsia="es-CO"/>
        </w:rPr>
        <w:drawing>
          <wp:anchor distT="0" distB="0" distL="114300" distR="114300" simplePos="0" relativeHeight="251668480" behindDoc="0" locked="0" layoutInCell="1" allowOverlap="1">
            <wp:simplePos x="0" y="0"/>
            <wp:positionH relativeFrom="column">
              <wp:posOffset>18415</wp:posOffset>
            </wp:positionH>
            <wp:positionV relativeFrom="paragraph">
              <wp:posOffset>104775</wp:posOffset>
            </wp:positionV>
            <wp:extent cx="1949450" cy="457200"/>
            <wp:effectExtent l="19050" t="0" r="0" b="0"/>
            <wp:wrapThrough wrapText="bothSides">
              <wp:wrapPolygon edited="0">
                <wp:start x="-211" y="0"/>
                <wp:lineTo x="-211" y="20700"/>
                <wp:lineTo x="21530" y="20700"/>
                <wp:lineTo x="21530" y="0"/>
                <wp:lineTo x="-211" y="0"/>
              </wp:wrapPolygon>
            </wp:wrapThrough>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949450" cy="457200"/>
                    </a:xfrm>
                    <a:prstGeom prst="rect">
                      <a:avLst/>
                    </a:prstGeom>
                    <a:noFill/>
                    <a:ln w="9525">
                      <a:noFill/>
                      <a:miter lim="800000"/>
                      <a:headEnd/>
                      <a:tailEnd/>
                    </a:ln>
                  </pic:spPr>
                </pic:pic>
              </a:graphicData>
            </a:graphic>
          </wp:anchor>
        </w:drawing>
      </w:r>
      <w:r w:rsidR="00F54C5D" w:rsidRPr="00F3007F">
        <w:rPr>
          <w:rFonts w:ascii="Verdana" w:hAnsi="Verdana"/>
          <w:color w:val="000000"/>
          <w:sz w:val="24"/>
          <w:szCs w:val="24"/>
        </w:rPr>
        <w:t xml:space="preserve">Mediante el Decreto 4160 del 3 de noviembre de 2011, se creó la Unidad Administrativa Especial denominada Agencia Nacional para la Superación de la Pobreza Extrema- ANSPE, con personería jurídica, autonomía administrativa y financiera y </w:t>
      </w:r>
      <w:r w:rsidR="00F54C5D" w:rsidRPr="00F3007F">
        <w:rPr>
          <w:rFonts w:ascii="Verdana" w:hAnsi="Verdana"/>
          <w:color w:val="000000"/>
          <w:sz w:val="24"/>
          <w:szCs w:val="24"/>
        </w:rPr>
        <w:lastRenderedPageBreak/>
        <w:t>patrimonio propio, perteneciente al Sector Administrativo para la Inclusión Social y Reconciliación. Tiene como objetivo “participar, con otras entidades competentes y los entes territoriales, en la formulación de política pública para la superación de la pobreza extrema y coordinar la implementación de la estrategia nacional de superación de la pobreza extrema a través de la articulación con actores públicos y privados y la promoción de la innovación social, entre otros”. La Agencia visualiza que al 2020 Colombia esté libre de pobreza extrema, para lo cual dirige sus esfuerzos a promover las condiciones para que la población más pobre y vulnerable tenga acceso prioritario a sus derechos y oportunidades, superando su situación de pobreza extrema y exclusión. Sus resultados son gracias al trabajo articulado entre las entidades del Estado, los entes territoriales, el sector privado y la comunidad de innovación social.</w:t>
      </w:r>
    </w:p>
    <w:p w:rsidR="00ED3797" w:rsidRPr="00F3007F" w:rsidRDefault="00ED3797" w:rsidP="00F54C5D">
      <w:pPr>
        <w:spacing w:after="0" w:line="240" w:lineRule="auto"/>
        <w:jc w:val="both"/>
        <w:rPr>
          <w:rFonts w:ascii="Verdana" w:hAnsi="Verdana" w:cs="Futura Bk BT"/>
          <w:sz w:val="24"/>
          <w:szCs w:val="24"/>
        </w:rPr>
      </w:pPr>
    </w:p>
    <w:p w:rsidR="008673D2" w:rsidRPr="00F3007F" w:rsidRDefault="008673D2" w:rsidP="00F54C5D">
      <w:pPr>
        <w:spacing w:after="0" w:line="240" w:lineRule="auto"/>
        <w:jc w:val="both"/>
        <w:rPr>
          <w:rFonts w:ascii="Verdana" w:hAnsi="Verdana"/>
          <w:b/>
          <w:bCs/>
          <w:color w:val="1F497D" w:themeColor="text2"/>
          <w:sz w:val="24"/>
          <w:szCs w:val="24"/>
        </w:rPr>
      </w:pPr>
    </w:p>
    <w:p w:rsidR="008673D2" w:rsidRPr="00F3007F" w:rsidRDefault="008673D2" w:rsidP="00F54C5D">
      <w:pPr>
        <w:spacing w:after="0" w:line="240" w:lineRule="auto"/>
        <w:jc w:val="both"/>
        <w:rPr>
          <w:rFonts w:ascii="Verdana" w:hAnsi="Verdana"/>
          <w:b/>
          <w:bCs/>
          <w:color w:val="1F497D" w:themeColor="text2"/>
          <w:sz w:val="24"/>
          <w:szCs w:val="24"/>
        </w:rPr>
      </w:pPr>
    </w:p>
    <w:p w:rsidR="00730D45" w:rsidRPr="00F3007F" w:rsidRDefault="00F54C5D" w:rsidP="00F54C5D">
      <w:pPr>
        <w:spacing w:after="0" w:line="240" w:lineRule="auto"/>
        <w:jc w:val="both"/>
        <w:rPr>
          <w:rFonts w:ascii="Verdana" w:hAnsi="Verdana" w:cs="Futura Bk BT"/>
          <w:color w:val="1F497D" w:themeColor="text2"/>
          <w:sz w:val="28"/>
          <w:szCs w:val="24"/>
        </w:rPr>
      </w:pPr>
      <w:r w:rsidRPr="00F3007F">
        <w:rPr>
          <w:rFonts w:ascii="Verdana" w:hAnsi="Verdana"/>
          <w:b/>
          <w:bCs/>
          <w:color w:val="1F497D" w:themeColor="text2"/>
          <w:sz w:val="28"/>
          <w:szCs w:val="24"/>
        </w:rPr>
        <w:t xml:space="preserve">Unidad para la Atención y Reparación Integral a las Víctimas </w:t>
      </w:r>
      <w:r w:rsidR="00730D45" w:rsidRPr="00F3007F">
        <w:rPr>
          <w:rFonts w:ascii="Verdana" w:hAnsi="Verdana"/>
          <w:b/>
          <w:bCs/>
          <w:color w:val="1F497D" w:themeColor="text2"/>
          <w:sz w:val="28"/>
          <w:szCs w:val="24"/>
        </w:rPr>
        <w:t xml:space="preserve">– </w:t>
      </w:r>
      <w:r w:rsidRPr="00F3007F">
        <w:rPr>
          <w:rFonts w:ascii="Verdana" w:hAnsi="Verdana" w:cs="Futura Bk BT"/>
          <w:b/>
          <w:color w:val="1F497D" w:themeColor="text2"/>
          <w:sz w:val="28"/>
          <w:szCs w:val="24"/>
        </w:rPr>
        <w:t>UARIV</w:t>
      </w:r>
    </w:p>
    <w:p w:rsidR="00730D45" w:rsidRPr="00F3007F" w:rsidRDefault="00730D45" w:rsidP="00F54C5D">
      <w:pPr>
        <w:spacing w:after="0" w:line="240" w:lineRule="auto"/>
        <w:jc w:val="both"/>
        <w:rPr>
          <w:rFonts w:ascii="Verdana" w:hAnsi="Verdana" w:cs="Futura Bk BT"/>
          <w:sz w:val="24"/>
          <w:szCs w:val="24"/>
        </w:rPr>
      </w:pPr>
    </w:p>
    <w:p w:rsidR="00ED3797" w:rsidRPr="00F3007F" w:rsidRDefault="00422A18" w:rsidP="005228F6">
      <w:pPr>
        <w:autoSpaceDE w:val="0"/>
        <w:autoSpaceDN w:val="0"/>
        <w:jc w:val="both"/>
        <w:rPr>
          <w:rFonts w:ascii="Verdana" w:hAnsi="Verdana"/>
          <w:color w:val="000000"/>
          <w:sz w:val="24"/>
          <w:szCs w:val="24"/>
        </w:rPr>
      </w:pPr>
      <w:r w:rsidRPr="00F3007F">
        <w:rPr>
          <w:rFonts w:ascii="Verdana" w:hAnsi="Verdana"/>
          <w:noProof/>
          <w:color w:val="000000"/>
          <w:sz w:val="24"/>
          <w:szCs w:val="24"/>
          <w:lang w:eastAsia="es-CO"/>
        </w:rPr>
        <w:drawing>
          <wp:anchor distT="0" distB="0" distL="114300" distR="114300" simplePos="0" relativeHeight="251670528" behindDoc="0" locked="0" layoutInCell="1" allowOverlap="1">
            <wp:simplePos x="0" y="0"/>
            <wp:positionH relativeFrom="column">
              <wp:posOffset>-32385</wp:posOffset>
            </wp:positionH>
            <wp:positionV relativeFrom="paragraph">
              <wp:posOffset>12065</wp:posOffset>
            </wp:positionV>
            <wp:extent cx="2114550" cy="647700"/>
            <wp:effectExtent l="19050" t="0" r="0" b="0"/>
            <wp:wrapThrough wrapText="bothSides">
              <wp:wrapPolygon edited="0">
                <wp:start x="-195" y="0"/>
                <wp:lineTo x="-195" y="20965"/>
                <wp:lineTo x="21600" y="20965"/>
                <wp:lineTo x="21600" y="0"/>
                <wp:lineTo x="-195" y="0"/>
              </wp:wrapPolygon>
            </wp:wrapThrough>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114550" cy="647700"/>
                    </a:xfrm>
                    <a:prstGeom prst="rect">
                      <a:avLst/>
                    </a:prstGeom>
                    <a:noFill/>
                    <a:ln w="9525">
                      <a:noFill/>
                      <a:miter lim="800000"/>
                      <a:headEnd/>
                      <a:tailEnd/>
                    </a:ln>
                  </pic:spPr>
                </pic:pic>
              </a:graphicData>
            </a:graphic>
          </wp:anchor>
        </w:drawing>
      </w:r>
      <w:r w:rsidR="00730D45" w:rsidRPr="00F3007F">
        <w:rPr>
          <w:rFonts w:ascii="Verdana" w:hAnsi="Verdana"/>
          <w:color w:val="000000"/>
          <w:sz w:val="24"/>
          <w:szCs w:val="24"/>
        </w:rPr>
        <w:t>T</w:t>
      </w:r>
      <w:r w:rsidR="00F54C5D" w:rsidRPr="00F3007F">
        <w:rPr>
          <w:rFonts w:ascii="Verdana" w:hAnsi="Verdana"/>
          <w:color w:val="000000"/>
          <w:sz w:val="24"/>
          <w:szCs w:val="24"/>
        </w:rPr>
        <w:t xml:space="preserve">iene el reto de implementar las medidas de asistencia, atención y reparación integral, a las víctimas del conflicto armado interno de la Ley 1448 de 2011. La Unidad como parte de su función misional debe coordinar y articular acciones institucionales para formular e implementar la política pública a nivel nacional y territorial, focalizando los esfuerzos hacia la población víctima, en búsqueda de ofrecer de manera integral una debida y oportuna asistencia, atención y reparación que garantice el goce efectivo de sus derechos. Así, la labor de la Unidad para las Víctimas fue reglamentada mediante el Decreto 4802 de 2011, donde se incluye, entre otros aspectos, el objeto de coordinar el Sistema Nacional de Atención y Reparación Integral a las Víctimas, integrado por entidades públicas del nivel gubernamental y estatal en los órdenes nacional y territorial, y demás organizaciones públicas o privadas, ejecutar e implementar la Política Pública de Atención, Asistencia y Reparación Integral a las Víctimas en los términos establecidos en la Ley. Atendiendo a lo establecido en el artículo 3 de la Ley 1448 de 2011, la población </w:t>
      </w:r>
      <w:r w:rsidR="00F54C5D" w:rsidRPr="00F3007F">
        <w:rPr>
          <w:rFonts w:ascii="Verdana" w:hAnsi="Verdana"/>
          <w:color w:val="000000"/>
          <w:sz w:val="24"/>
          <w:szCs w:val="24"/>
        </w:rPr>
        <w:lastRenderedPageBreak/>
        <w:t xml:space="preserve">objetivo de la Unidad es aquella que haya sufrido un daño como consecuencia de graves y manifiestas violaciones a los Derechos Humanos (DDHH) e infracciones al Derecho Internacional Humanitario (DIH), ocurridas con ocasión del conflicto armado interno. Con ello se busca dignificar a las víctimas mediante la materialización de los derechos a la verdad, a la justicia y a la reparación, con garantías de no repetición. </w:t>
      </w:r>
    </w:p>
    <w:p w:rsidR="008673D2" w:rsidRPr="00F3007F" w:rsidRDefault="008673D2" w:rsidP="00F54C5D">
      <w:pPr>
        <w:spacing w:after="0" w:line="240" w:lineRule="auto"/>
        <w:jc w:val="both"/>
        <w:rPr>
          <w:rFonts w:ascii="Verdana" w:hAnsi="Verdana"/>
          <w:b/>
          <w:bCs/>
          <w:color w:val="1F497D" w:themeColor="text2"/>
          <w:sz w:val="24"/>
          <w:szCs w:val="24"/>
        </w:rPr>
      </w:pPr>
    </w:p>
    <w:p w:rsidR="00B04FE5" w:rsidRPr="00F3007F" w:rsidRDefault="00B04FE5" w:rsidP="00F54C5D">
      <w:pPr>
        <w:spacing w:after="0" w:line="240" w:lineRule="auto"/>
        <w:jc w:val="both"/>
        <w:rPr>
          <w:rFonts w:ascii="Verdana" w:hAnsi="Verdana"/>
          <w:b/>
          <w:bCs/>
          <w:color w:val="1F497D" w:themeColor="text2"/>
          <w:sz w:val="24"/>
          <w:szCs w:val="24"/>
        </w:rPr>
      </w:pPr>
    </w:p>
    <w:p w:rsidR="00730D45" w:rsidRPr="00F3007F" w:rsidRDefault="00F54C5D" w:rsidP="00F54C5D">
      <w:pPr>
        <w:spacing w:after="0" w:line="240" w:lineRule="auto"/>
        <w:jc w:val="both"/>
        <w:rPr>
          <w:rFonts w:ascii="Verdana" w:hAnsi="Verdana" w:cs="Futura Bk BT"/>
          <w:b/>
          <w:color w:val="1F497D" w:themeColor="text2"/>
          <w:sz w:val="28"/>
          <w:szCs w:val="24"/>
        </w:rPr>
      </w:pPr>
      <w:r w:rsidRPr="00F3007F">
        <w:rPr>
          <w:rFonts w:ascii="Verdana" w:hAnsi="Verdana"/>
          <w:b/>
          <w:bCs/>
          <w:color w:val="1F497D" w:themeColor="text2"/>
          <w:sz w:val="28"/>
          <w:szCs w:val="24"/>
        </w:rPr>
        <w:t xml:space="preserve">Centro Nacional de Memoria Histórica </w:t>
      </w:r>
      <w:r w:rsidR="00730D45" w:rsidRPr="00F3007F">
        <w:rPr>
          <w:rFonts w:ascii="Verdana" w:hAnsi="Verdana"/>
          <w:b/>
          <w:bCs/>
          <w:color w:val="1F497D" w:themeColor="text2"/>
          <w:sz w:val="28"/>
          <w:szCs w:val="24"/>
        </w:rPr>
        <w:t xml:space="preserve"> </w:t>
      </w:r>
      <w:r w:rsidRPr="00F3007F">
        <w:rPr>
          <w:rFonts w:ascii="Verdana" w:hAnsi="Verdana" w:cs="Futura Bk BT"/>
          <w:b/>
          <w:color w:val="1F497D" w:themeColor="text2"/>
          <w:sz w:val="28"/>
          <w:szCs w:val="24"/>
        </w:rPr>
        <w:t>-CNMH</w:t>
      </w:r>
    </w:p>
    <w:p w:rsidR="00730D45" w:rsidRPr="00F3007F" w:rsidRDefault="00730D45" w:rsidP="00F54C5D">
      <w:pPr>
        <w:spacing w:after="0" w:line="240" w:lineRule="auto"/>
        <w:jc w:val="both"/>
        <w:rPr>
          <w:rFonts w:ascii="Verdana" w:hAnsi="Verdana" w:cs="Futura Bk BT"/>
          <w:sz w:val="24"/>
          <w:szCs w:val="24"/>
        </w:rPr>
      </w:pPr>
    </w:p>
    <w:p w:rsidR="00ED3797" w:rsidRPr="00F3007F" w:rsidRDefault="00BB2547" w:rsidP="005228F6">
      <w:pPr>
        <w:autoSpaceDE w:val="0"/>
        <w:autoSpaceDN w:val="0"/>
        <w:jc w:val="both"/>
        <w:rPr>
          <w:rFonts w:ascii="Verdana" w:hAnsi="Verdana"/>
          <w:color w:val="000000"/>
          <w:sz w:val="24"/>
          <w:szCs w:val="24"/>
        </w:rPr>
      </w:pPr>
      <w:r w:rsidRPr="00F3007F">
        <w:rPr>
          <w:rFonts w:ascii="Verdana" w:hAnsi="Verdana"/>
          <w:noProof/>
          <w:color w:val="000000"/>
          <w:sz w:val="24"/>
          <w:szCs w:val="24"/>
          <w:lang w:eastAsia="es-CO"/>
        </w:rPr>
        <w:drawing>
          <wp:anchor distT="0" distB="0" distL="114300" distR="114300" simplePos="0" relativeHeight="251666432" behindDoc="0" locked="0" layoutInCell="1" allowOverlap="1">
            <wp:simplePos x="0" y="0"/>
            <wp:positionH relativeFrom="column">
              <wp:posOffset>31115</wp:posOffset>
            </wp:positionH>
            <wp:positionV relativeFrom="paragraph">
              <wp:posOffset>38100</wp:posOffset>
            </wp:positionV>
            <wp:extent cx="615950" cy="1155700"/>
            <wp:effectExtent l="19050" t="0" r="0" b="0"/>
            <wp:wrapThrough wrapText="bothSides">
              <wp:wrapPolygon edited="0">
                <wp:start x="-668" y="0"/>
                <wp:lineTo x="-668" y="21363"/>
                <wp:lineTo x="21377" y="21363"/>
                <wp:lineTo x="21377" y="0"/>
                <wp:lineTo x="-668" y="0"/>
              </wp:wrapPolygon>
            </wp:wrapThrough>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5950" cy="1155700"/>
                    </a:xfrm>
                    <a:prstGeom prst="rect">
                      <a:avLst/>
                    </a:prstGeom>
                    <a:noFill/>
                    <a:ln w="9525">
                      <a:noFill/>
                      <a:miter lim="800000"/>
                      <a:headEnd/>
                      <a:tailEnd/>
                    </a:ln>
                  </pic:spPr>
                </pic:pic>
              </a:graphicData>
            </a:graphic>
          </wp:anchor>
        </w:drawing>
      </w:r>
      <w:r w:rsidR="00730D45" w:rsidRPr="00F3007F">
        <w:rPr>
          <w:rFonts w:ascii="Verdana" w:hAnsi="Verdana"/>
          <w:color w:val="000000"/>
          <w:sz w:val="24"/>
          <w:szCs w:val="24"/>
        </w:rPr>
        <w:t>C</w:t>
      </w:r>
      <w:r w:rsidR="00F54C5D" w:rsidRPr="00F3007F">
        <w:rPr>
          <w:rFonts w:ascii="Verdana" w:hAnsi="Verdana"/>
          <w:color w:val="000000"/>
          <w:sz w:val="24"/>
          <w:szCs w:val="24"/>
        </w:rPr>
        <w:t xml:space="preserve">reado por la Ley 1448 de 2011 y el Decreto 4158 de 2011, es un establecimiento público del orden nacional. Tiene por objeto la recepción, recuperación, conservación, compilación y análisis de todo el material documental, testimonios orales y por cualquier otro medio, relativo a las violaciones ocurridas con ocasión del conflicto armado interno colombiano, a través de la realización de investigaciones, actividades museísticas, pedagógicas y otras relacionadas, que contribuyan a establecer y esclarecer las causas de tales fenómenos, conocer la verdad y contribuir a evitar en el futuro la repetición de los hechos. La información que acopia el CNMH debe ponerse a disposición de las víctimas, investigadores y de los ciudadanos en general para enriquecer el conocimiento de la historia política y social de Colombia. El artículo 144 de la Ley 1448 señala que el CNMH tiene como una de sus principales responsabilidades el diseño, administración y puesta en marcha del Programa Nacional de Derechos Humanos y Memoria Histórica, con el fin de acopiar, preservar y custodiar todos los materiales que documenten los temas relacionados con las violaciones a los derechos humanos. La tareas del CNMH se inscriben dentro de las medidas de satisfacción, establecidas por la Ley 1448 de 2011 y, en particular, constituyen un pilar para el cumplimiento del deber de memoria del Estado, definido en la Ley como “propiciar las garantías y condiciones necesarias para que la sociedad, a través de sus diferentes expresiones tales como víctimas, academia, centros de pensamiento, organizaciones sociales, organizaciones de víctimas y de derechos humanos, así como los organismos del Estado que cuenten con competencia, autonomía y recursos, puedan avanzar en ejercicios de reconstrucción de la memoria como </w:t>
      </w:r>
      <w:r w:rsidR="00F54C5D" w:rsidRPr="00F3007F">
        <w:rPr>
          <w:rFonts w:ascii="Verdana" w:hAnsi="Verdana"/>
          <w:color w:val="000000"/>
          <w:sz w:val="24"/>
          <w:szCs w:val="24"/>
        </w:rPr>
        <w:lastRenderedPageBreak/>
        <w:t xml:space="preserve">aporte a la realización del derecho a la verdad del que son titulares las víctimas y la sociedad en su conjunto”. En cumplimiento de sus tareas misionales, el CNMH se ha apoyado en el legado del Grupo de Memoria Histórica –Comisión Nacional de Reparación (CNR), Ley 975 de 2005 (Ley de Justicia y Paz) – en particular en lo relacionado con el desarrollo de investigaciones a partir de metodologías que reconstruyen la memoria histórica en medio del conflicto a partir de las voces de las víctimas. Gracias a dicho legado, a pesar de su reciente creación, el CNMH ha mostrado importantes resultados. </w:t>
      </w:r>
    </w:p>
    <w:p w:rsidR="00ED3797" w:rsidRPr="00F3007F" w:rsidRDefault="00ED3797" w:rsidP="005228F6">
      <w:pPr>
        <w:autoSpaceDE w:val="0"/>
        <w:autoSpaceDN w:val="0"/>
        <w:jc w:val="both"/>
        <w:rPr>
          <w:rFonts w:ascii="Verdana" w:hAnsi="Verdana"/>
          <w:color w:val="000000"/>
          <w:sz w:val="24"/>
          <w:szCs w:val="24"/>
        </w:rPr>
      </w:pPr>
    </w:p>
    <w:p w:rsidR="00730D45" w:rsidRPr="00F3007F" w:rsidRDefault="00F54C5D" w:rsidP="00F54C5D">
      <w:pPr>
        <w:spacing w:after="0" w:line="240" w:lineRule="auto"/>
        <w:jc w:val="both"/>
        <w:rPr>
          <w:rFonts w:ascii="Verdana" w:hAnsi="Verdana"/>
          <w:b/>
          <w:bCs/>
          <w:color w:val="1F497D" w:themeColor="text2"/>
          <w:sz w:val="28"/>
          <w:szCs w:val="24"/>
        </w:rPr>
      </w:pPr>
      <w:r w:rsidRPr="00F3007F">
        <w:rPr>
          <w:rFonts w:ascii="Verdana" w:hAnsi="Verdana"/>
          <w:b/>
          <w:bCs/>
          <w:color w:val="1F497D" w:themeColor="text2"/>
          <w:sz w:val="28"/>
          <w:szCs w:val="24"/>
        </w:rPr>
        <w:t>Instituto Colombiano de Bienestar Familiar</w:t>
      </w:r>
      <w:r w:rsidR="00730D45" w:rsidRPr="00F3007F">
        <w:rPr>
          <w:rFonts w:ascii="Verdana" w:hAnsi="Verdana"/>
          <w:b/>
          <w:bCs/>
          <w:color w:val="1F497D" w:themeColor="text2"/>
          <w:sz w:val="28"/>
          <w:szCs w:val="24"/>
        </w:rPr>
        <w:t xml:space="preserve"> – ICBF</w:t>
      </w:r>
    </w:p>
    <w:p w:rsidR="00730D45" w:rsidRPr="00F3007F" w:rsidRDefault="00730D45" w:rsidP="00F54C5D">
      <w:pPr>
        <w:spacing w:after="0" w:line="240" w:lineRule="auto"/>
        <w:jc w:val="both"/>
        <w:rPr>
          <w:rFonts w:ascii="Verdana" w:hAnsi="Verdana"/>
          <w:b/>
          <w:bCs/>
          <w:sz w:val="24"/>
          <w:szCs w:val="24"/>
        </w:rPr>
      </w:pPr>
    </w:p>
    <w:p w:rsidR="00D22D28" w:rsidRPr="00F3007F" w:rsidRDefault="00422A18" w:rsidP="005228F6">
      <w:pPr>
        <w:autoSpaceDE w:val="0"/>
        <w:autoSpaceDN w:val="0"/>
        <w:jc w:val="both"/>
        <w:rPr>
          <w:rFonts w:ascii="Verdana" w:hAnsi="Verdana"/>
          <w:color w:val="000000"/>
          <w:sz w:val="24"/>
          <w:szCs w:val="24"/>
        </w:rPr>
      </w:pPr>
      <w:r w:rsidRPr="00F3007F">
        <w:rPr>
          <w:rFonts w:ascii="Verdana" w:hAnsi="Verdana"/>
          <w:noProof/>
          <w:color w:val="000000"/>
          <w:sz w:val="24"/>
          <w:szCs w:val="24"/>
          <w:lang w:eastAsia="es-CO"/>
        </w:rPr>
        <w:drawing>
          <wp:anchor distT="0" distB="0" distL="114300" distR="114300" simplePos="0" relativeHeight="251674624" behindDoc="0" locked="0" layoutInCell="1" allowOverlap="1">
            <wp:simplePos x="0" y="0"/>
            <wp:positionH relativeFrom="column">
              <wp:posOffset>-6985</wp:posOffset>
            </wp:positionH>
            <wp:positionV relativeFrom="paragraph">
              <wp:posOffset>113665</wp:posOffset>
            </wp:positionV>
            <wp:extent cx="892175" cy="914400"/>
            <wp:effectExtent l="19050" t="0" r="3175" b="0"/>
            <wp:wrapThrough wrapText="bothSides">
              <wp:wrapPolygon edited="0">
                <wp:start x="-461" y="0"/>
                <wp:lineTo x="-461" y="21150"/>
                <wp:lineTo x="21677" y="21150"/>
                <wp:lineTo x="21677" y="0"/>
                <wp:lineTo x="-461" y="0"/>
              </wp:wrapPolygon>
            </wp:wrapThrough>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892175" cy="914400"/>
                    </a:xfrm>
                    <a:prstGeom prst="rect">
                      <a:avLst/>
                    </a:prstGeom>
                    <a:noFill/>
                    <a:ln w="9525">
                      <a:noFill/>
                      <a:miter lim="800000"/>
                      <a:headEnd/>
                      <a:tailEnd/>
                    </a:ln>
                  </pic:spPr>
                </pic:pic>
              </a:graphicData>
            </a:graphic>
          </wp:anchor>
        </w:drawing>
      </w:r>
      <w:r w:rsidR="00730D45" w:rsidRPr="00F3007F">
        <w:rPr>
          <w:rFonts w:ascii="Verdana" w:hAnsi="Verdana"/>
          <w:color w:val="000000"/>
          <w:sz w:val="24"/>
          <w:szCs w:val="24"/>
        </w:rPr>
        <w:t>F</w:t>
      </w:r>
      <w:r w:rsidR="00F54C5D" w:rsidRPr="00F3007F">
        <w:rPr>
          <w:rFonts w:ascii="Verdana" w:hAnsi="Verdana"/>
          <w:color w:val="000000"/>
          <w:sz w:val="24"/>
          <w:szCs w:val="24"/>
        </w:rPr>
        <w:t>ue creado por la Ley 75 de 1968 y a través del Decreto 4156 de 2011, se adscribe al Departamento para la Prosperidad Social formando parte del Sector de la Inclusión Social y la Reconciliación. El Instituto nace como una respuesta a la preocupación del Estado Colombiano frente al problema de la descomposición familiar y de la niñez abandonada. Como principal objetivo misional encomendó al ICBF la tarea de brindar protección a los menores de edad y proveer a las familias colombianas estabilidad y bienestar, misión que hasta hoy cumple el Instituto. Así, el Servicio Público de Bienestar Familiar a cargo del Estado y constituye el conjunto de actividades encaminadas a satisfacer en forma permanente y obligatoria las necesidades de la Sociedad, relacionadas con la integración y realización armónica de la familia, la garantía de los derechos de los niños, niñas y adolescentes, la prevención de su amenaza o vulneración, la protección preventiva y especial y el restablecimiento de los mismos, en los ámbitos nacional, departamental, distrital, municipal y resguardos o territorios indígenas. Las acciones del ICBF se inscriben en un marco normativo nacional que recoge los acuerdos internacionales, reconociendo que la inversión social en el bienestar de la infancia repercute en mayores oportunidades para los sectores más pobres de la sociedad, con el convencimiento de que al proteger los derechos de los niños, niñas y adolescentes, corresponsabilidad con la fami</w:t>
      </w:r>
      <w:r w:rsidR="00136D7F" w:rsidRPr="00F3007F">
        <w:rPr>
          <w:rFonts w:ascii="Verdana" w:hAnsi="Verdana"/>
          <w:color w:val="000000"/>
          <w:sz w:val="24"/>
          <w:szCs w:val="24"/>
        </w:rPr>
        <w:t xml:space="preserve">lia, la sociedad y el Estado, </w:t>
      </w:r>
      <w:r w:rsidR="00F54C5D" w:rsidRPr="00F3007F">
        <w:rPr>
          <w:rFonts w:ascii="Verdana" w:hAnsi="Verdana"/>
          <w:color w:val="000000"/>
          <w:sz w:val="24"/>
          <w:szCs w:val="24"/>
        </w:rPr>
        <w:t xml:space="preserve"> contribuye a formar un ciudadano libre, amante y promotor de la unidad y afecto familiar, de la comunidad, la democracia y de la paz. </w:t>
      </w:r>
    </w:p>
    <w:p w:rsidR="00D22D28" w:rsidRPr="00F3007F" w:rsidRDefault="00D22D28" w:rsidP="005228F6">
      <w:pPr>
        <w:autoSpaceDE w:val="0"/>
        <w:autoSpaceDN w:val="0"/>
        <w:jc w:val="both"/>
        <w:rPr>
          <w:rFonts w:ascii="Verdana" w:hAnsi="Verdana"/>
          <w:color w:val="000000"/>
          <w:sz w:val="24"/>
          <w:szCs w:val="24"/>
        </w:rPr>
      </w:pPr>
    </w:p>
    <w:p w:rsidR="00730D45" w:rsidRPr="00F3007F" w:rsidRDefault="00F54C5D" w:rsidP="00F54C5D">
      <w:pPr>
        <w:spacing w:after="0" w:line="240" w:lineRule="auto"/>
        <w:jc w:val="both"/>
        <w:rPr>
          <w:rFonts w:ascii="Verdana" w:hAnsi="Verdana" w:cs="Futura Bk BT"/>
          <w:b/>
          <w:color w:val="1F497D" w:themeColor="text2"/>
          <w:sz w:val="28"/>
          <w:szCs w:val="24"/>
        </w:rPr>
      </w:pPr>
      <w:r w:rsidRPr="00F3007F">
        <w:rPr>
          <w:rFonts w:ascii="Verdana" w:hAnsi="Verdana"/>
          <w:b/>
          <w:bCs/>
          <w:color w:val="1F497D" w:themeColor="text2"/>
          <w:sz w:val="28"/>
          <w:szCs w:val="24"/>
        </w:rPr>
        <w:t>Unidad Administrativa Especial para la Consolidación Territorial</w:t>
      </w:r>
      <w:r w:rsidR="00730D45" w:rsidRPr="00F3007F">
        <w:rPr>
          <w:rFonts w:ascii="Verdana" w:hAnsi="Verdana"/>
          <w:b/>
          <w:bCs/>
          <w:color w:val="1F497D" w:themeColor="text2"/>
          <w:sz w:val="28"/>
          <w:szCs w:val="24"/>
        </w:rPr>
        <w:t xml:space="preserve"> – </w:t>
      </w:r>
      <w:r w:rsidRPr="00F3007F">
        <w:rPr>
          <w:rFonts w:ascii="Verdana" w:hAnsi="Verdana" w:cs="Futura Bk BT"/>
          <w:b/>
          <w:color w:val="1F497D" w:themeColor="text2"/>
          <w:sz w:val="28"/>
          <w:szCs w:val="24"/>
        </w:rPr>
        <w:t>UACT</w:t>
      </w:r>
    </w:p>
    <w:p w:rsidR="00730D45" w:rsidRPr="00F3007F" w:rsidRDefault="00730D45" w:rsidP="00F54C5D">
      <w:pPr>
        <w:spacing w:after="0" w:line="240" w:lineRule="auto"/>
        <w:jc w:val="both"/>
        <w:rPr>
          <w:rFonts w:ascii="Verdana" w:hAnsi="Verdana" w:cs="Futura Bk BT"/>
          <w:sz w:val="24"/>
          <w:szCs w:val="24"/>
        </w:rPr>
      </w:pPr>
    </w:p>
    <w:p w:rsidR="00F54C5D" w:rsidRPr="00F3007F" w:rsidRDefault="00422A18" w:rsidP="005228F6">
      <w:pPr>
        <w:autoSpaceDE w:val="0"/>
        <w:autoSpaceDN w:val="0"/>
        <w:jc w:val="both"/>
        <w:rPr>
          <w:rFonts w:ascii="Verdana" w:hAnsi="Verdana"/>
          <w:color w:val="000000"/>
          <w:sz w:val="24"/>
          <w:szCs w:val="24"/>
        </w:rPr>
      </w:pPr>
      <w:r w:rsidRPr="00F3007F">
        <w:rPr>
          <w:rFonts w:ascii="Verdana" w:hAnsi="Verdana"/>
          <w:noProof/>
          <w:color w:val="000000"/>
          <w:sz w:val="24"/>
          <w:szCs w:val="24"/>
          <w:lang w:eastAsia="es-CO"/>
        </w:rPr>
        <w:drawing>
          <wp:anchor distT="0" distB="0" distL="114300" distR="114300" simplePos="0" relativeHeight="251672576" behindDoc="0" locked="0" layoutInCell="1" allowOverlap="1">
            <wp:simplePos x="0" y="0"/>
            <wp:positionH relativeFrom="column">
              <wp:posOffset>31115</wp:posOffset>
            </wp:positionH>
            <wp:positionV relativeFrom="paragraph">
              <wp:posOffset>114300</wp:posOffset>
            </wp:positionV>
            <wp:extent cx="1492250" cy="838200"/>
            <wp:effectExtent l="19050" t="0" r="0" b="0"/>
            <wp:wrapThrough wrapText="bothSides">
              <wp:wrapPolygon edited="0">
                <wp:start x="-276" y="0"/>
                <wp:lineTo x="-276" y="21109"/>
                <wp:lineTo x="21508" y="21109"/>
                <wp:lineTo x="21508" y="0"/>
                <wp:lineTo x="-276" y="0"/>
              </wp:wrapPolygon>
            </wp:wrapThrough>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492250" cy="838200"/>
                    </a:xfrm>
                    <a:prstGeom prst="rect">
                      <a:avLst/>
                    </a:prstGeom>
                    <a:noFill/>
                    <a:ln w="9525">
                      <a:noFill/>
                      <a:miter lim="800000"/>
                      <a:headEnd/>
                      <a:tailEnd/>
                    </a:ln>
                  </pic:spPr>
                </pic:pic>
              </a:graphicData>
            </a:graphic>
          </wp:anchor>
        </w:drawing>
      </w:r>
      <w:r w:rsidR="00730D45" w:rsidRPr="00F3007F">
        <w:rPr>
          <w:rFonts w:ascii="Verdana" w:hAnsi="Verdana"/>
          <w:color w:val="000000"/>
          <w:sz w:val="24"/>
          <w:szCs w:val="24"/>
        </w:rPr>
        <w:t>T</w:t>
      </w:r>
      <w:r w:rsidR="00F54C5D" w:rsidRPr="00F3007F">
        <w:rPr>
          <w:rFonts w:ascii="Verdana" w:hAnsi="Verdana"/>
          <w:color w:val="000000"/>
          <w:sz w:val="24"/>
          <w:szCs w:val="24"/>
        </w:rPr>
        <w:t xml:space="preserve">iene como misión “Promover la presencia institucional del Estado, del sector privado y la cooperación internacional para la consolidación y reconstrucción de territorios, y fomentar la confianza ciudadana en las zonas focalizadas por la Política Nacional de Consolidación y Reconstrucción Territorial - PNCRT, y por la Política Nacional de Erradicación Manual de Cultivos ilícitos y Desarrollo Alternativo para la Consolidación Territorial” y el Decreto 4161 de 2011, a través de tres objetivos estratégicos de la política, adoptados como pilares para la consolidación: Pilar 1: Institucionalización del Territorio Las condiciones básicas de control institucional del territorio se consideran establecidas cuando la acción integral y coordinada del Estado en una región focalizada, ha permitido desestructurar o neutralizar la capacidad de las organizaciones armadas ilegales para ejercer control sobre la población, y por lo tanto, son exclusivamente las instituciones del Estado las que proveen y garantizan: • Seguridad y protección de la vida, la libertad y la propiedad del ciudadano. • El imperio de la ley, en el sentido de capacidad efectiva de las instituciones de administrar justicia, para reaccionar frente a la conducta ilegal lo que fortalece la cultura de la legalidad, al existir un reconocimiento por parte de la población de la aplicación de sanciones por el incumplimiento de la ley y posibilita la interiorización de las normas formales en las comunidades. Esta lógica se debe expresar en actitudes adecuadas frente a aspectos sociales, institucionales y ambientales. • La exclusividad estatal de las capacidades regulatorias en la provisión de bienes y servicios públicos. Pilar 2: Participación y Buen Gobierno La participación ciudadana, en el marco de la PNCRT comprende la consulta, vinculación y posterior apropiación por parte de las comunidades y ciudadanos de las iniciativas concertadas en la política de consolidación. Lo anterior, con el propósito de mejorar la toma de decisiones, la gestión de las fases de la consolidación territorial, el seguimiento y el control social de la inversión, que se orienta a las zonas seleccionadas por dicha política. La participación ciudadana, de las comunidades y habitantes de las regiones donde </w:t>
      </w:r>
      <w:r w:rsidR="00F54C5D" w:rsidRPr="00F3007F">
        <w:rPr>
          <w:rFonts w:ascii="Verdana" w:hAnsi="Verdana"/>
          <w:color w:val="000000"/>
          <w:sz w:val="24"/>
          <w:szCs w:val="24"/>
        </w:rPr>
        <w:lastRenderedPageBreak/>
        <w:t>se implemente la PNCRT es fundamental para brindarle sostenibilidad a los procesos de consolidación territorial, puesto que permite la generación de confianza entre el Estado y las comunidades, fortalece la legitimidad de las acciones de política que se ejecutan en el territorio y afianza la cultura de la legalidad, al generar consciencia sobre la responsabilidad de las personas con sus comunidades. Es así como, una adecuada participación de los ciudadanos es indispensable para la construcción de instituciones democráticas sólidas en las regiones, y para sentar las bases de un desarrollo económico, social y político estable y sostenible. Pilar 3: Integración Regional</w:t>
      </w:r>
      <w:r w:rsidR="00941472" w:rsidRPr="00F3007F">
        <w:rPr>
          <w:rFonts w:ascii="Verdana" w:hAnsi="Verdana"/>
          <w:color w:val="000000"/>
          <w:sz w:val="24"/>
          <w:szCs w:val="24"/>
        </w:rPr>
        <w:t xml:space="preserve"> Pilar Por integración del territorio a la vida social, económica, cultural y política de la Nación, se entiende el establecimiento de las condiciones básicas de igualdad de oportunidades que tiene el promedio de los ciudadanos del país. Esas condiciones territoriales abarcan la integración del territorio al interior, así como también la integración de territorio con el exterior, es decir con otras regiones. • Las condiciones de integración internas, hacen referencia al establecimiento de escenarios que garanticen la formación de núcleos de productores, con proyectos que generen fuentes estables y lícitas de empleo e ingreso, acordes a las normas ambientales vigentes; la libre asociación de la población en organizaciones sociales y productivas; la infraestructura básica necesaria para la conectividad y la movilidad (red vial terciaria, electricidad, telefonía, radio, etc.); la provisión de servicios básicos de educación, salud y recreación; la legalización y formalización de los derechos de propiedad y en particular de la tierra; la participación de los ciudadanos en los asuntos públicos; la promoción y el fomento de las manifestaciones culturales, así como de territorios libres de cultivos ilícitos. • Las condiciones de integración externas, hacen referencia a la generación de las bases materiales e institucionales que conlleven a que el territorio haga parte de la dinámica económica, social y política nacional. En este proceso son esenciales: el acceso a las redes secundarias y primarias de carreteras, la presencia de instituciones de soporte técnico y financiero del desarrollo productivo, la generación de capacidades de participación política y de influencia en las decisiones públicas sobre el territorio y la valorización de la identidad regional.</w:t>
      </w:r>
      <w:r w:rsidR="00BD4C94" w:rsidRPr="00F3007F">
        <w:rPr>
          <w:rFonts w:ascii="Verdana" w:hAnsi="Verdana"/>
          <w:color w:val="000000"/>
          <w:sz w:val="24"/>
          <w:szCs w:val="24"/>
        </w:rPr>
        <w:t xml:space="preserve"> </w:t>
      </w:r>
    </w:p>
    <w:p w:rsidR="00052794" w:rsidRPr="005228F6" w:rsidRDefault="005B5E5A" w:rsidP="005228F6">
      <w:pPr>
        <w:autoSpaceDE w:val="0"/>
        <w:autoSpaceDN w:val="0"/>
        <w:jc w:val="both"/>
        <w:rPr>
          <w:rFonts w:ascii="Verdana" w:hAnsi="Verdana"/>
          <w:color w:val="000000"/>
          <w:sz w:val="28"/>
          <w:szCs w:val="28"/>
        </w:rPr>
      </w:pPr>
      <w:r>
        <w:rPr>
          <w:rFonts w:ascii="Verdana" w:hAnsi="Verdana"/>
          <w:noProof/>
          <w:color w:val="000000"/>
          <w:sz w:val="28"/>
          <w:szCs w:val="28"/>
          <w:lang w:eastAsia="es-CO"/>
        </w:rPr>
        <w:drawing>
          <wp:anchor distT="0" distB="0" distL="114300" distR="114300" simplePos="0" relativeHeight="251746304" behindDoc="0" locked="0" layoutInCell="1" allowOverlap="1">
            <wp:simplePos x="0" y="0"/>
            <wp:positionH relativeFrom="column">
              <wp:posOffset>6436360</wp:posOffset>
            </wp:positionH>
            <wp:positionV relativeFrom="paragraph">
              <wp:posOffset>70485</wp:posOffset>
            </wp:positionV>
            <wp:extent cx="501650" cy="355600"/>
            <wp:effectExtent l="19050" t="0" r="0" b="0"/>
            <wp:wrapThrough wrapText="bothSides">
              <wp:wrapPolygon edited="0">
                <wp:start x="-820" y="0"/>
                <wp:lineTo x="-820" y="20829"/>
                <wp:lineTo x="21327" y="20829"/>
                <wp:lineTo x="21327" y="0"/>
                <wp:lineTo x="-820" y="0"/>
              </wp:wrapPolygon>
            </wp:wrapThrough>
            <wp:docPr id="84" name="Objeto 10">
              <a:hlinkClick xmlns:a="http://schemas.openxmlformats.org/drawingml/2006/main" r:id="rId24" tooltip="Ir a la pagina de CONTENIDO."/>
            </wp:docPr>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4056" cy="360040"/>
                      <a:chOff x="683568" y="5517232"/>
                      <a:chExt cx="504056" cy="360040"/>
                    </a:xfrm>
                  </a:grpSpPr>
                  <a:sp>
                    <a:nvSpPr>
                      <a:cNvPr id="36" name="35 Botón de acción: Inicio"/>
                      <a:cNvSpPr/>
                    </a:nvSpPr>
                    <a:spPr>
                      <a:xfrm>
                        <a:off x="683568" y="5517232"/>
                        <a:ext cx="504056" cy="360040"/>
                      </a:xfrm>
                      <a:prstGeom prst="actionButtonHome">
                        <a:avLst/>
                      </a:prstGeom>
                      <a:solidFill>
                        <a:schemeClr val="accent5">
                          <a:lumMod val="60000"/>
                          <a:lumOff val="40000"/>
                        </a:schemeClr>
                      </a:soli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052794" w:rsidRDefault="00052794" w:rsidP="00F54C5D">
      <w:pPr>
        <w:spacing w:after="0" w:line="240" w:lineRule="auto"/>
        <w:jc w:val="both"/>
        <w:rPr>
          <w:rFonts w:ascii="Verdana" w:hAnsi="Verdana" w:cs="Futura Bk BT"/>
          <w:sz w:val="28"/>
        </w:rPr>
      </w:pPr>
    </w:p>
    <w:p w:rsidR="004A4C17" w:rsidRDefault="004A4C17" w:rsidP="00052794">
      <w:pPr>
        <w:spacing w:after="0" w:line="240" w:lineRule="auto"/>
        <w:jc w:val="both"/>
        <w:rPr>
          <w:b/>
          <w:bCs/>
          <w:sz w:val="40"/>
          <w:szCs w:val="40"/>
        </w:rPr>
      </w:pPr>
    </w:p>
    <w:p w:rsidR="004A4C17" w:rsidRDefault="004A4C17" w:rsidP="00052794">
      <w:pPr>
        <w:spacing w:after="0" w:line="240" w:lineRule="auto"/>
        <w:jc w:val="both"/>
        <w:rPr>
          <w:b/>
          <w:bCs/>
          <w:sz w:val="40"/>
          <w:szCs w:val="40"/>
        </w:rPr>
      </w:pPr>
    </w:p>
    <w:p w:rsidR="004A4C17" w:rsidRDefault="004A4C17" w:rsidP="00052794">
      <w:pPr>
        <w:spacing w:after="0" w:line="240" w:lineRule="auto"/>
        <w:jc w:val="both"/>
        <w:rPr>
          <w:b/>
          <w:bCs/>
          <w:sz w:val="40"/>
          <w:szCs w:val="40"/>
        </w:rPr>
      </w:pPr>
    </w:p>
    <w:p w:rsidR="004A4C17" w:rsidRDefault="004A4C17" w:rsidP="00052794">
      <w:pPr>
        <w:spacing w:after="0" w:line="240" w:lineRule="auto"/>
        <w:jc w:val="both"/>
        <w:rPr>
          <w:b/>
          <w:bCs/>
          <w:sz w:val="40"/>
          <w:szCs w:val="40"/>
        </w:rPr>
      </w:pPr>
    </w:p>
    <w:p w:rsidR="004A4C17" w:rsidRDefault="004A4C17" w:rsidP="00052794">
      <w:pPr>
        <w:spacing w:after="0" w:line="240" w:lineRule="auto"/>
        <w:jc w:val="both"/>
        <w:rPr>
          <w:b/>
          <w:bCs/>
          <w:sz w:val="40"/>
          <w:szCs w:val="40"/>
        </w:rPr>
      </w:pPr>
    </w:p>
    <w:p w:rsidR="004A4C17" w:rsidRDefault="004A4C17" w:rsidP="00052794">
      <w:pPr>
        <w:spacing w:after="0" w:line="240" w:lineRule="auto"/>
        <w:jc w:val="both"/>
        <w:rPr>
          <w:rFonts w:ascii="Verdana" w:hAnsi="Verdana"/>
          <w:b/>
          <w:bCs/>
          <w:color w:val="548DD4" w:themeColor="text2" w:themeTint="99"/>
          <w:sz w:val="40"/>
          <w:szCs w:val="40"/>
        </w:rPr>
      </w:pPr>
    </w:p>
    <w:p w:rsidR="007D5E94" w:rsidRDefault="007D5E94" w:rsidP="00052794">
      <w:pPr>
        <w:spacing w:after="0" w:line="240" w:lineRule="auto"/>
        <w:jc w:val="both"/>
        <w:rPr>
          <w:rFonts w:ascii="Verdana" w:hAnsi="Verdana"/>
          <w:b/>
          <w:bCs/>
          <w:color w:val="548DD4" w:themeColor="text2" w:themeTint="99"/>
          <w:sz w:val="40"/>
          <w:szCs w:val="40"/>
        </w:rPr>
      </w:pPr>
    </w:p>
    <w:p w:rsidR="007D5E94" w:rsidRDefault="007D5E94" w:rsidP="00052794">
      <w:pPr>
        <w:spacing w:after="0" w:line="240" w:lineRule="auto"/>
        <w:jc w:val="both"/>
        <w:rPr>
          <w:rFonts w:ascii="Verdana" w:hAnsi="Verdana"/>
          <w:b/>
          <w:bCs/>
          <w:color w:val="548DD4" w:themeColor="text2" w:themeTint="99"/>
          <w:sz w:val="40"/>
          <w:szCs w:val="40"/>
        </w:rPr>
      </w:pPr>
    </w:p>
    <w:p w:rsidR="000665A7" w:rsidRDefault="000665A7" w:rsidP="00052794">
      <w:pPr>
        <w:spacing w:after="0" w:line="240" w:lineRule="auto"/>
        <w:jc w:val="both"/>
        <w:rPr>
          <w:rFonts w:ascii="Verdana" w:hAnsi="Verdana"/>
          <w:b/>
          <w:bCs/>
          <w:color w:val="548DD4" w:themeColor="text2" w:themeTint="99"/>
          <w:sz w:val="40"/>
          <w:szCs w:val="40"/>
        </w:rPr>
      </w:pPr>
    </w:p>
    <w:p w:rsidR="000665A7" w:rsidRDefault="000665A7" w:rsidP="00052794">
      <w:pPr>
        <w:spacing w:after="0" w:line="240" w:lineRule="auto"/>
        <w:jc w:val="both"/>
        <w:rPr>
          <w:rFonts w:ascii="Verdana" w:hAnsi="Verdana"/>
          <w:b/>
          <w:bCs/>
          <w:color w:val="548DD4" w:themeColor="text2" w:themeTint="99"/>
          <w:sz w:val="40"/>
          <w:szCs w:val="40"/>
        </w:rPr>
      </w:pPr>
    </w:p>
    <w:p w:rsidR="000665A7" w:rsidRDefault="000665A7" w:rsidP="00052794">
      <w:pPr>
        <w:spacing w:after="0" w:line="240" w:lineRule="auto"/>
        <w:jc w:val="both"/>
        <w:rPr>
          <w:rFonts w:ascii="Verdana" w:hAnsi="Verdana"/>
          <w:b/>
          <w:bCs/>
          <w:color w:val="548DD4" w:themeColor="text2" w:themeTint="99"/>
          <w:sz w:val="40"/>
          <w:szCs w:val="40"/>
        </w:rPr>
      </w:pPr>
    </w:p>
    <w:p w:rsidR="00052794" w:rsidRPr="00126BC7" w:rsidRDefault="00052794" w:rsidP="00727A10">
      <w:pPr>
        <w:pStyle w:val="Prrafodelista"/>
        <w:numPr>
          <w:ilvl w:val="0"/>
          <w:numId w:val="1"/>
        </w:numPr>
        <w:spacing w:after="0" w:line="240" w:lineRule="auto"/>
        <w:jc w:val="both"/>
        <w:rPr>
          <w:rFonts w:ascii="Verdana" w:hAnsi="Verdana"/>
          <w:b/>
          <w:bCs/>
          <w:color w:val="548DD4" w:themeColor="text2" w:themeTint="99"/>
          <w:sz w:val="40"/>
          <w:szCs w:val="40"/>
        </w:rPr>
      </w:pPr>
      <w:bookmarkStart w:id="3" w:name="DPS"/>
      <w:r w:rsidRPr="00126BC7">
        <w:rPr>
          <w:rFonts w:ascii="Verdana" w:hAnsi="Verdana"/>
          <w:b/>
          <w:bCs/>
          <w:color w:val="548DD4" w:themeColor="text2" w:themeTint="99"/>
          <w:sz w:val="40"/>
          <w:szCs w:val="40"/>
        </w:rPr>
        <w:t>DEPARTAMENTO PARA LA PRO</w:t>
      </w:r>
      <w:r w:rsidR="00BD4C94">
        <w:rPr>
          <w:rFonts w:ascii="Verdana" w:hAnsi="Verdana"/>
          <w:b/>
          <w:bCs/>
          <w:color w:val="548DD4" w:themeColor="text2" w:themeTint="99"/>
          <w:sz w:val="40"/>
          <w:szCs w:val="40"/>
        </w:rPr>
        <w:t>S</w:t>
      </w:r>
      <w:r w:rsidRPr="00126BC7">
        <w:rPr>
          <w:rFonts w:ascii="Verdana" w:hAnsi="Verdana"/>
          <w:b/>
          <w:bCs/>
          <w:color w:val="548DD4" w:themeColor="text2" w:themeTint="99"/>
          <w:sz w:val="40"/>
          <w:szCs w:val="40"/>
        </w:rPr>
        <w:t>PERIDAD SOCIAL</w:t>
      </w:r>
      <w:r w:rsidR="00126BC7" w:rsidRPr="00126BC7">
        <w:rPr>
          <w:rFonts w:ascii="Verdana" w:hAnsi="Verdana"/>
          <w:b/>
          <w:bCs/>
          <w:color w:val="548DD4" w:themeColor="text2" w:themeTint="99"/>
          <w:sz w:val="40"/>
          <w:szCs w:val="40"/>
        </w:rPr>
        <w:t xml:space="preserve"> - DPS</w:t>
      </w:r>
    </w:p>
    <w:bookmarkEnd w:id="3"/>
    <w:p w:rsidR="004A4C17" w:rsidRDefault="004A4C17"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BB2547" w:rsidP="004A4C17">
      <w:pPr>
        <w:pStyle w:val="Prrafodelista"/>
        <w:spacing w:after="0" w:line="240" w:lineRule="auto"/>
        <w:ind w:left="1710"/>
        <w:jc w:val="both"/>
        <w:rPr>
          <w:rFonts w:ascii="Verdana" w:hAnsi="Verdana" w:cs="Futura Bk BT"/>
          <w:color w:val="548DD4" w:themeColor="text2" w:themeTint="99"/>
          <w:sz w:val="28"/>
        </w:rPr>
      </w:pPr>
      <w:r>
        <w:rPr>
          <w:rFonts w:ascii="Verdana" w:hAnsi="Verdana" w:cs="Futura Bk BT"/>
          <w:noProof/>
          <w:color w:val="548DD4" w:themeColor="text2" w:themeTint="99"/>
          <w:sz w:val="28"/>
          <w:lang w:eastAsia="es-CO"/>
        </w:rPr>
        <w:drawing>
          <wp:anchor distT="0" distB="0" distL="114300" distR="114300" simplePos="0" relativeHeight="251678720" behindDoc="0" locked="0" layoutInCell="1" allowOverlap="1">
            <wp:simplePos x="0" y="0"/>
            <wp:positionH relativeFrom="column">
              <wp:posOffset>2625090</wp:posOffset>
            </wp:positionH>
            <wp:positionV relativeFrom="paragraph">
              <wp:posOffset>53340</wp:posOffset>
            </wp:positionV>
            <wp:extent cx="3691255" cy="953770"/>
            <wp:effectExtent l="19050" t="0" r="4445" b="0"/>
            <wp:wrapThrough wrapText="bothSides">
              <wp:wrapPolygon edited="0">
                <wp:start x="-111" y="0"/>
                <wp:lineTo x="-111" y="21140"/>
                <wp:lineTo x="21626" y="21140"/>
                <wp:lineTo x="21626" y="0"/>
                <wp:lineTo x="-111" y="0"/>
              </wp:wrapPolygon>
            </wp:wrapThrough>
            <wp:docPr id="15" name="Imagen 1" descr="http://172.20.3.111/ISOlucion/GrafVinetas/0pruebalogodp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172.20.3.111/ISOlucion/GrafVinetas/0pruebalogodps0.jpg"/>
                    <pic:cNvPicPr>
                      <a:picLocks noChangeAspect="1" noChangeArrowheads="1"/>
                    </pic:cNvPicPr>
                  </pic:nvPicPr>
                  <pic:blipFill>
                    <a:blip r:embed="rId23" cstate="print"/>
                    <a:srcRect l="5971" t="16536" r="11044" b="25984"/>
                    <a:stretch>
                      <a:fillRect/>
                    </a:stretch>
                  </pic:blipFill>
                  <pic:spPr bwMode="auto">
                    <a:xfrm>
                      <a:off x="0" y="0"/>
                      <a:ext cx="3691255" cy="953770"/>
                    </a:xfrm>
                    <a:prstGeom prst="rect">
                      <a:avLst/>
                    </a:prstGeom>
                    <a:noFill/>
                    <a:ln w="9525">
                      <a:noFill/>
                      <a:miter lim="800000"/>
                      <a:headEnd/>
                      <a:tailEnd/>
                    </a:ln>
                  </pic:spPr>
                </pic:pic>
              </a:graphicData>
            </a:graphic>
          </wp:anchor>
        </w:drawing>
      </w:r>
    </w:p>
    <w:p w:rsidR="00422A18" w:rsidRDefault="00422A18">
      <w:pPr>
        <w:rPr>
          <w:rFonts w:ascii="Verdana" w:hAnsi="Verdana" w:cs="Futura Bk BT"/>
          <w:color w:val="548DD4" w:themeColor="text2" w:themeTint="99"/>
          <w:sz w:val="28"/>
        </w:rPr>
      </w:pPr>
    </w:p>
    <w:p w:rsidR="00422A18" w:rsidRDefault="00422A18">
      <w:pPr>
        <w:rPr>
          <w:rFonts w:ascii="Verdana" w:hAnsi="Verdana" w:cs="Futura Bk BT"/>
          <w:color w:val="548DD4" w:themeColor="text2" w:themeTint="99"/>
          <w:sz w:val="28"/>
        </w:rPr>
      </w:pPr>
    </w:p>
    <w:p w:rsidR="00422A18" w:rsidRDefault="00422A18">
      <w:pPr>
        <w:rPr>
          <w:rFonts w:ascii="Verdana" w:hAnsi="Verdana" w:cs="Futura Bk BT"/>
          <w:color w:val="548DD4" w:themeColor="text2" w:themeTint="99"/>
          <w:sz w:val="28"/>
        </w:rPr>
      </w:pPr>
    </w:p>
    <w:p w:rsidR="00422A18" w:rsidRDefault="00422A18">
      <w:pPr>
        <w:rPr>
          <w:rFonts w:ascii="Verdana" w:hAnsi="Verdana" w:cs="Futura Bk BT"/>
          <w:color w:val="548DD4" w:themeColor="text2" w:themeTint="99"/>
          <w:sz w:val="28"/>
        </w:rPr>
      </w:pPr>
    </w:p>
    <w:p w:rsidR="00422A18" w:rsidRDefault="005B5E5A">
      <w:pPr>
        <w:rPr>
          <w:rFonts w:ascii="Verdana" w:hAnsi="Verdana" w:cs="Futura Bk BT"/>
          <w:color w:val="548DD4" w:themeColor="text2" w:themeTint="99"/>
          <w:sz w:val="28"/>
        </w:rPr>
      </w:pPr>
      <w:r>
        <w:rPr>
          <w:rFonts w:ascii="Verdana" w:hAnsi="Verdana" w:cs="Futura Bk BT"/>
          <w:noProof/>
          <w:color w:val="548DD4" w:themeColor="text2" w:themeTint="99"/>
          <w:sz w:val="28"/>
          <w:lang w:eastAsia="es-CO"/>
        </w:rPr>
        <w:drawing>
          <wp:anchor distT="0" distB="0" distL="114300" distR="114300" simplePos="0" relativeHeight="251723776" behindDoc="0" locked="0" layoutInCell="1" allowOverlap="1">
            <wp:simplePos x="0" y="0"/>
            <wp:positionH relativeFrom="column">
              <wp:posOffset>6455410</wp:posOffset>
            </wp:positionH>
            <wp:positionV relativeFrom="paragraph">
              <wp:posOffset>363220</wp:posOffset>
            </wp:positionV>
            <wp:extent cx="501650" cy="355600"/>
            <wp:effectExtent l="19050" t="0" r="0" b="0"/>
            <wp:wrapThrough wrapText="bothSides">
              <wp:wrapPolygon edited="0">
                <wp:start x="-820" y="0"/>
                <wp:lineTo x="-820" y="20829"/>
                <wp:lineTo x="21327" y="20829"/>
                <wp:lineTo x="21327" y="0"/>
                <wp:lineTo x="-820" y="0"/>
              </wp:wrapPolygon>
            </wp:wrapThrough>
            <wp:docPr id="72" name="Objeto 10">
              <a:hlinkClick xmlns:a="http://schemas.openxmlformats.org/drawingml/2006/main" r:id="rId25" tooltip="Ir a la pagina de CONTENIDO."/>
            </wp:docPr>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4056" cy="360040"/>
                      <a:chOff x="683568" y="5517232"/>
                      <a:chExt cx="504056" cy="360040"/>
                    </a:xfrm>
                  </a:grpSpPr>
                  <a:sp>
                    <a:nvSpPr>
                      <a:cNvPr id="36" name="35 Botón de acción: Inicio"/>
                      <a:cNvSpPr/>
                    </a:nvSpPr>
                    <a:spPr>
                      <a:xfrm>
                        <a:off x="683568" y="5517232"/>
                        <a:ext cx="504056" cy="360040"/>
                      </a:xfrm>
                      <a:prstGeom prst="actionButtonHome">
                        <a:avLst/>
                      </a:prstGeom>
                      <a:solidFill>
                        <a:schemeClr val="accent5">
                          <a:lumMod val="60000"/>
                          <a:lumOff val="40000"/>
                        </a:schemeClr>
                      </a:soli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422A18" w:rsidRDefault="00422A18">
      <w:pPr>
        <w:rPr>
          <w:rFonts w:ascii="Verdana" w:hAnsi="Verdana" w:cs="Futura Bk BT"/>
          <w:color w:val="548DD4" w:themeColor="text2" w:themeTint="99"/>
          <w:sz w:val="28"/>
        </w:rPr>
      </w:pPr>
    </w:p>
    <w:p w:rsidR="00422A18" w:rsidRDefault="00422A18">
      <w:pPr>
        <w:rPr>
          <w:rFonts w:ascii="Verdana" w:hAnsi="Verdana" w:cs="Futura Bk BT"/>
          <w:color w:val="548DD4" w:themeColor="text2" w:themeTint="99"/>
          <w:sz w:val="28"/>
        </w:rPr>
      </w:pPr>
    </w:p>
    <w:p w:rsidR="0088494C" w:rsidRDefault="0088494C">
      <w:pPr>
        <w:rPr>
          <w:rFonts w:ascii="Verdana" w:hAnsi="Verdana" w:cs="Futura Bk BT"/>
          <w:color w:val="548DD4" w:themeColor="text2" w:themeTint="99"/>
          <w:sz w:val="28"/>
        </w:rPr>
      </w:pPr>
      <w:r w:rsidRPr="0088494C">
        <w:rPr>
          <w:rFonts w:ascii="Verdana" w:hAnsi="Verdana" w:cs="Futura Bk BT"/>
          <w:noProof/>
          <w:color w:val="548DD4" w:themeColor="text2" w:themeTint="99"/>
          <w:sz w:val="28"/>
          <w:lang w:eastAsia="es-CO"/>
        </w:rPr>
        <w:lastRenderedPageBreak/>
        <w:drawing>
          <wp:inline distT="0" distB="0" distL="0" distR="0">
            <wp:extent cx="6010275" cy="6991350"/>
            <wp:effectExtent l="19050" t="0" r="9525" b="0"/>
            <wp:docPr id="450" name="Imagen 1" descr="_DSC0275.JPG"/>
            <wp:cNvGraphicFramePr/>
            <a:graphic xmlns:a="http://schemas.openxmlformats.org/drawingml/2006/main">
              <a:graphicData uri="http://schemas.openxmlformats.org/drawingml/2006/picture">
                <pic:pic xmlns:pic="http://schemas.openxmlformats.org/drawingml/2006/picture">
                  <pic:nvPicPr>
                    <pic:cNvPr id="35846" name="Imagen 4" descr="_DSC0275.JPG"/>
                    <pic:cNvPicPr>
                      <a:picLocks noChangeAspect="1"/>
                    </pic:cNvPicPr>
                  </pic:nvPicPr>
                  <pic:blipFill>
                    <a:blip r:embed="rId26" cstate="print"/>
                    <a:srcRect/>
                    <a:stretch>
                      <a:fillRect/>
                    </a:stretch>
                  </pic:blipFill>
                  <pic:spPr bwMode="auto">
                    <a:xfrm>
                      <a:off x="0" y="0"/>
                      <a:ext cx="6011895" cy="6993234"/>
                    </a:xfrm>
                    <a:prstGeom prst="rect">
                      <a:avLst/>
                    </a:prstGeom>
                    <a:noFill/>
                    <a:ln w="9525">
                      <a:noFill/>
                      <a:miter lim="800000"/>
                      <a:headEnd/>
                      <a:tailEnd/>
                    </a:ln>
                  </pic:spPr>
                </pic:pic>
              </a:graphicData>
            </a:graphic>
          </wp:inline>
        </w:drawing>
      </w:r>
    </w:p>
    <w:p w:rsidR="005B5E5A" w:rsidRDefault="005B5E5A">
      <w:pPr>
        <w:rPr>
          <w:rFonts w:ascii="Verdana" w:hAnsi="Verdana" w:cs="Futura Bk BT"/>
          <w:b/>
          <w:color w:val="548DD4" w:themeColor="text2" w:themeTint="99"/>
          <w:sz w:val="32"/>
        </w:rPr>
      </w:pPr>
    </w:p>
    <w:p w:rsidR="00422A18" w:rsidRPr="00AB50A7" w:rsidRDefault="00DA252E">
      <w:pPr>
        <w:rPr>
          <w:rFonts w:ascii="Verdana" w:hAnsi="Verdana" w:cs="Futura Bk BT"/>
          <w:b/>
          <w:color w:val="548DD4" w:themeColor="text2" w:themeTint="99"/>
          <w:sz w:val="28"/>
        </w:rPr>
      </w:pPr>
      <w:r w:rsidRPr="00AB50A7">
        <w:rPr>
          <w:rFonts w:ascii="Verdana" w:hAnsi="Verdana" w:cs="Futura Bk BT"/>
          <w:b/>
          <w:color w:val="548DD4" w:themeColor="text2" w:themeTint="99"/>
          <w:sz w:val="28"/>
        </w:rPr>
        <w:t>GENERALIDADES</w:t>
      </w:r>
    </w:p>
    <w:p w:rsidR="00DA252E" w:rsidRDefault="00DA252E" w:rsidP="00DA252E">
      <w:pPr>
        <w:spacing w:after="0" w:line="240" w:lineRule="auto"/>
        <w:jc w:val="both"/>
        <w:rPr>
          <w:rFonts w:ascii="Verdana" w:hAnsi="Verdana"/>
          <w:sz w:val="24"/>
          <w:szCs w:val="24"/>
        </w:rPr>
      </w:pPr>
      <w:r w:rsidRPr="00E978BD">
        <w:rPr>
          <w:rFonts w:ascii="Verdana" w:hAnsi="Verdana"/>
          <w:sz w:val="24"/>
          <w:szCs w:val="24"/>
        </w:rPr>
        <w:t xml:space="preserve">Durante el 2014 el Departamento para la Prosperidad Social </w:t>
      </w:r>
      <w:r>
        <w:rPr>
          <w:rFonts w:ascii="Verdana" w:hAnsi="Verdana"/>
          <w:sz w:val="24"/>
          <w:szCs w:val="24"/>
        </w:rPr>
        <w:t xml:space="preserve">– DPS </w:t>
      </w:r>
      <w:r w:rsidRPr="00E978BD">
        <w:rPr>
          <w:rFonts w:ascii="Verdana" w:hAnsi="Verdana"/>
          <w:sz w:val="24"/>
          <w:szCs w:val="24"/>
        </w:rPr>
        <w:t xml:space="preserve">culminó el periodo de Gobierno 2010 – 2014 con resultados importantes en términos de avances en </w:t>
      </w:r>
      <w:r>
        <w:rPr>
          <w:rFonts w:ascii="Verdana" w:hAnsi="Verdana"/>
          <w:sz w:val="24"/>
          <w:szCs w:val="24"/>
        </w:rPr>
        <w:t xml:space="preserve">las políticas que coordina y en el cumplimiento de las metas de la oferta y/o estrategias a su cargo. </w:t>
      </w:r>
    </w:p>
    <w:p w:rsidR="00DA252E" w:rsidRDefault="00DA252E" w:rsidP="00DA252E">
      <w:pPr>
        <w:spacing w:after="0" w:line="240" w:lineRule="auto"/>
        <w:jc w:val="both"/>
        <w:rPr>
          <w:rFonts w:ascii="Verdana" w:hAnsi="Verdana"/>
          <w:sz w:val="24"/>
          <w:szCs w:val="24"/>
        </w:rPr>
      </w:pPr>
    </w:p>
    <w:p w:rsidR="00DA252E" w:rsidRDefault="00DA252E" w:rsidP="00DA252E">
      <w:pPr>
        <w:spacing w:after="0" w:line="240" w:lineRule="auto"/>
        <w:jc w:val="both"/>
        <w:rPr>
          <w:rFonts w:ascii="Verdana" w:hAnsi="Verdana"/>
          <w:sz w:val="24"/>
          <w:szCs w:val="24"/>
        </w:rPr>
      </w:pPr>
      <w:r>
        <w:rPr>
          <w:rFonts w:ascii="Verdana" w:hAnsi="Verdana"/>
          <w:sz w:val="24"/>
          <w:szCs w:val="24"/>
        </w:rPr>
        <w:t xml:space="preserve">En términos de resultados de la política, el principal avance se dio en materia de reducción de la pobreza. Durante el periodo 2010 -2014, 3,6 millones de personas superaron la pobreza y  más de 2 millones superaron la pobreza extrema, con una reducción más pronunciada, en el último año, en las zonas rurales. Estos resultados, en gran medida se deben al direccionamiento de los recursos y esfuerzos hacia los territorios con mayores incidencias de pobreza multidimensional, localizadas en las zonas rurales y de la periferia. </w:t>
      </w:r>
    </w:p>
    <w:p w:rsidR="00DA252E" w:rsidRDefault="00DA252E" w:rsidP="00DA252E">
      <w:pPr>
        <w:spacing w:after="0" w:line="240" w:lineRule="auto"/>
        <w:jc w:val="both"/>
        <w:rPr>
          <w:rFonts w:ascii="Verdana" w:hAnsi="Verdana"/>
          <w:sz w:val="24"/>
          <w:szCs w:val="24"/>
        </w:rPr>
      </w:pPr>
    </w:p>
    <w:p w:rsidR="00DA252E" w:rsidRDefault="00DA252E" w:rsidP="00DA252E">
      <w:pPr>
        <w:spacing w:after="0" w:line="240" w:lineRule="auto"/>
        <w:jc w:val="both"/>
        <w:rPr>
          <w:rFonts w:ascii="Verdana" w:hAnsi="Verdana"/>
          <w:sz w:val="24"/>
          <w:szCs w:val="24"/>
        </w:rPr>
      </w:pPr>
      <w:r>
        <w:rPr>
          <w:rFonts w:ascii="Verdana" w:hAnsi="Verdana"/>
          <w:sz w:val="24"/>
          <w:szCs w:val="24"/>
        </w:rPr>
        <w:t xml:space="preserve">Desde la implementación de los instrumentos misionales, se continuó la consolidación del rediseño del programa Más Familias en Acción, mejorando los mecanismos de verificación y culminando el proceso de transición de las familias que hoy cuentan con mejores condiciones de vida. El programa Jóvenes en Acción amplió su cobertura a través de convenios con instituciones de educación superior y se culminó el proceso de formación de más de 30.000 jóvenes. </w:t>
      </w:r>
    </w:p>
    <w:p w:rsidR="00DA252E" w:rsidRDefault="00DA252E" w:rsidP="00DA252E">
      <w:pPr>
        <w:spacing w:after="0" w:line="240" w:lineRule="auto"/>
        <w:jc w:val="both"/>
        <w:rPr>
          <w:rFonts w:ascii="Verdana" w:hAnsi="Verdana"/>
          <w:sz w:val="24"/>
          <w:szCs w:val="24"/>
        </w:rPr>
      </w:pPr>
    </w:p>
    <w:p w:rsidR="00DA252E" w:rsidRDefault="00DA252E" w:rsidP="00DA252E">
      <w:pPr>
        <w:spacing w:after="0" w:line="240" w:lineRule="auto"/>
        <w:jc w:val="both"/>
        <w:rPr>
          <w:rFonts w:ascii="Verdana" w:hAnsi="Verdana"/>
          <w:sz w:val="24"/>
          <w:szCs w:val="24"/>
        </w:rPr>
      </w:pPr>
      <w:r>
        <w:rPr>
          <w:rFonts w:ascii="Verdana" w:hAnsi="Verdana"/>
          <w:sz w:val="24"/>
          <w:szCs w:val="24"/>
        </w:rPr>
        <w:t>En Seguridad Alimentaria, se fortaleció la pertinencia del programa focalizando los territorios con mayor incidencia de pobreza, mayoritariamente rurales y se implementaron acciones de fortalecimiento técnico para la implementación de modelos de seguridad alimentaria en 9 departamentos del país.</w:t>
      </w:r>
    </w:p>
    <w:p w:rsidR="00DA252E" w:rsidRDefault="00DA252E" w:rsidP="00DA252E">
      <w:pPr>
        <w:spacing w:after="0" w:line="240" w:lineRule="auto"/>
        <w:jc w:val="both"/>
        <w:rPr>
          <w:rFonts w:ascii="Verdana" w:hAnsi="Verdana"/>
          <w:sz w:val="24"/>
          <w:szCs w:val="24"/>
        </w:rPr>
      </w:pPr>
    </w:p>
    <w:p w:rsidR="00DA252E" w:rsidRDefault="00DA252E" w:rsidP="00DA252E">
      <w:pPr>
        <w:spacing w:after="0" w:line="240" w:lineRule="auto"/>
        <w:jc w:val="both"/>
        <w:rPr>
          <w:rFonts w:ascii="Verdana" w:hAnsi="Verdana"/>
          <w:sz w:val="24"/>
          <w:szCs w:val="24"/>
        </w:rPr>
      </w:pPr>
      <w:r>
        <w:rPr>
          <w:rFonts w:ascii="Verdana" w:hAnsi="Verdana"/>
          <w:sz w:val="24"/>
          <w:szCs w:val="24"/>
        </w:rPr>
        <w:t xml:space="preserve">A través del modelo de ventanillas únicas dirigidas a la población vulnerable, se desarrollaron estrategias conjuntas con el Ministerio de Trabajo y las alcaldías para activar los servicios de empleabilidad y emprendimiento. Se continuaron apoyando apuestas productivas de la población a través de la capitalización microempresarial y el desarrollo de investigaciones de mercado laboral para identificar perfiles ocupacionales de la población objetivo, que permitieran identificar estrategias de enganche pertinentes. </w:t>
      </w:r>
    </w:p>
    <w:p w:rsidR="00DA252E" w:rsidRDefault="00DA252E" w:rsidP="00DA252E">
      <w:pPr>
        <w:spacing w:after="0" w:line="240" w:lineRule="auto"/>
        <w:jc w:val="both"/>
        <w:rPr>
          <w:rFonts w:ascii="Verdana" w:hAnsi="Verdana"/>
          <w:sz w:val="24"/>
          <w:szCs w:val="24"/>
        </w:rPr>
      </w:pPr>
    </w:p>
    <w:p w:rsidR="00DA252E" w:rsidRDefault="00DA252E" w:rsidP="00DA252E">
      <w:pPr>
        <w:spacing w:after="0" w:line="240" w:lineRule="auto"/>
        <w:jc w:val="both"/>
        <w:rPr>
          <w:rFonts w:ascii="Verdana" w:hAnsi="Verdana"/>
          <w:sz w:val="24"/>
          <w:szCs w:val="24"/>
        </w:rPr>
      </w:pPr>
      <w:r>
        <w:rPr>
          <w:rFonts w:ascii="Verdana" w:hAnsi="Verdana"/>
          <w:sz w:val="24"/>
          <w:szCs w:val="24"/>
        </w:rPr>
        <w:t xml:space="preserve">Continuando con el proceso de diseño y pilotaje de metodologías de inclusión financiera, se definió la metodología de implementación de una estrategia a </w:t>
      </w:r>
      <w:r>
        <w:rPr>
          <w:rFonts w:ascii="Verdana" w:hAnsi="Verdana"/>
          <w:sz w:val="24"/>
          <w:szCs w:val="24"/>
        </w:rPr>
        <w:lastRenderedPageBreak/>
        <w:t xml:space="preserve">través del uso de tabletas para las madres participantes del programa Más Familias en Acción y se diseñó la operación para la estrategia que se desarrollará durante la vigencia 2015. </w:t>
      </w:r>
    </w:p>
    <w:p w:rsidR="00DA252E" w:rsidRDefault="00DA252E" w:rsidP="00DA252E">
      <w:pPr>
        <w:spacing w:after="0" w:line="240" w:lineRule="auto"/>
        <w:jc w:val="both"/>
        <w:rPr>
          <w:rFonts w:ascii="Verdana" w:hAnsi="Verdana"/>
          <w:sz w:val="24"/>
          <w:szCs w:val="24"/>
        </w:rPr>
      </w:pPr>
    </w:p>
    <w:p w:rsidR="00DA252E" w:rsidRDefault="00DA252E" w:rsidP="00DA252E">
      <w:pPr>
        <w:spacing w:after="0" w:line="240" w:lineRule="auto"/>
        <w:jc w:val="both"/>
        <w:rPr>
          <w:rFonts w:ascii="Verdana" w:hAnsi="Verdana"/>
          <w:sz w:val="24"/>
          <w:szCs w:val="24"/>
        </w:rPr>
      </w:pPr>
      <w:r>
        <w:rPr>
          <w:rFonts w:ascii="Verdana" w:hAnsi="Verdana"/>
          <w:sz w:val="24"/>
          <w:szCs w:val="24"/>
        </w:rPr>
        <w:t>Finalmente, a través de instrumentos especiales como el programa IRACA se culminó la intervención a la primera cohorte de familias, fortaleciendo durante el 2014 la dimensión productiva y de sustentabilidad de las comunidades. Frente al instrumento de incentivo al retorno y la reubicación, se completó el ciclo de atención del cuatrienio llegando a 42.000 familias.</w:t>
      </w:r>
    </w:p>
    <w:p w:rsidR="00DA252E" w:rsidRDefault="00DA252E" w:rsidP="00DA252E">
      <w:pPr>
        <w:spacing w:after="0" w:line="240" w:lineRule="auto"/>
        <w:jc w:val="both"/>
        <w:rPr>
          <w:rFonts w:ascii="Verdana" w:hAnsi="Verdana"/>
          <w:sz w:val="24"/>
          <w:szCs w:val="24"/>
        </w:rPr>
      </w:pPr>
    </w:p>
    <w:p w:rsidR="00DA252E" w:rsidRDefault="00DA252E" w:rsidP="00DA252E">
      <w:pPr>
        <w:spacing w:after="0" w:line="240" w:lineRule="auto"/>
        <w:jc w:val="both"/>
        <w:rPr>
          <w:rFonts w:ascii="Verdana" w:hAnsi="Verdana"/>
          <w:sz w:val="24"/>
          <w:szCs w:val="24"/>
        </w:rPr>
      </w:pPr>
      <w:r>
        <w:rPr>
          <w:rFonts w:ascii="Verdana" w:hAnsi="Verdana"/>
          <w:sz w:val="24"/>
          <w:szCs w:val="24"/>
        </w:rPr>
        <w:t xml:space="preserve">A continuación se desagregan las metas, logros y retos de cada uno de los programas y/o estrategias de la Entidad. </w:t>
      </w:r>
    </w:p>
    <w:p w:rsidR="00DA252E" w:rsidRDefault="00DA252E" w:rsidP="00DA252E">
      <w:pPr>
        <w:spacing w:after="0" w:line="240" w:lineRule="auto"/>
      </w:pPr>
    </w:p>
    <w:p w:rsidR="00DA252E" w:rsidRDefault="00DA252E" w:rsidP="00DA252E">
      <w:pPr>
        <w:spacing w:after="0" w:line="240" w:lineRule="auto"/>
        <w:rPr>
          <w:lang w:val="es-ES"/>
        </w:rPr>
      </w:pPr>
    </w:p>
    <w:p w:rsidR="00DA252E" w:rsidRPr="000C569D" w:rsidRDefault="00DA252E" w:rsidP="00DA252E">
      <w:pPr>
        <w:pStyle w:val="Default"/>
        <w:outlineLvl w:val="0"/>
        <w:rPr>
          <w:rFonts w:ascii="Verdana" w:hAnsi="Verdana" w:cs="Lucida Sans Unicode"/>
          <w:b/>
          <w:color w:val="548DD4" w:themeColor="text2" w:themeTint="99"/>
          <w:sz w:val="32"/>
          <w:szCs w:val="28"/>
        </w:rPr>
      </w:pPr>
      <w:bookmarkStart w:id="4" w:name="_Toc410111277"/>
      <w:bookmarkStart w:id="5" w:name="_Toc410376770"/>
      <w:r w:rsidRPr="000C569D">
        <w:rPr>
          <w:rFonts w:ascii="Verdana" w:hAnsi="Verdana" w:cs="Lucida Sans Unicode"/>
          <w:b/>
          <w:color w:val="548DD4" w:themeColor="text2" w:themeTint="99"/>
          <w:sz w:val="32"/>
          <w:szCs w:val="28"/>
        </w:rPr>
        <w:t>ESTRUCTURA ORGANIZACIONAL</w:t>
      </w:r>
      <w:bookmarkEnd w:id="4"/>
      <w:bookmarkEnd w:id="5"/>
    </w:p>
    <w:p w:rsidR="00DA252E" w:rsidRDefault="00DA252E" w:rsidP="00DA252E">
      <w:pPr>
        <w:pStyle w:val="Default"/>
        <w:jc w:val="both"/>
        <w:rPr>
          <w:rFonts w:ascii="Verdana" w:hAnsi="Verdana" w:cs="Lucida Sans Unicode"/>
          <w:b/>
        </w:rPr>
      </w:pPr>
    </w:p>
    <w:p w:rsidR="00DA252E" w:rsidRDefault="00DA252E" w:rsidP="00DA252E">
      <w:pPr>
        <w:autoSpaceDE w:val="0"/>
        <w:autoSpaceDN w:val="0"/>
        <w:adjustRightInd w:val="0"/>
        <w:spacing w:after="0" w:line="240" w:lineRule="auto"/>
        <w:jc w:val="both"/>
        <w:rPr>
          <w:rFonts w:ascii="Verdana" w:hAnsi="Verdana" w:cs="Lucida Sans Unicode"/>
          <w:color w:val="000000"/>
          <w:sz w:val="24"/>
          <w:szCs w:val="24"/>
          <w:lang w:eastAsia="es-CO"/>
        </w:rPr>
      </w:pPr>
      <w:r>
        <w:rPr>
          <w:rFonts w:ascii="Verdana" w:hAnsi="Verdana" w:cs="Lucida Sans Unicode"/>
          <w:color w:val="000000"/>
          <w:sz w:val="24"/>
          <w:szCs w:val="24"/>
          <w:lang w:eastAsia="es-CO"/>
        </w:rPr>
        <w:t>M</w:t>
      </w:r>
      <w:r w:rsidRPr="00CF12A3">
        <w:rPr>
          <w:rFonts w:ascii="Verdana" w:hAnsi="Verdana" w:cs="Lucida Sans Unicode"/>
          <w:color w:val="000000"/>
          <w:sz w:val="24"/>
          <w:szCs w:val="24"/>
          <w:lang w:eastAsia="es-CO"/>
        </w:rPr>
        <w:t>ediante Decreto 4155 de 2011 se crea el Departamento Administrativo para la Prosperidad Social</w:t>
      </w:r>
      <w:r>
        <w:rPr>
          <w:rFonts w:ascii="Verdana" w:hAnsi="Verdana" w:cs="Lucida Sans Unicode"/>
          <w:color w:val="000000"/>
          <w:sz w:val="24"/>
          <w:szCs w:val="24"/>
          <w:lang w:eastAsia="es-CO"/>
        </w:rPr>
        <w:t xml:space="preserve"> - DPS</w:t>
      </w:r>
      <w:r w:rsidRPr="00CF12A3">
        <w:rPr>
          <w:rFonts w:ascii="Verdana" w:hAnsi="Verdana" w:cs="Lucida Sans Unicode"/>
          <w:color w:val="000000"/>
          <w:sz w:val="24"/>
          <w:szCs w:val="24"/>
          <w:lang w:eastAsia="es-CO"/>
        </w:rPr>
        <w:t>, teniendo como base la estructura institucional de la Agencia Presidencial para la Acción Social y la Cooperación Internacional</w:t>
      </w:r>
      <w:r>
        <w:rPr>
          <w:rFonts w:ascii="Verdana" w:hAnsi="Verdana" w:cs="Lucida Sans Unicode"/>
          <w:color w:val="000000"/>
          <w:sz w:val="24"/>
          <w:szCs w:val="24"/>
          <w:lang w:eastAsia="es-CO"/>
        </w:rPr>
        <w:t xml:space="preserve"> </w:t>
      </w:r>
      <w:r w:rsidRPr="00CF12A3">
        <w:rPr>
          <w:rFonts w:ascii="Verdana" w:hAnsi="Verdana" w:cs="Lucida Sans Unicode"/>
          <w:color w:val="000000"/>
          <w:sz w:val="24"/>
          <w:szCs w:val="24"/>
          <w:lang w:eastAsia="es-CO"/>
        </w:rPr>
        <w:t xml:space="preserve">- ACCIÓN SOCIAL, como cabeza del Sector Inclusión Social y la Reconciliación. </w:t>
      </w:r>
    </w:p>
    <w:p w:rsidR="00DA252E" w:rsidRPr="00CF12A3" w:rsidRDefault="00DA252E" w:rsidP="00DA252E">
      <w:pPr>
        <w:autoSpaceDE w:val="0"/>
        <w:autoSpaceDN w:val="0"/>
        <w:adjustRightInd w:val="0"/>
        <w:spacing w:after="0" w:line="240" w:lineRule="auto"/>
        <w:jc w:val="both"/>
        <w:rPr>
          <w:rFonts w:ascii="Verdana" w:hAnsi="Verdana" w:cs="Lucida Sans Unicode"/>
          <w:color w:val="000000"/>
          <w:sz w:val="24"/>
          <w:szCs w:val="24"/>
          <w:lang w:eastAsia="es-CO"/>
        </w:rPr>
      </w:pPr>
    </w:p>
    <w:p w:rsidR="00DA252E" w:rsidRDefault="00DA252E" w:rsidP="00DA252E">
      <w:pPr>
        <w:autoSpaceDE w:val="0"/>
        <w:autoSpaceDN w:val="0"/>
        <w:adjustRightInd w:val="0"/>
        <w:spacing w:after="0" w:line="240" w:lineRule="auto"/>
        <w:jc w:val="both"/>
        <w:rPr>
          <w:rFonts w:ascii="Verdana" w:hAnsi="Verdana"/>
          <w:sz w:val="24"/>
          <w:szCs w:val="24"/>
          <w:lang w:eastAsia="es-CO"/>
        </w:rPr>
      </w:pPr>
      <w:r w:rsidRPr="00CF12A3">
        <w:rPr>
          <w:rFonts w:ascii="Verdana" w:hAnsi="Verdana" w:cs="Lucida Sans Unicode"/>
          <w:color w:val="000000"/>
          <w:sz w:val="24"/>
          <w:szCs w:val="24"/>
          <w:lang w:eastAsia="es-CO"/>
        </w:rPr>
        <w:t xml:space="preserve">Así es que el DPS, como líder del sector tiene la tarea de formular, ejecutar y evaluar la política, promoviendo el fortalecimiento de las capacidades institucionales territoriales, garantizando el enfoque diferencial y gestionando </w:t>
      </w:r>
      <w:r>
        <w:rPr>
          <w:rFonts w:ascii="Verdana" w:hAnsi="Verdana"/>
          <w:sz w:val="24"/>
          <w:szCs w:val="24"/>
          <w:lang w:eastAsia="es-CO"/>
        </w:rPr>
        <w:t>l</w:t>
      </w:r>
      <w:r w:rsidRPr="00CF12A3">
        <w:rPr>
          <w:rFonts w:ascii="Verdana" w:hAnsi="Verdana"/>
          <w:sz w:val="24"/>
          <w:szCs w:val="24"/>
          <w:lang w:eastAsia="es-CO"/>
        </w:rPr>
        <w:t xml:space="preserve">as alianzas estratégicas que impulsen el logro de los objetivos y desarrollando procesos de inclusión productiva y sostenibilidad a través de la generación de capacidades y oportunidades y acceso a activos a la población objeto de atención, alineando así lo plasmado en el PND 2010-2014, que enfatiza en la necesidad de crear procesos resaltados por la corresponsabilidad, en el que el sector privado y la sociedad civil protagonizan también, las acciones para el desarrollo del País. </w:t>
      </w:r>
    </w:p>
    <w:p w:rsidR="00DA252E" w:rsidRDefault="00DA252E" w:rsidP="00DA252E">
      <w:pPr>
        <w:spacing w:after="0" w:line="240" w:lineRule="auto"/>
        <w:jc w:val="both"/>
        <w:rPr>
          <w:rFonts w:ascii="Verdana" w:hAnsi="Verdana"/>
          <w:sz w:val="24"/>
          <w:szCs w:val="24"/>
          <w:lang w:eastAsia="es-CO"/>
        </w:rPr>
      </w:pPr>
    </w:p>
    <w:p w:rsidR="00DA252E" w:rsidRDefault="00DA252E" w:rsidP="000665A7">
      <w:pPr>
        <w:spacing w:after="0" w:line="240" w:lineRule="auto"/>
        <w:jc w:val="both"/>
        <w:rPr>
          <w:rFonts w:ascii="Verdana" w:hAnsi="Verdana"/>
          <w:b/>
          <w:color w:val="548DD4" w:themeColor="text2" w:themeTint="99"/>
          <w:sz w:val="24"/>
          <w:szCs w:val="24"/>
        </w:rPr>
      </w:pPr>
      <w:r w:rsidRPr="00CF12A3">
        <w:rPr>
          <w:rFonts w:ascii="Verdana" w:hAnsi="Verdana"/>
          <w:sz w:val="24"/>
          <w:szCs w:val="24"/>
          <w:lang w:eastAsia="es-CO"/>
        </w:rPr>
        <w:t>El Departamento para la Prosperidad Social – DPS, cuenta con tres direcciones misionales encargadas de la implementación y ejecución de los programas sociales a cargo del Departamento: Dirección de Ingreso Social, Dirección de Programas Especiales y la Dirección de Inclusión Productiva y Sostenibilidad</w:t>
      </w:r>
      <w:r>
        <w:rPr>
          <w:rFonts w:ascii="Verdana" w:hAnsi="Verdana"/>
          <w:sz w:val="24"/>
          <w:szCs w:val="24"/>
          <w:lang w:eastAsia="es-CO"/>
        </w:rPr>
        <w:t>- (DIS)</w:t>
      </w:r>
      <w:r w:rsidRPr="00CF12A3">
        <w:rPr>
          <w:rFonts w:ascii="Verdana" w:hAnsi="Verdana"/>
          <w:sz w:val="24"/>
          <w:szCs w:val="24"/>
          <w:lang w:eastAsia="es-CO"/>
        </w:rPr>
        <w:t>.</w:t>
      </w:r>
    </w:p>
    <w:p w:rsidR="000665A7" w:rsidRDefault="000665A7" w:rsidP="00FC7F0E">
      <w:pPr>
        <w:pStyle w:val="Default"/>
        <w:outlineLvl w:val="0"/>
        <w:rPr>
          <w:rFonts w:ascii="Verdana" w:hAnsi="Verdana" w:cs="Lucida Sans Unicode"/>
          <w:b/>
          <w:color w:val="548DD4" w:themeColor="text2" w:themeTint="99"/>
          <w:sz w:val="32"/>
          <w:szCs w:val="28"/>
        </w:rPr>
      </w:pPr>
      <w:bookmarkStart w:id="6" w:name="_Toc410376803"/>
    </w:p>
    <w:p w:rsidR="005B5E5A" w:rsidRDefault="005B5E5A" w:rsidP="00FC7F0E">
      <w:pPr>
        <w:pStyle w:val="Default"/>
        <w:outlineLvl w:val="0"/>
        <w:rPr>
          <w:rFonts w:ascii="Verdana" w:hAnsi="Verdana" w:cs="Lucida Sans Unicode"/>
          <w:b/>
          <w:color w:val="548DD4" w:themeColor="text2" w:themeTint="99"/>
          <w:sz w:val="32"/>
          <w:szCs w:val="28"/>
        </w:rPr>
      </w:pPr>
    </w:p>
    <w:p w:rsidR="00FC7F0E" w:rsidRPr="00C4448E" w:rsidRDefault="00C4448E" w:rsidP="00FC7F0E">
      <w:pPr>
        <w:pStyle w:val="Default"/>
        <w:outlineLvl w:val="0"/>
        <w:rPr>
          <w:rFonts w:ascii="Verdana" w:hAnsi="Verdana" w:cs="Lucida Sans Unicode"/>
          <w:b/>
          <w:color w:val="548DD4" w:themeColor="text2" w:themeTint="99"/>
          <w:sz w:val="28"/>
          <w:szCs w:val="28"/>
        </w:rPr>
      </w:pPr>
      <w:r w:rsidRPr="00C4448E">
        <w:rPr>
          <w:rFonts w:ascii="Verdana" w:hAnsi="Verdana" w:cs="Lucida Sans Unicode"/>
          <w:b/>
          <w:noProof/>
          <w:color w:val="548DD4" w:themeColor="text2" w:themeTint="99"/>
          <w:sz w:val="32"/>
          <w:szCs w:val="28"/>
          <w:lang w:eastAsia="es-CO"/>
        </w:rPr>
        <w:lastRenderedPageBreak/>
        <w:drawing>
          <wp:inline distT="0" distB="0" distL="0" distR="0">
            <wp:extent cx="216024" cy="216024"/>
            <wp:effectExtent l="19050" t="0" r="0" b="0"/>
            <wp:docPr id="451"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7236296" y="2924944"/>
                      <a:chExt cx="216024" cy="216024"/>
                    </a:xfrm>
                  </a:grpSpPr>
                  <a:sp>
                    <a:nvSpPr>
                      <a:cNvPr id="39" name="38 Rectángulo redondeado"/>
                      <a:cNvSpPr/>
                    </a:nvSpPr>
                    <a:spPr>
                      <a:xfrm>
                        <a:off x="7236296" y="2924944"/>
                        <a:ext cx="216024" cy="216024"/>
                      </a:xfrm>
                      <a:prstGeom prst="roundRect">
                        <a:avLst/>
                      </a:prstGeom>
                      <a:gradFill flip="none" rotWithShape="1">
                        <a:gsLst>
                          <a:gs pos="0">
                            <a:schemeClr val="tx2">
                              <a:lumMod val="40000"/>
                              <a:lumOff val="60000"/>
                              <a:shade val="30000"/>
                              <a:satMod val="115000"/>
                            </a:schemeClr>
                          </a:gs>
                          <a:gs pos="50000">
                            <a:schemeClr val="tx2">
                              <a:lumMod val="40000"/>
                              <a:lumOff val="60000"/>
                              <a:shade val="67500"/>
                              <a:satMod val="115000"/>
                            </a:schemeClr>
                          </a:gs>
                          <a:gs pos="100000">
                            <a:schemeClr val="tx2">
                              <a:lumMod val="40000"/>
                              <a:lumOff val="60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dirty="0">
                            <a:solidFill>
                              <a:schemeClr val="accent4">
                                <a:lumMod val="40000"/>
                                <a:lumOff val="60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hAnsi="Verdana" w:cs="Lucida Sans Unicode"/>
          <w:b/>
          <w:color w:val="548DD4" w:themeColor="text2" w:themeTint="99"/>
          <w:sz w:val="32"/>
          <w:szCs w:val="28"/>
        </w:rPr>
        <w:t xml:space="preserve">  </w:t>
      </w:r>
      <w:r w:rsidR="00FC7F0E" w:rsidRPr="00C4448E">
        <w:rPr>
          <w:rFonts w:ascii="Verdana" w:hAnsi="Verdana" w:cs="Lucida Sans Unicode"/>
          <w:b/>
          <w:color w:val="548DD4" w:themeColor="text2" w:themeTint="99"/>
          <w:sz w:val="28"/>
          <w:szCs w:val="28"/>
        </w:rPr>
        <w:t>PRESUPUESTO</w:t>
      </w:r>
      <w:bookmarkEnd w:id="6"/>
    </w:p>
    <w:p w:rsidR="005B5E5A" w:rsidRDefault="005B5E5A" w:rsidP="00FC7F0E">
      <w:pPr>
        <w:pStyle w:val="Ttulo2"/>
        <w:spacing w:before="0" w:after="0" w:line="240" w:lineRule="auto"/>
        <w:rPr>
          <w:rFonts w:ascii="Verdana" w:hAnsi="Verdana"/>
          <w:i w:val="0"/>
          <w:color w:val="548DD4" w:themeColor="text2" w:themeTint="99"/>
          <w:u w:val="single"/>
        </w:rPr>
      </w:pPr>
      <w:bookmarkStart w:id="7" w:name="_Toc410376804"/>
    </w:p>
    <w:p w:rsidR="00FC7F0E" w:rsidRPr="00C4448E" w:rsidRDefault="00FC7F0E" w:rsidP="00FC7F0E">
      <w:pPr>
        <w:pStyle w:val="Ttulo2"/>
        <w:spacing w:before="0" w:after="0" w:line="240" w:lineRule="auto"/>
        <w:rPr>
          <w:rFonts w:ascii="Verdana" w:hAnsi="Verdana"/>
          <w:i w:val="0"/>
          <w:color w:val="548DD4" w:themeColor="text2" w:themeTint="99"/>
        </w:rPr>
      </w:pPr>
      <w:r w:rsidRPr="00C4448E">
        <w:rPr>
          <w:rFonts w:ascii="Verdana" w:hAnsi="Verdana"/>
          <w:i w:val="0"/>
          <w:color w:val="548DD4" w:themeColor="text2" w:themeTint="99"/>
        </w:rPr>
        <w:t>EJECUCIÓN PRESUPUESTAL</w:t>
      </w:r>
      <w:bookmarkEnd w:id="7"/>
    </w:p>
    <w:p w:rsidR="00FC7F0E" w:rsidRDefault="00FC7F0E" w:rsidP="00FC7F0E">
      <w:pPr>
        <w:spacing w:after="0" w:line="240" w:lineRule="auto"/>
        <w:jc w:val="both"/>
        <w:rPr>
          <w:rFonts w:ascii="Verdana" w:hAnsi="Verdana"/>
          <w:sz w:val="24"/>
          <w:szCs w:val="24"/>
        </w:rPr>
      </w:pPr>
    </w:p>
    <w:p w:rsidR="00FC7F0E" w:rsidRPr="001D7E2C" w:rsidRDefault="00FC7F0E" w:rsidP="00FC7F0E">
      <w:pPr>
        <w:spacing w:after="0" w:line="240" w:lineRule="auto"/>
        <w:jc w:val="both"/>
        <w:rPr>
          <w:rFonts w:ascii="Verdana" w:hAnsi="Verdana"/>
          <w:sz w:val="24"/>
          <w:szCs w:val="24"/>
        </w:rPr>
      </w:pPr>
      <w:r w:rsidRPr="001D7E2C">
        <w:rPr>
          <w:rFonts w:ascii="Verdana" w:hAnsi="Verdana"/>
          <w:sz w:val="24"/>
          <w:szCs w:val="24"/>
        </w:rPr>
        <w:t xml:space="preserve">El DPS tuvo una asignación presupuestal en la vigencia 2014 de $3.289.509 millones de pesos distribuidos en gastos de funcionamiento $ 132.826 millones de pesos e inversión por valor de $3.156.683 millones de pesos. </w:t>
      </w:r>
    </w:p>
    <w:p w:rsidR="00FC7F0E" w:rsidRPr="005B5E5A" w:rsidRDefault="00FC7F0E" w:rsidP="00FC7F0E">
      <w:pPr>
        <w:spacing w:after="0" w:line="240" w:lineRule="auto"/>
        <w:ind w:left="6372" w:firstLine="708"/>
        <w:rPr>
          <w:rFonts w:ascii="Verdana" w:hAnsi="Verdana"/>
          <w:sz w:val="4"/>
          <w:szCs w:val="24"/>
        </w:rPr>
      </w:pPr>
    </w:p>
    <w:p w:rsidR="00FC7F0E" w:rsidRPr="0081512B" w:rsidRDefault="000E611D" w:rsidP="00FC7F0E">
      <w:pPr>
        <w:spacing w:after="0" w:line="240" w:lineRule="auto"/>
        <w:ind w:left="6372" w:firstLine="708"/>
        <w:rPr>
          <w:rFonts w:ascii="Verdana" w:hAnsi="Verdana"/>
          <w:sz w:val="20"/>
          <w:szCs w:val="24"/>
        </w:rPr>
      </w:pPr>
      <w:r>
        <w:rPr>
          <w:rFonts w:ascii="Verdana" w:hAnsi="Verdana"/>
          <w:noProof/>
          <w:sz w:val="14"/>
          <w:szCs w:val="24"/>
          <w:lang w:eastAsia="es-CO"/>
        </w:rPr>
        <w:drawing>
          <wp:anchor distT="0" distB="0" distL="114300" distR="114300" simplePos="0" relativeHeight="251682816" behindDoc="1" locked="0" layoutInCell="1" allowOverlap="1">
            <wp:simplePos x="0" y="0"/>
            <wp:positionH relativeFrom="column">
              <wp:posOffset>-6350</wp:posOffset>
            </wp:positionH>
            <wp:positionV relativeFrom="paragraph">
              <wp:posOffset>128270</wp:posOffset>
            </wp:positionV>
            <wp:extent cx="6337300" cy="5511800"/>
            <wp:effectExtent l="19050" t="0" r="6350" b="0"/>
            <wp:wrapTopAndBottom/>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6337300" cy="5511800"/>
                    </a:xfrm>
                    <a:prstGeom prst="rect">
                      <a:avLst/>
                    </a:prstGeom>
                    <a:noFill/>
                    <a:ln w="9525">
                      <a:noFill/>
                      <a:miter lim="800000"/>
                      <a:headEnd/>
                      <a:tailEnd/>
                    </a:ln>
                  </pic:spPr>
                </pic:pic>
              </a:graphicData>
            </a:graphic>
          </wp:anchor>
        </w:drawing>
      </w:r>
      <w:r w:rsidR="00FC7F0E" w:rsidRPr="0081512B">
        <w:rPr>
          <w:rFonts w:ascii="Verdana" w:hAnsi="Verdana"/>
          <w:sz w:val="14"/>
          <w:szCs w:val="24"/>
        </w:rPr>
        <w:t>Cifras en millones de pesos</w:t>
      </w:r>
    </w:p>
    <w:p w:rsidR="00FC7F0E" w:rsidRDefault="00FC7F0E" w:rsidP="00FC7F0E">
      <w:pPr>
        <w:pStyle w:val="Prrafodelista"/>
        <w:spacing w:after="0" w:line="240" w:lineRule="auto"/>
        <w:rPr>
          <w:rFonts w:ascii="Verdana" w:hAnsi="Verdana" w:cs="Arial"/>
          <w:sz w:val="18"/>
          <w:szCs w:val="24"/>
        </w:rPr>
      </w:pPr>
    </w:p>
    <w:p w:rsidR="00FC7F0E" w:rsidRPr="00F23873" w:rsidRDefault="00FC7F0E" w:rsidP="00FC7F0E">
      <w:pPr>
        <w:pStyle w:val="Prrafodelista"/>
        <w:spacing w:after="0" w:line="240" w:lineRule="auto"/>
        <w:jc w:val="center"/>
        <w:rPr>
          <w:rFonts w:ascii="Verdana" w:hAnsi="Verdana" w:cs="Arial"/>
          <w:sz w:val="16"/>
          <w:szCs w:val="16"/>
        </w:rPr>
      </w:pPr>
      <w:r w:rsidRPr="00F23873">
        <w:rPr>
          <w:rFonts w:ascii="Verdana" w:hAnsi="Verdana" w:cs="Arial"/>
          <w:sz w:val="16"/>
          <w:szCs w:val="16"/>
        </w:rPr>
        <w:t>Fuente: SIIF Ministerio de Hacienda y Crédito Público. Corte 31 de Diciembre de 2014.</w:t>
      </w:r>
    </w:p>
    <w:p w:rsidR="00FC7F0E" w:rsidRDefault="00FC7F0E" w:rsidP="00FC7F0E">
      <w:pPr>
        <w:spacing w:after="0" w:line="240" w:lineRule="auto"/>
        <w:jc w:val="both"/>
        <w:rPr>
          <w:rFonts w:ascii="Verdana" w:hAnsi="Verdana" w:cs="Lucida Sans Unicode"/>
          <w:color w:val="000000"/>
          <w:sz w:val="24"/>
          <w:szCs w:val="24"/>
        </w:rPr>
      </w:pPr>
      <w:r w:rsidRPr="001D7E2C">
        <w:rPr>
          <w:rFonts w:ascii="Verdana" w:hAnsi="Verdana"/>
          <w:sz w:val="24"/>
          <w:szCs w:val="24"/>
        </w:rPr>
        <w:lastRenderedPageBreak/>
        <w:t>La Entidad logró comprometer el 97.7% y obligar el 83.2% quedando una reserva del 14.5%.</w:t>
      </w:r>
    </w:p>
    <w:p w:rsidR="00FC7F0E" w:rsidRDefault="00FC7F0E" w:rsidP="00FC7F0E">
      <w:pPr>
        <w:spacing w:after="0" w:line="240" w:lineRule="auto"/>
        <w:jc w:val="both"/>
        <w:rPr>
          <w:rFonts w:ascii="Verdana" w:hAnsi="Verdana" w:cs="Lucida Sans Unicode"/>
          <w:color w:val="000000"/>
          <w:sz w:val="24"/>
          <w:szCs w:val="24"/>
        </w:rPr>
      </w:pPr>
    </w:p>
    <w:p w:rsidR="00FC7F0E" w:rsidRPr="001D7E2C" w:rsidRDefault="00FC7F0E" w:rsidP="00FC7F0E">
      <w:pPr>
        <w:spacing w:after="0" w:line="240" w:lineRule="auto"/>
        <w:jc w:val="both"/>
        <w:rPr>
          <w:rFonts w:ascii="Verdana" w:hAnsi="Verdana" w:cs="Lucida Sans Unicode"/>
          <w:color w:val="000000"/>
          <w:sz w:val="24"/>
          <w:szCs w:val="24"/>
        </w:rPr>
      </w:pPr>
      <w:r w:rsidRPr="001D7E2C">
        <w:rPr>
          <w:rFonts w:ascii="Verdana" w:hAnsi="Verdana" w:cs="Lucida Sans Unicode"/>
          <w:color w:val="000000"/>
          <w:sz w:val="24"/>
          <w:szCs w:val="24"/>
        </w:rPr>
        <w:t xml:space="preserve">Los proyectos que tuvieron la mejor ejecución fueron: Familias en Acción, Música para la Reconciliación, Operación Prolongada de Socorro- OPSR, Enfoque diferencial (IRACA), Sostenibilidad,  Ingreso para la Prosperidad y Familias en su tierra. </w:t>
      </w:r>
    </w:p>
    <w:p w:rsidR="00FC7F0E" w:rsidRDefault="00FC7F0E" w:rsidP="00FC7F0E">
      <w:pPr>
        <w:pStyle w:val="Default"/>
        <w:rPr>
          <w:rFonts w:ascii="Verdana" w:hAnsi="Verdana"/>
        </w:rPr>
      </w:pPr>
    </w:p>
    <w:p w:rsidR="00FC7F0E" w:rsidRPr="001D7E2C" w:rsidRDefault="00FC7F0E" w:rsidP="00FC7F0E">
      <w:pPr>
        <w:pStyle w:val="Default"/>
        <w:rPr>
          <w:rFonts w:ascii="Verdana" w:hAnsi="Verdana"/>
        </w:rPr>
      </w:pPr>
      <w:r w:rsidRPr="001D7E2C">
        <w:rPr>
          <w:rFonts w:ascii="Verdana" w:hAnsi="Verdana"/>
        </w:rPr>
        <w:t xml:space="preserve">Las dificultades en la ejecución obedecen principalmente a: </w:t>
      </w:r>
    </w:p>
    <w:p w:rsidR="00FC7F0E" w:rsidRPr="001D7E2C" w:rsidRDefault="00FC7F0E" w:rsidP="00FC7F0E">
      <w:pPr>
        <w:pStyle w:val="Default"/>
        <w:rPr>
          <w:rFonts w:ascii="Verdana" w:hAnsi="Verdana"/>
        </w:rPr>
      </w:pPr>
    </w:p>
    <w:p w:rsidR="00FC7F0E" w:rsidRPr="00CB18A8" w:rsidRDefault="00FC7F0E" w:rsidP="00FF784D">
      <w:pPr>
        <w:pStyle w:val="Default"/>
        <w:numPr>
          <w:ilvl w:val="0"/>
          <w:numId w:val="36"/>
        </w:numPr>
        <w:ind w:left="714" w:hanging="357"/>
        <w:jc w:val="both"/>
        <w:rPr>
          <w:rFonts w:ascii="Verdana" w:hAnsi="Verdana" w:cs="Lucida Sans Unicode"/>
        </w:rPr>
      </w:pPr>
      <w:r w:rsidRPr="00CB18A8">
        <w:rPr>
          <w:rFonts w:ascii="Verdana" w:hAnsi="Verdana"/>
        </w:rPr>
        <w:t xml:space="preserve">En el proyecto “Implementación Obras para la Prosperidad a Nivel Nacional – FIP” los pagos programados para la vigencia 2014 no se pudieron realizar debido a que la mayoría de los convenios suscritos con la Entidades Territoriales no contaban con un estado de maduración de los proyectos para iniciar la ejecución en la vigencia. Es por ello que se ajustaron los cronogramas de ejecución, por lo tanto para la vigencia 2015 queda una reserva alta. </w:t>
      </w:r>
    </w:p>
    <w:p w:rsidR="00FC7F0E" w:rsidRPr="00CB18A8" w:rsidRDefault="00FC7F0E" w:rsidP="00FF784D">
      <w:pPr>
        <w:pStyle w:val="Default"/>
        <w:numPr>
          <w:ilvl w:val="0"/>
          <w:numId w:val="36"/>
        </w:numPr>
        <w:ind w:left="714" w:hanging="357"/>
        <w:jc w:val="both"/>
        <w:rPr>
          <w:rFonts w:ascii="Verdana" w:hAnsi="Verdana" w:cs="Lucida Sans Unicode"/>
        </w:rPr>
      </w:pPr>
      <w:r w:rsidRPr="00CB18A8">
        <w:rPr>
          <w:rFonts w:ascii="Verdana" w:hAnsi="Verdana"/>
        </w:rPr>
        <w:t xml:space="preserve">Otro proyecto que tuvo dificultades en la ejecución fue “Construcción colectiva de condiciones de desarrollo y paz”, debido a que este proyecto responde a un convenio suscrito entre el gobierno de Colombia y la Unión Europea. Los convenios que desarrollan las actividades </w:t>
      </w:r>
      <w:r w:rsidRPr="00CB18A8">
        <w:rPr>
          <w:rFonts w:ascii="Verdana" w:hAnsi="Verdana" w:cs="Lucida Sans Unicode"/>
        </w:rPr>
        <w:t xml:space="preserve">se enmarcan </w:t>
      </w:r>
      <w:r w:rsidRPr="00CB18A8">
        <w:rPr>
          <w:rFonts w:ascii="Verdana" w:hAnsi="Verdana"/>
        </w:rPr>
        <w:t xml:space="preserve"> bajo </w:t>
      </w:r>
      <w:r w:rsidRPr="00CB18A8">
        <w:rPr>
          <w:rFonts w:ascii="Verdana" w:hAnsi="Verdana" w:cs="Lucida Sans Unicode"/>
        </w:rPr>
        <w:t>la contratación de subvenciones que fueron adjudicadas a través de lo establecido en la Guía Práctica de los Procedimientos Contractuales para las Acciones Exteriores de la Unión Europea en su etapa precontractual y durante su ejecución se rigen de acuerdo con el contenido obligacional determinado en las condiciones</w:t>
      </w:r>
      <w:r w:rsidRPr="00CB18A8">
        <w:rPr>
          <w:rFonts w:ascii="Verdana" w:hAnsi="Verdana"/>
        </w:rPr>
        <w:t xml:space="preserve"> particulares y los anexos. </w:t>
      </w:r>
      <w:r w:rsidRPr="00CB18A8">
        <w:rPr>
          <w:rFonts w:ascii="Verdana" w:hAnsi="Verdana" w:cs="Lucida Sans Unicode"/>
        </w:rPr>
        <w:t xml:space="preserve">Estas características propias de los contratos de subvención, permiten al beneficiario la posibilidad de determinar el ritmo de su ejecución, realizar modificaciones y solicitar los desembolsos cuando lo estimen conveniente, lo cual ha llevado a que algunos contratos de acuerdo con sus particularidades hayan superado el término de la anualidad fiscal para solicitar los desembolsos, y por ende como están amparados por las normas aplicables de la Unión Europea que no se atienen al principio de anualidad que es propia de la norma presupuestal colombiana. </w:t>
      </w:r>
    </w:p>
    <w:p w:rsidR="00FC7F0E" w:rsidRDefault="00FC7F0E" w:rsidP="00FF784D">
      <w:pPr>
        <w:pStyle w:val="Default"/>
        <w:numPr>
          <w:ilvl w:val="0"/>
          <w:numId w:val="36"/>
        </w:numPr>
        <w:ind w:left="714" w:hanging="357"/>
        <w:jc w:val="both"/>
        <w:rPr>
          <w:rFonts w:ascii="Verdana" w:hAnsi="Verdana"/>
        </w:rPr>
      </w:pPr>
      <w:r w:rsidRPr="00CB18A8">
        <w:rPr>
          <w:rFonts w:ascii="Verdana" w:hAnsi="Verdana"/>
        </w:rPr>
        <w:t xml:space="preserve">El proyecto de Seguridad Alimentaria RESA se presentaron retrasos en la contratación de los operadores por lo que los mismos quedaron legalizados al iniciar el segundo semestre del año por lo tanto de acuerdo a la ejecución se realizaron los pagos quedando una reserva del 37%. </w:t>
      </w:r>
    </w:p>
    <w:p w:rsidR="00FC7F0E" w:rsidRPr="00CB18A8" w:rsidRDefault="00FC7F0E" w:rsidP="00FF784D">
      <w:pPr>
        <w:pStyle w:val="Default"/>
        <w:numPr>
          <w:ilvl w:val="0"/>
          <w:numId w:val="36"/>
        </w:numPr>
        <w:ind w:left="714" w:hanging="357"/>
        <w:jc w:val="both"/>
        <w:rPr>
          <w:rFonts w:ascii="Verdana" w:hAnsi="Verdana"/>
        </w:rPr>
      </w:pPr>
      <w:r w:rsidRPr="00CB18A8">
        <w:rPr>
          <w:rFonts w:ascii="Verdana" w:hAnsi="Verdana"/>
        </w:rPr>
        <w:lastRenderedPageBreak/>
        <w:t>El Proyecto Legión del afecto no presentaba apropiación al iniciar la vigencia 2014, se inició un trámite de distribución de recursos en el mes de Julio el cual fue aprobado hasta el mes de Diciembre por lo que los recursos no se pudieron ejecutar oportunamente.</w:t>
      </w:r>
    </w:p>
    <w:p w:rsidR="00FC7F0E" w:rsidRPr="001D7E2C" w:rsidRDefault="00FC7F0E" w:rsidP="00FC7F0E">
      <w:pPr>
        <w:spacing w:after="0" w:line="240" w:lineRule="auto"/>
        <w:rPr>
          <w:rFonts w:ascii="Verdana" w:hAnsi="Verdana"/>
          <w:color w:val="808080"/>
          <w:sz w:val="24"/>
          <w:szCs w:val="24"/>
        </w:rPr>
      </w:pPr>
    </w:p>
    <w:p w:rsidR="00FE71FF" w:rsidRPr="00FE71FF" w:rsidRDefault="00FE71FF" w:rsidP="00FC7F0E">
      <w:pPr>
        <w:pStyle w:val="Ttulo2"/>
        <w:spacing w:before="0" w:after="0" w:line="240" w:lineRule="auto"/>
        <w:rPr>
          <w:rFonts w:ascii="Verdana" w:hAnsi="Verdana"/>
          <w:i w:val="0"/>
          <w:color w:val="548DD4" w:themeColor="text2" w:themeTint="99"/>
          <w:sz w:val="24"/>
        </w:rPr>
      </w:pPr>
      <w:bookmarkStart w:id="8" w:name="_Toc410376805"/>
      <w:r w:rsidRPr="00FE71FF">
        <w:rPr>
          <w:rFonts w:ascii="Verdana" w:hAnsi="Verdana"/>
          <w:i w:val="0"/>
          <w:color w:val="548DD4" w:themeColor="text2" w:themeTint="99"/>
          <w:sz w:val="24"/>
        </w:rPr>
        <w:t>COMPARATIVO DE LA EJECUCION PRESUPESTAS DE LAS ULTIMAS DOS VIGENCIAS</w:t>
      </w:r>
    </w:p>
    <w:p w:rsidR="00FE71FF" w:rsidRPr="00FE71FF" w:rsidRDefault="00FE71FF" w:rsidP="00FE71FF"/>
    <w:tbl>
      <w:tblPr>
        <w:tblW w:w="5000" w:type="pct"/>
        <w:tblCellMar>
          <w:left w:w="70" w:type="dxa"/>
          <w:right w:w="70" w:type="dxa"/>
        </w:tblCellMar>
        <w:tblLook w:val="04A0"/>
      </w:tblPr>
      <w:tblGrid>
        <w:gridCol w:w="1645"/>
        <w:gridCol w:w="1047"/>
        <w:gridCol w:w="1017"/>
        <w:gridCol w:w="1088"/>
        <w:gridCol w:w="554"/>
        <w:gridCol w:w="1009"/>
        <w:gridCol w:w="554"/>
        <w:gridCol w:w="981"/>
        <w:gridCol w:w="532"/>
        <w:gridCol w:w="977"/>
        <w:gridCol w:w="532"/>
        <w:gridCol w:w="176"/>
      </w:tblGrid>
      <w:tr w:rsidR="00FE71FF" w:rsidRPr="00FE71FF" w:rsidTr="00FE71FF">
        <w:trPr>
          <w:gridAfter w:val="1"/>
          <w:wAfter w:w="87" w:type="pct"/>
          <w:trHeight w:val="407"/>
          <w:tblHeader/>
        </w:trPr>
        <w:tc>
          <w:tcPr>
            <w:tcW w:w="813" w:type="pct"/>
            <w:vMerge w:val="restart"/>
            <w:tcBorders>
              <w:top w:val="single" w:sz="12" w:space="0" w:color="FFFFFF"/>
              <w:left w:val="nil"/>
              <w:bottom w:val="single" w:sz="12" w:space="0" w:color="FFFFFF"/>
              <w:right w:val="single" w:sz="12" w:space="0" w:color="FFFFFF"/>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518" w:type="pct"/>
            <w:vMerge w:val="restart"/>
            <w:tcBorders>
              <w:top w:val="single" w:sz="12" w:space="0" w:color="FFFFFF"/>
              <w:left w:val="single" w:sz="12" w:space="0" w:color="FFFFFF"/>
              <w:bottom w:val="single" w:sz="12" w:space="0" w:color="FFFFFF"/>
              <w:right w:val="nil"/>
            </w:tcBorders>
            <w:shd w:val="clear" w:color="000000" w:fill="538ED5"/>
            <w:vAlign w:val="center"/>
            <w:hideMark/>
          </w:tcPr>
          <w:p w:rsidR="00FE71FF" w:rsidRPr="00FE71FF" w:rsidRDefault="00FE71FF" w:rsidP="00FE71FF">
            <w:pPr>
              <w:spacing w:after="0" w:line="240" w:lineRule="auto"/>
              <w:jc w:val="center"/>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xml:space="preserve"> APROPIACIÓN 2013 </w:t>
            </w:r>
          </w:p>
        </w:tc>
        <w:tc>
          <w:tcPr>
            <w:tcW w:w="503" w:type="pct"/>
            <w:vMerge w:val="restart"/>
            <w:tcBorders>
              <w:top w:val="single" w:sz="12" w:space="0" w:color="FFFFFF"/>
              <w:left w:val="single" w:sz="12" w:space="0" w:color="FFFFFF"/>
              <w:bottom w:val="single" w:sz="12" w:space="0" w:color="FFFFFF"/>
              <w:right w:val="nil"/>
            </w:tcBorders>
            <w:shd w:val="clear" w:color="000000" w:fill="538ED5"/>
            <w:vAlign w:val="center"/>
            <w:hideMark/>
          </w:tcPr>
          <w:p w:rsidR="00FE71FF" w:rsidRPr="00FE71FF" w:rsidRDefault="00FE71FF" w:rsidP="00FE71FF">
            <w:pPr>
              <w:spacing w:after="0" w:line="240" w:lineRule="auto"/>
              <w:jc w:val="center"/>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xml:space="preserve"> APROPIACIÓN 2014 </w:t>
            </w:r>
          </w:p>
        </w:tc>
        <w:tc>
          <w:tcPr>
            <w:tcW w:w="1585" w:type="pct"/>
            <w:gridSpan w:val="4"/>
            <w:tcBorders>
              <w:top w:val="single" w:sz="12" w:space="0" w:color="FFFFFF"/>
              <w:left w:val="single" w:sz="12" w:space="0" w:color="FFFFFF"/>
              <w:bottom w:val="nil"/>
              <w:right w:val="single" w:sz="12" w:space="0" w:color="FFFFFF"/>
            </w:tcBorders>
            <w:shd w:val="clear" w:color="000000" w:fill="538ED5"/>
            <w:noWrap/>
            <w:vAlign w:val="center"/>
            <w:hideMark/>
          </w:tcPr>
          <w:p w:rsidR="00FE71FF" w:rsidRPr="00FE71FF" w:rsidRDefault="00FE71FF" w:rsidP="00FE71FF">
            <w:pPr>
              <w:spacing w:after="0" w:line="240" w:lineRule="auto"/>
              <w:jc w:val="center"/>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xml:space="preserve"> EJECUCIÓN 2013 </w:t>
            </w:r>
          </w:p>
        </w:tc>
        <w:tc>
          <w:tcPr>
            <w:tcW w:w="1494" w:type="pct"/>
            <w:gridSpan w:val="4"/>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jc w:val="center"/>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xml:space="preserve"> EJECUCIÓN 2014 </w:t>
            </w:r>
          </w:p>
        </w:tc>
      </w:tr>
      <w:tr w:rsidR="00FE71FF" w:rsidRPr="00FE71FF" w:rsidTr="00FE71FF">
        <w:trPr>
          <w:gridAfter w:val="1"/>
          <w:wAfter w:w="87" w:type="pct"/>
          <w:trHeight w:val="257"/>
          <w:tblHeader/>
        </w:trPr>
        <w:tc>
          <w:tcPr>
            <w:tcW w:w="813" w:type="pct"/>
            <w:vMerge/>
            <w:tcBorders>
              <w:top w:val="single" w:sz="12" w:space="0" w:color="FFFFFF"/>
              <w:left w:val="nil"/>
              <w:bottom w:val="single" w:sz="12" w:space="0" w:color="FFFFFF"/>
              <w:right w:val="single" w:sz="12" w:space="0" w:color="FFFFFF"/>
            </w:tcBorders>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p>
        </w:tc>
        <w:tc>
          <w:tcPr>
            <w:tcW w:w="518" w:type="pct"/>
            <w:vMerge/>
            <w:tcBorders>
              <w:top w:val="single" w:sz="12" w:space="0" w:color="FFFFFF"/>
              <w:left w:val="single" w:sz="12" w:space="0" w:color="FFFFFF"/>
              <w:bottom w:val="single" w:sz="12" w:space="0" w:color="FFFFFF"/>
              <w:right w:val="nil"/>
            </w:tcBorders>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p>
        </w:tc>
        <w:tc>
          <w:tcPr>
            <w:tcW w:w="503" w:type="pct"/>
            <w:vMerge/>
            <w:tcBorders>
              <w:top w:val="single" w:sz="12" w:space="0" w:color="FFFFFF"/>
              <w:left w:val="single" w:sz="12" w:space="0" w:color="FFFFFF"/>
              <w:bottom w:val="single" w:sz="12" w:space="0" w:color="FFFFFF"/>
              <w:right w:val="nil"/>
            </w:tcBorders>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p>
        </w:tc>
        <w:tc>
          <w:tcPr>
            <w:tcW w:w="812" w:type="pct"/>
            <w:gridSpan w:val="2"/>
            <w:tcBorders>
              <w:top w:val="single" w:sz="8" w:space="0" w:color="FFFFFF"/>
              <w:left w:val="single" w:sz="12" w:space="0" w:color="FFFFFF"/>
              <w:bottom w:val="nil"/>
              <w:right w:val="single" w:sz="12" w:space="0" w:color="FFFFFF"/>
            </w:tcBorders>
            <w:shd w:val="clear" w:color="000000" w:fill="538ED5"/>
            <w:noWrap/>
            <w:vAlign w:val="center"/>
            <w:hideMark/>
          </w:tcPr>
          <w:p w:rsidR="00FE71FF" w:rsidRPr="00FE71FF" w:rsidRDefault="00FE71FF" w:rsidP="00FE71FF">
            <w:pPr>
              <w:spacing w:after="0" w:line="240" w:lineRule="auto"/>
              <w:jc w:val="center"/>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xml:space="preserve"> Compromisos </w:t>
            </w:r>
          </w:p>
        </w:tc>
        <w:tc>
          <w:tcPr>
            <w:tcW w:w="773" w:type="pct"/>
            <w:gridSpan w:val="2"/>
            <w:tcBorders>
              <w:top w:val="single" w:sz="8" w:space="0" w:color="FFFFFF"/>
              <w:left w:val="nil"/>
              <w:bottom w:val="single" w:sz="8" w:space="0" w:color="FFFFFF"/>
              <w:right w:val="single" w:sz="12" w:space="0" w:color="FFFFFF"/>
            </w:tcBorders>
            <w:shd w:val="clear" w:color="000000" w:fill="538ED5"/>
            <w:noWrap/>
            <w:vAlign w:val="center"/>
            <w:hideMark/>
          </w:tcPr>
          <w:p w:rsidR="00FE71FF" w:rsidRPr="00FE71FF" w:rsidRDefault="00FE71FF" w:rsidP="00FE71FF">
            <w:pPr>
              <w:spacing w:after="0" w:line="240" w:lineRule="auto"/>
              <w:jc w:val="center"/>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xml:space="preserve"> Obligaciones </w:t>
            </w:r>
          </w:p>
        </w:tc>
        <w:tc>
          <w:tcPr>
            <w:tcW w:w="748" w:type="pct"/>
            <w:gridSpan w:val="2"/>
            <w:tcBorders>
              <w:top w:val="single" w:sz="8" w:space="0" w:color="FFFFFF"/>
              <w:left w:val="nil"/>
              <w:bottom w:val="nil"/>
              <w:right w:val="single" w:sz="12" w:space="0" w:color="FFFFFF"/>
            </w:tcBorders>
            <w:shd w:val="clear" w:color="000000" w:fill="538ED5"/>
            <w:noWrap/>
            <w:vAlign w:val="center"/>
            <w:hideMark/>
          </w:tcPr>
          <w:p w:rsidR="00FE71FF" w:rsidRPr="00FE71FF" w:rsidRDefault="00FE71FF" w:rsidP="00FE71FF">
            <w:pPr>
              <w:spacing w:after="0" w:line="240" w:lineRule="auto"/>
              <w:jc w:val="center"/>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xml:space="preserve"> Compromisos </w:t>
            </w:r>
          </w:p>
        </w:tc>
        <w:tc>
          <w:tcPr>
            <w:tcW w:w="746" w:type="pct"/>
            <w:gridSpan w:val="2"/>
            <w:tcBorders>
              <w:top w:val="single" w:sz="8" w:space="0" w:color="FFFFFF"/>
              <w:left w:val="nil"/>
              <w:bottom w:val="single" w:sz="8" w:space="0" w:color="FFFFFF"/>
              <w:right w:val="single" w:sz="12" w:space="0" w:color="FFFFFF"/>
            </w:tcBorders>
            <w:shd w:val="clear" w:color="000000" w:fill="538ED5"/>
            <w:noWrap/>
            <w:vAlign w:val="center"/>
            <w:hideMark/>
          </w:tcPr>
          <w:p w:rsidR="00FE71FF" w:rsidRPr="00FE71FF" w:rsidRDefault="00FE71FF" w:rsidP="00FE71FF">
            <w:pPr>
              <w:spacing w:after="0" w:line="240" w:lineRule="auto"/>
              <w:jc w:val="center"/>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xml:space="preserve"> Obligaciones </w:t>
            </w:r>
          </w:p>
        </w:tc>
      </w:tr>
      <w:tr w:rsidR="00FE71FF" w:rsidRPr="00FE71FF" w:rsidTr="00FE71FF">
        <w:trPr>
          <w:gridAfter w:val="1"/>
          <w:wAfter w:w="87" w:type="pct"/>
          <w:trHeight w:val="105"/>
          <w:tblHeader/>
        </w:trPr>
        <w:tc>
          <w:tcPr>
            <w:tcW w:w="813" w:type="pct"/>
            <w:vMerge/>
            <w:tcBorders>
              <w:top w:val="single" w:sz="12" w:space="0" w:color="FFFFFF"/>
              <w:left w:val="nil"/>
              <w:bottom w:val="single" w:sz="12" w:space="0" w:color="FFFFFF"/>
              <w:right w:val="single" w:sz="12" w:space="0" w:color="FFFFFF"/>
            </w:tcBorders>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p>
        </w:tc>
        <w:tc>
          <w:tcPr>
            <w:tcW w:w="518" w:type="pct"/>
            <w:vMerge/>
            <w:tcBorders>
              <w:top w:val="single" w:sz="12" w:space="0" w:color="FFFFFF"/>
              <w:left w:val="single" w:sz="12" w:space="0" w:color="FFFFFF"/>
              <w:bottom w:val="single" w:sz="12" w:space="0" w:color="FFFFFF"/>
              <w:right w:val="nil"/>
            </w:tcBorders>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p>
        </w:tc>
        <w:tc>
          <w:tcPr>
            <w:tcW w:w="503" w:type="pct"/>
            <w:vMerge/>
            <w:tcBorders>
              <w:top w:val="single" w:sz="12" w:space="0" w:color="FFFFFF"/>
              <w:left w:val="single" w:sz="12" w:space="0" w:color="FFFFFF"/>
              <w:bottom w:val="single" w:sz="12" w:space="0" w:color="FFFFFF"/>
              <w:right w:val="nil"/>
            </w:tcBorders>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p>
        </w:tc>
        <w:tc>
          <w:tcPr>
            <w:tcW w:w="538" w:type="pct"/>
            <w:tcBorders>
              <w:top w:val="single" w:sz="8" w:space="0" w:color="FFFFFF"/>
              <w:left w:val="single" w:sz="12" w:space="0" w:color="FFFFFF"/>
              <w:bottom w:val="single" w:sz="12" w:space="0" w:color="FFFFFF"/>
              <w:right w:val="single" w:sz="12" w:space="0" w:color="FFFFFF"/>
            </w:tcBorders>
            <w:shd w:val="clear" w:color="000000" w:fill="538ED5"/>
            <w:noWrap/>
            <w:vAlign w:val="center"/>
            <w:hideMark/>
          </w:tcPr>
          <w:p w:rsidR="00FE71FF" w:rsidRPr="00FE71FF" w:rsidRDefault="00FE71FF" w:rsidP="00FE71FF">
            <w:pPr>
              <w:spacing w:after="0" w:line="240" w:lineRule="auto"/>
              <w:jc w:val="center"/>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xml:space="preserve"> Valor </w:t>
            </w:r>
          </w:p>
        </w:tc>
        <w:tc>
          <w:tcPr>
            <w:tcW w:w="274" w:type="pct"/>
            <w:tcBorders>
              <w:top w:val="single" w:sz="8" w:space="0" w:color="FFFFFF"/>
              <w:left w:val="nil"/>
              <w:bottom w:val="single" w:sz="12" w:space="0" w:color="FFFFFF"/>
              <w:right w:val="single" w:sz="12" w:space="0" w:color="FFFFFF"/>
            </w:tcBorders>
            <w:shd w:val="clear" w:color="000000" w:fill="538ED5"/>
            <w:noWrap/>
            <w:vAlign w:val="center"/>
            <w:hideMark/>
          </w:tcPr>
          <w:p w:rsidR="00FE71FF" w:rsidRPr="00FE71FF" w:rsidRDefault="00FE71FF" w:rsidP="00FE71FF">
            <w:pPr>
              <w:spacing w:after="0" w:line="240" w:lineRule="auto"/>
              <w:jc w:val="center"/>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xml:space="preserve"> % </w:t>
            </w:r>
          </w:p>
        </w:tc>
        <w:tc>
          <w:tcPr>
            <w:tcW w:w="499" w:type="pct"/>
            <w:tcBorders>
              <w:top w:val="nil"/>
              <w:left w:val="nil"/>
              <w:bottom w:val="single" w:sz="12" w:space="0" w:color="FFFFFF"/>
              <w:right w:val="single" w:sz="12" w:space="0" w:color="FFFFFF"/>
            </w:tcBorders>
            <w:shd w:val="clear" w:color="000000" w:fill="538ED5"/>
            <w:noWrap/>
            <w:vAlign w:val="center"/>
            <w:hideMark/>
          </w:tcPr>
          <w:p w:rsidR="00FE71FF" w:rsidRPr="00FE71FF" w:rsidRDefault="00FE71FF" w:rsidP="00FE71FF">
            <w:pPr>
              <w:spacing w:after="0" w:line="240" w:lineRule="auto"/>
              <w:jc w:val="center"/>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xml:space="preserve"> Valor </w:t>
            </w:r>
          </w:p>
        </w:tc>
        <w:tc>
          <w:tcPr>
            <w:tcW w:w="274" w:type="pct"/>
            <w:tcBorders>
              <w:top w:val="nil"/>
              <w:left w:val="nil"/>
              <w:bottom w:val="single" w:sz="12" w:space="0" w:color="FFFFFF"/>
              <w:right w:val="single" w:sz="12" w:space="0" w:color="FFFFFF"/>
            </w:tcBorders>
            <w:shd w:val="clear" w:color="000000" w:fill="538ED5"/>
            <w:noWrap/>
            <w:vAlign w:val="center"/>
            <w:hideMark/>
          </w:tcPr>
          <w:p w:rsidR="00FE71FF" w:rsidRPr="00FE71FF" w:rsidRDefault="00FE71FF" w:rsidP="00FE71FF">
            <w:pPr>
              <w:spacing w:after="0" w:line="240" w:lineRule="auto"/>
              <w:jc w:val="center"/>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xml:space="preserve"> % </w:t>
            </w:r>
          </w:p>
        </w:tc>
        <w:tc>
          <w:tcPr>
            <w:tcW w:w="485" w:type="pct"/>
            <w:tcBorders>
              <w:top w:val="single" w:sz="8" w:space="0" w:color="FFFFFF"/>
              <w:left w:val="nil"/>
              <w:bottom w:val="single" w:sz="12" w:space="0" w:color="FFFFFF"/>
              <w:right w:val="single" w:sz="12" w:space="0" w:color="FFFFFF"/>
            </w:tcBorders>
            <w:shd w:val="clear" w:color="000000" w:fill="538ED5"/>
            <w:noWrap/>
            <w:vAlign w:val="center"/>
            <w:hideMark/>
          </w:tcPr>
          <w:p w:rsidR="00FE71FF" w:rsidRPr="00FE71FF" w:rsidRDefault="00FE71FF" w:rsidP="00FE71FF">
            <w:pPr>
              <w:spacing w:after="0" w:line="240" w:lineRule="auto"/>
              <w:jc w:val="center"/>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xml:space="preserve"> Valor </w:t>
            </w:r>
          </w:p>
        </w:tc>
        <w:tc>
          <w:tcPr>
            <w:tcW w:w="263" w:type="pct"/>
            <w:tcBorders>
              <w:top w:val="single" w:sz="8" w:space="0" w:color="FFFFFF"/>
              <w:left w:val="nil"/>
              <w:bottom w:val="single" w:sz="12" w:space="0" w:color="FFFFFF"/>
              <w:right w:val="single" w:sz="12" w:space="0" w:color="FFFFFF"/>
            </w:tcBorders>
            <w:shd w:val="clear" w:color="000000" w:fill="538ED5"/>
            <w:noWrap/>
            <w:vAlign w:val="center"/>
            <w:hideMark/>
          </w:tcPr>
          <w:p w:rsidR="00FE71FF" w:rsidRPr="00FE71FF" w:rsidRDefault="00FE71FF" w:rsidP="00FE71FF">
            <w:pPr>
              <w:spacing w:after="0" w:line="240" w:lineRule="auto"/>
              <w:jc w:val="center"/>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xml:space="preserve"> % </w:t>
            </w:r>
          </w:p>
        </w:tc>
        <w:tc>
          <w:tcPr>
            <w:tcW w:w="483" w:type="pct"/>
            <w:tcBorders>
              <w:top w:val="nil"/>
              <w:left w:val="nil"/>
              <w:bottom w:val="single" w:sz="12" w:space="0" w:color="FFFFFF"/>
              <w:right w:val="single" w:sz="12" w:space="0" w:color="FFFFFF"/>
            </w:tcBorders>
            <w:shd w:val="clear" w:color="000000" w:fill="538ED5"/>
            <w:noWrap/>
            <w:vAlign w:val="center"/>
            <w:hideMark/>
          </w:tcPr>
          <w:p w:rsidR="00FE71FF" w:rsidRPr="00FE71FF" w:rsidRDefault="00FE71FF" w:rsidP="00FE71FF">
            <w:pPr>
              <w:spacing w:after="0" w:line="240" w:lineRule="auto"/>
              <w:jc w:val="center"/>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xml:space="preserve"> Valor </w:t>
            </w:r>
          </w:p>
        </w:tc>
        <w:tc>
          <w:tcPr>
            <w:tcW w:w="263" w:type="pct"/>
            <w:tcBorders>
              <w:top w:val="nil"/>
              <w:left w:val="nil"/>
              <w:bottom w:val="single" w:sz="12" w:space="0" w:color="FFFFFF"/>
              <w:right w:val="single" w:sz="12" w:space="0" w:color="FFFFFF"/>
            </w:tcBorders>
            <w:shd w:val="clear" w:color="000000" w:fill="538ED5"/>
            <w:noWrap/>
            <w:vAlign w:val="center"/>
            <w:hideMark/>
          </w:tcPr>
          <w:p w:rsidR="00FE71FF" w:rsidRPr="00FE71FF" w:rsidRDefault="00FE71FF" w:rsidP="00FE71FF">
            <w:pPr>
              <w:spacing w:after="0" w:line="240" w:lineRule="auto"/>
              <w:jc w:val="center"/>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xml:space="preserve"> % </w:t>
            </w:r>
          </w:p>
        </w:tc>
      </w:tr>
      <w:tr w:rsidR="00FE71FF" w:rsidRPr="00FE71FF" w:rsidTr="00FE71FF">
        <w:trPr>
          <w:gridAfter w:val="1"/>
          <w:wAfter w:w="87" w:type="pct"/>
          <w:trHeight w:val="315"/>
        </w:trPr>
        <w:tc>
          <w:tcPr>
            <w:tcW w:w="1331" w:type="pct"/>
            <w:gridSpan w:val="2"/>
            <w:tcBorders>
              <w:top w:val="single" w:sz="12" w:space="0" w:color="FFFFFF"/>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xml:space="preserve"> DIRECCION DE INGRESO SOCIAL </w:t>
            </w:r>
          </w:p>
        </w:tc>
        <w:tc>
          <w:tcPr>
            <w:tcW w:w="503"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538"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274"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499"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274"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485"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263"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483"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263"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r>
      <w:tr w:rsidR="00FE71FF" w:rsidRPr="00FE71FF" w:rsidTr="00FE71FF">
        <w:trPr>
          <w:gridAfter w:val="1"/>
          <w:wAfter w:w="87" w:type="pct"/>
          <w:trHeight w:val="300"/>
        </w:trPr>
        <w:tc>
          <w:tcPr>
            <w:tcW w:w="81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Familias en Acción </w:t>
            </w:r>
          </w:p>
        </w:tc>
        <w:tc>
          <w:tcPr>
            <w:tcW w:w="518"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1.633.513   </w:t>
            </w:r>
          </w:p>
        </w:tc>
        <w:tc>
          <w:tcPr>
            <w:tcW w:w="50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2.267.072   </w:t>
            </w:r>
          </w:p>
        </w:tc>
        <w:tc>
          <w:tcPr>
            <w:tcW w:w="538"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1.633.105   </w:t>
            </w:r>
          </w:p>
        </w:tc>
        <w:tc>
          <w:tcPr>
            <w:tcW w:w="274"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100%</w:t>
            </w:r>
          </w:p>
        </w:tc>
        <w:tc>
          <w:tcPr>
            <w:tcW w:w="499"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1.577.676   </w:t>
            </w:r>
          </w:p>
        </w:tc>
        <w:tc>
          <w:tcPr>
            <w:tcW w:w="274"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96,6%</w:t>
            </w:r>
          </w:p>
        </w:tc>
        <w:tc>
          <w:tcPr>
            <w:tcW w:w="485"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2.266.063   </w:t>
            </w:r>
          </w:p>
        </w:tc>
        <w:tc>
          <w:tcPr>
            <w:tcW w:w="26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100%</w:t>
            </w:r>
          </w:p>
        </w:tc>
        <w:tc>
          <w:tcPr>
            <w:tcW w:w="48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2.265.856   </w:t>
            </w:r>
          </w:p>
        </w:tc>
        <w:tc>
          <w:tcPr>
            <w:tcW w:w="26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99,9%</w:t>
            </w:r>
          </w:p>
        </w:tc>
      </w:tr>
      <w:tr w:rsidR="00FE71FF" w:rsidRPr="00FE71FF" w:rsidTr="00FE71FF">
        <w:trPr>
          <w:gridAfter w:val="1"/>
          <w:wAfter w:w="87" w:type="pct"/>
          <w:trHeight w:val="300"/>
        </w:trPr>
        <w:tc>
          <w:tcPr>
            <w:tcW w:w="81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Ingreso pa la Prosperidad </w:t>
            </w:r>
          </w:p>
        </w:tc>
        <w:tc>
          <w:tcPr>
            <w:tcW w:w="518"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13.907   </w:t>
            </w:r>
          </w:p>
        </w:tc>
        <w:tc>
          <w:tcPr>
            <w:tcW w:w="50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14.245   </w:t>
            </w:r>
          </w:p>
        </w:tc>
        <w:tc>
          <w:tcPr>
            <w:tcW w:w="538"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12.041   </w:t>
            </w:r>
          </w:p>
        </w:tc>
        <w:tc>
          <w:tcPr>
            <w:tcW w:w="274"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86,6%</w:t>
            </w:r>
          </w:p>
        </w:tc>
        <w:tc>
          <w:tcPr>
            <w:tcW w:w="499"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11.478   </w:t>
            </w:r>
          </w:p>
        </w:tc>
        <w:tc>
          <w:tcPr>
            <w:tcW w:w="274"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82,5%</w:t>
            </w:r>
          </w:p>
        </w:tc>
        <w:tc>
          <w:tcPr>
            <w:tcW w:w="485"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13.990   </w:t>
            </w:r>
          </w:p>
        </w:tc>
        <w:tc>
          <w:tcPr>
            <w:tcW w:w="26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98%</w:t>
            </w:r>
          </w:p>
        </w:tc>
        <w:tc>
          <w:tcPr>
            <w:tcW w:w="48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13.862   </w:t>
            </w:r>
          </w:p>
        </w:tc>
        <w:tc>
          <w:tcPr>
            <w:tcW w:w="26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97,3%</w:t>
            </w:r>
          </w:p>
        </w:tc>
      </w:tr>
      <w:tr w:rsidR="00FE71FF" w:rsidRPr="00FE71FF" w:rsidTr="00FE71FF">
        <w:trPr>
          <w:gridAfter w:val="1"/>
          <w:wAfter w:w="87" w:type="pct"/>
          <w:trHeight w:val="300"/>
        </w:trPr>
        <w:tc>
          <w:tcPr>
            <w:tcW w:w="81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 xml:space="preserve"> TOTAL </w:t>
            </w:r>
          </w:p>
        </w:tc>
        <w:tc>
          <w:tcPr>
            <w:tcW w:w="518"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 xml:space="preserve">        1.647.420   </w:t>
            </w:r>
          </w:p>
        </w:tc>
        <w:tc>
          <w:tcPr>
            <w:tcW w:w="50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 xml:space="preserve">        2.281.317   </w:t>
            </w:r>
          </w:p>
        </w:tc>
        <w:tc>
          <w:tcPr>
            <w:tcW w:w="538"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 xml:space="preserve">          1.645.146   </w:t>
            </w:r>
          </w:p>
        </w:tc>
        <w:tc>
          <w:tcPr>
            <w:tcW w:w="274"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99,9%</w:t>
            </w:r>
          </w:p>
        </w:tc>
        <w:tc>
          <w:tcPr>
            <w:tcW w:w="499"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 xml:space="preserve">       1.589.154   </w:t>
            </w:r>
          </w:p>
        </w:tc>
        <w:tc>
          <w:tcPr>
            <w:tcW w:w="274"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96,5%</w:t>
            </w:r>
          </w:p>
        </w:tc>
        <w:tc>
          <w:tcPr>
            <w:tcW w:w="485"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 xml:space="preserve">       2.280.053   </w:t>
            </w:r>
          </w:p>
        </w:tc>
        <w:tc>
          <w:tcPr>
            <w:tcW w:w="26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100%</w:t>
            </w:r>
          </w:p>
        </w:tc>
        <w:tc>
          <w:tcPr>
            <w:tcW w:w="48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 xml:space="preserve">      2.279.718   </w:t>
            </w:r>
          </w:p>
        </w:tc>
        <w:tc>
          <w:tcPr>
            <w:tcW w:w="26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99,9%</w:t>
            </w:r>
          </w:p>
        </w:tc>
      </w:tr>
      <w:tr w:rsidR="00FE71FF" w:rsidRPr="00FE71FF" w:rsidTr="00FE71FF">
        <w:trPr>
          <w:gridAfter w:val="1"/>
          <w:wAfter w:w="87" w:type="pct"/>
          <w:trHeight w:val="300"/>
        </w:trPr>
        <w:tc>
          <w:tcPr>
            <w:tcW w:w="1331" w:type="pct"/>
            <w:gridSpan w:val="2"/>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xml:space="preserve"> DIRECCION DE PROGRAMAS ESPECIALES </w:t>
            </w:r>
          </w:p>
        </w:tc>
        <w:tc>
          <w:tcPr>
            <w:tcW w:w="503"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538"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274"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499"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274"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485"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263"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483"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263"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r>
      <w:tr w:rsidR="00FE71FF" w:rsidRPr="00FE71FF" w:rsidTr="00FE71FF">
        <w:trPr>
          <w:gridAfter w:val="1"/>
          <w:wAfter w:w="87" w:type="pct"/>
          <w:trHeight w:val="300"/>
        </w:trPr>
        <w:tc>
          <w:tcPr>
            <w:tcW w:w="81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Infraestructura </w:t>
            </w:r>
          </w:p>
        </w:tc>
        <w:tc>
          <w:tcPr>
            <w:tcW w:w="518"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439.582   </w:t>
            </w:r>
          </w:p>
        </w:tc>
        <w:tc>
          <w:tcPr>
            <w:tcW w:w="50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473.781   </w:t>
            </w:r>
          </w:p>
        </w:tc>
        <w:tc>
          <w:tcPr>
            <w:tcW w:w="538"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428.665   </w:t>
            </w:r>
          </w:p>
        </w:tc>
        <w:tc>
          <w:tcPr>
            <w:tcW w:w="274"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98%</w:t>
            </w:r>
          </w:p>
        </w:tc>
        <w:tc>
          <w:tcPr>
            <w:tcW w:w="499"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168.870   </w:t>
            </w:r>
          </w:p>
        </w:tc>
        <w:tc>
          <w:tcPr>
            <w:tcW w:w="274"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38,4%</w:t>
            </w:r>
          </w:p>
        </w:tc>
        <w:tc>
          <w:tcPr>
            <w:tcW w:w="485"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444.434   </w:t>
            </w:r>
          </w:p>
        </w:tc>
        <w:tc>
          <w:tcPr>
            <w:tcW w:w="26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93,8%</w:t>
            </w:r>
          </w:p>
        </w:tc>
        <w:tc>
          <w:tcPr>
            <w:tcW w:w="48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19.815   </w:t>
            </w:r>
          </w:p>
        </w:tc>
        <w:tc>
          <w:tcPr>
            <w:tcW w:w="26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4,2%</w:t>
            </w:r>
          </w:p>
        </w:tc>
      </w:tr>
      <w:tr w:rsidR="00FE71FF" w:rsidRPr="00FE71FF" w:rsidTr="00FE71FF">
        <w:trPr>
          <w:gridAfter w:val="1"/>
          <w:wAfter w:w="87" w:type="pct"/>
          <w:trHeight w:val="300"/>
        </w:trPr>
        <w:tc>
          <w:tcPr>
            <w:tcW w:w="81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Familias en su Tierra </w:t>
            </w:r>
          </w:p>
        </w:tc>
        <w:tc>
          <w:tcPr>
            <w:tcW w:w="518"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92.408   </w:t>
            </w:r>
          </w:p>
        </w:tc>
        <w:tc>
          <w:tcPr>
            <w:tcW w:w="50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92.408   </w:t>
            </w:r>
          </w:p>
        </w:tc>
        <w:tc>
          <w:tcPr>
            <w:tcW w:w="538"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88.249   </w:t>
            </w:r>
          </w:p>
        </w:tc>
        <w:tc>
          <w:tcPr>
            <w:tcW w:w="274"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95,5%</w:t>
            </w:r>
          </w:p>
        </w:tc>
        <w:tc>
          <w:tcPr>
            <w:tcW w:w="499"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79.761   </w:t>
            </w:r>
          </w:p>
        </w:tc>
        <w:tc>
          <w:tcPr>
            <w:tcW w:w="274"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86,3%</w:t>
            </w:r>
          </w:p>
        </w:tc>
        <w:tc>
          <w:tcPr>
            <w:tcW w:w="485"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91.377   </w:t>
            </w:r>
          </w:p>
        </w:tc>
        <w:tc>
          <w:tcPr>
            <w:tcW w:w="26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98,9%</w:t>
            </w:r>
          </w:p>
        </w:tc>
        <w:tc>
          <w:tcPr>
            <w:tcW w:w="48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86.435   </w:t>
            </w:r>
          </w:p>
        </w:tc>
        <w:tc>
          <w:tcPr>
            <w:tcW w:w="26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93,5%</w:t>
            </w:r>
          </w:p>
        </w:tc>
      </w:tr>
      <w:tr w:rsidR="00FE71FF" w:rsidRPr="00FE71FF" w:rsidTr="00FE71FF">
        <w:trPr>
          <w:gridAfter w:val="1"/>
          <w:wAfter w:w="87" w:type="pct"/>
          <w:trHeight w:val="300"/>
        </w:trPr>
        <w:tc>
          <w:tcPr>
            <w:tcW w:w="81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Paz y Dllo </w:t>
            </w:r>
          </w:p>
        </w:tc>
        <w:tc>
          <w:tcPr>
            <w:tcW w:w="518"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50.864   </w:t>
            </w:r>
          </w:p>
        </w:tc>
        <w:tc>
          <w:tcPr>
            <w:tcW w:w="50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35.718   </w:t>
            </w:r>
          </w:p>
        </w:tc>
        <w:tc>
          <w:tcPr>
            <w:tcW w:w="538"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29.887   </w:t>
            </w:r>
          </w:p>
        </w:tc>
        <w:tc>
          <w:tcPr>
            <w:tcW w:w="274"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58,8%</w:t>
            </w:r>
          </w:p>
        </w:tc>
        <w:tc>
          <w:tcPr>
            <w:tcW w:w="499"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7.928   </w:t>
            </w:r>
          </w:p>
        </w:tc>
        <w:tc>
          <w:tcPr>
            <w:tcW w:w="274"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15,6%</w:t>
            </w:r>
          </w:p>
        </w:tc>
        <w:tc>
          <w:tcPr>
            <w:tcW w:w="485"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20.579   </w:t>
            </w:r>
          </w:p>
        </w:tc>
        <w:tc>
          <w:tcPr>
            <w:tcW w:w="26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57,6%</w:t>
            </w:r>
          </w:p>
        </w:tc>
        <w:tc>
          <w:tcPr>
            <w:tcW w:w="48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10.496   </w:t>
            </w:r>
          </w:p>
        </w:tc>
        <w:tc>
          <w:tcPr>
            <w:tcW w:w="26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29,4%</w:t>
            </w:r>
          </w:p>
        </w:tc>
      </w:tr>
      <w:tr w:rsidR="00FE71FF" w:rsidRPr="00FE71FF" w:rsidTr="00FE71FF">
        <w:trPr>
          <w:gridAfter w:val="1"/>
          <w:wAfter w:w="87" w:type="pct"/>
          <w:trHeight w:val="300"/>
        </w:trPr>
        <w:tc>
          <w:tcPr>
            <w:tcW w:w="81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RESA </w:t>
            </w:r>
          </w:p>
        </w:tc>
        <w:tc>
          <w:tcPr>
            <w:tcW w:w="518"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49.177   </w:t>
            </w:r>
          </w:p>
        </w:tc>
        <w:tc>
          <w:tcPr>
            <w:tcW w:w="50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90.000   </w:t>
            </w:r>
          </w:p>
        </w:tc>
        <w:tc>
          <w:tcPr>
            <w:tcW w:w="538"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48.483   </w:t>
            </w:r>
          </w:p>
        </w:tc>
        <w:tc>
          <w:tcPr>
            <w:tcW w:w="274"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98,6%</w:t>
            </w:r>
          </w:p>
        </w:tc>
        <w:tc>
          <w:tcPr>
            <w:tcW w:w="499"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31.266   </w:t>
            </w:r>
          </w:p>
        </w:tc>
        <w:tc>
          <w:tcPr>
            <w:tcW w:w="274"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63,6%</w:t>
            </w:r>
          </w:p>
        </w:tc>
        <w:tc>
          <w:tcPr>
            <w:tcW w:w="485"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83.601   </w:t>
            </w:r>
          </w:p>
        </w:tc>
        <w:tc>
          <w:tcPr>
            <w:tcW w:w="26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92,9%</w:t>
            </w:r>
          </w:p>
        </w:tc>
        <w:tc>
          <w:tcPr>
            <w:tcW w:w="48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50.547   </w:t>
            </w:r>
          </w:p>
        </w:tc>
        <w:tc>
          <w:tcPr>
            <w:tcW w:w="26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56,2%</w:t>
            </w:r>
          </w:p>
        </w:tc>
      </w:tr>
      <w:tr w:rsidR="00FE71FF" w:rsidRPr="00FE71FF" w:rsidTr="00FE71FF">
        <w:trPr>
          <w:gridAfter w:val="1"/>
          <w:wAfter w:w="87" w:type="pct"/>
          <w:trHeight w:val="300"/>
        </w:trPr>
        <w:tc>
          <w:tcPr>
            <w:tcW w:w="81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Música para la Reconciliación </w:t>
            </w:r>
          </w:p>
        </w:tc>
        <w:tc>
          <w:tcPr>
            <w:tcW w:w="518"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14.749   </w:t>
            </w:r>
          </w:p>
        </w:tc>
        <w:tc>
          <w:tcPr>
            <w:tcW w:w="50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13.996   </w:t>
            </w:r>
          </w:p>
        </w:tc>
        <w:tc>
          <w:tcPr>
            <w:tcW w:w="538"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14.749   </w:t>
            </w:r>
          </w:p>
        </w:tc>
        <w:tc>
          <w:tcPr>
            <w:tcW w:w="274"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100%</w:t>
            </w:r>
          </w:p>
        </w:tc>
        <w:tc>
          <w:tcPr>
            <w:tcW w:w="499"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14.718   </w:t>
            </w:r>
          </w:p>
        </w:tc>
        <w:tc>
          <w:tcPr>
            <w:tcW w:w="274"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99,8%</w:t>
            </w:r>
          </w:p>
        </w:tc>
        <w:tc>
          <w:tcPr>
            <w:tcW w:w="485"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13.910   </w:t>
            </w:r>
          </w:p>
        </w:tc>
        <w:tc>
          <w:tcPr>
            <w:tcW w:w="26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99,4%</w:t>
            </w:r>
          </w:p>
        </w:tc>
        <w:tc>
          <w:tcPr>
            <w:tcW w:w="48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13.910   </w:t>
            </w:r>
          </w:p>
        </w:tc>
        <w:tc>
          <w:tcPr>
            <w:tcW w:w="26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99,4%</w:t>
            </w:r>
          </w:p>
        </w:tc>
      </w:tr>
      <w:tr w:rsidR="00FE71FF" w:rsidRPr="00FE71FF" w:rsidTr="00FE71FF">
        <w:trPr>
          <w:gridAfter w:val="1"/>
          <w:wAfter w:w="87" w:type="pct"/>
          <w:trHeight w:val="300"/>
        </w:trPr>
        <w:tc>
          <w:tcPr>
            <w:tcW w:w="81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OPSR </w:t>
            </w:r>
          </w:p>
        </w:tc>
        <w:tc>
          <w:tcPr>
            <w:tcW w:w="518"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7.000   </w:t>
            </w:r>
          </w:p>
        </w:tc>
        <w:tc>
          <w:tcPr>
            <w:tcW w:w="50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7.000   </w:t>
            </w:r>
          </w:p>
        </w:tc>
        <w:tc>
          <w:tcPr>
            <w:tcW w:w="538"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7.000   </w:t>
            </w:r>
          </w:p>
        </w:tc>
        <w:tc>
          <w:tcPr>
            <w:tcW w:w="274"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100%</w:t>
            </w:r>
          </w:p>
        </w:tc>
        <w:tc>
          <w:tcPr>
            <w:tcW w:w="499"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7.000   </w:t>
            </w:r>
          </w:p>
        </w:tc>
        <w:tc>
          <w:tcPr>
            <w:tcW w:w="274"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100%</w:t>
            </w:r>
          </w:p>
        </w:tc>
        <w:tc>
          <w:tcPr>
            <w:tcW w:w="485"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7.000   </w:t>
            </w:r>
          </w:p>
        </w:tc>
        <w:tc>
          <w:tcPr>
            <w:tcW w:w="26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100%</w:t>
            </w:r>
          </w:p>
        </w:tc>
        <w:tc>
          <w:tcPr>
            <w:tcW w:w="48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7.000   </w:t>
            </w:r>
          </w:p>
        </w:tc>
        <w:tc>
          <w:tcPr>
            <w:tcW w:w="26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100%</w:t>
            </w:r>
          </w:p>
        </w:tc>
      </w:tr>
      <w:tr w:rsidR="00FE71FF" w:rsidRPr="00FE71FF" w:rsidTr="00FE71FF">
        <w:trPr>
          <w:gridAfter w:val="1"/>
          <w:wAfter w:w="87" w:type="pct"/>
          <w:trHeight w:val="300"/>
        </w:trPr>
        <w:tc>
          <w:tcPr>
            <w:tcW w:w="81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Pueblos Indígenas </w:t>
            </w:r>
          </w:p>
        </w:tc>
        <w:tc>
          <w:tcPr>
            <w:tcW w:w="518"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9.600   </w:t>
            </w:r>
          </w:p>
        </w:tc>
        <w:tc>
          <w:tcPr>
            <w:tcW w:w="50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3.940   </w:t>
            </w:r>
          </w:p>
        </w:tc>
        <w:tc>
          <w:tcPr>
            <w:tcW w:w="538"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8.534   </w:t>
            </w:r>
          </w:p>
        </w:tc>
        <w:tc>
          <w:tcPr>
            <w:tcW w:w="274"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88,9%</w:t>
            </w:r>
          </w:p>
        </w:tc>
        <w:tc>
          <w:tcPr>
            <w:tcW w:w="499"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1.672   </w:t>
            </w:r>
          </w:p>
        </w:tc>
        <w:tc>
          <w:tcPr>
            <w:tcW w:w="274"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17,4%</w:t>
            </w:r>
          </w:p>
        </w:tc>
        <w:tc>
          <w:tcPr>
            <w:tcW w:w="485"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2.449   </w:t>
            </w:r>
          </w:p>
        </w:tc>
        <w:tc>
          <w:tcPr>
            <w:tcW w:w="26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62,2%</w:t>
            </w:r>
          </w:p>
        </w:tc>
        <w:tc>
          <w:tcPr>
            <w:tcW w:w="48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1.854   </w:t>
            </w:r>
          </w:p>
        </w:tc>
        <w:tc>
          <w:tcPr>
            <w:tcW w:w="26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47,1%</w:t>
            </w:r>
          </w:p>
        </w:tc>
      </w:tr>
      <w:tr w:rsidR="00FE71FF" w:rsidRPr="00FE71FF" w:rsidTr="00FE71FF">
        <w:trPr>
          <w:gridAfter w:val="1"/>
          <w:wAfter w:w="87" w:type="pct"/>
          <w:trHeight w:val="300"/>
        </w:trPr>
        <w:tc>
          <w:tcPr>
            <w:tcW w:w="81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Legión del Afecto </w:t>
            </w:r>
          </w:p>
        </w:tc>
        <w:tc>
          <w:tcPr>
            <w:tcW w:w="518"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5.000   </w:t>
            </w:r>
          </w:p>
        </w:tc>
        <w:tc>
          <w:tcPr>
            <w:tcW w:w="50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1.700   </w:t>
            </w:r>
          </w:p>
        </w:tc>
        <w:tc>
          <w:tcPr>
            <w:tcW w:w="538"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4.258   </w:t>
            </w:r>
          </w:p>
        </w:tc>
        <w:tc>
          <w:tcPr>
            <w:tcW w:w="274"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85,2%</w:t>
            </w:r>
          </w:p>
        </w:tc>
        <w:tc>
          <w:tcPr>
            <w:tcW w:w="499"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2.009   </w:t>
            </w:r>
          </w:p>
        </w:tc>
        <w:tc>
          <w:tcPr>
            <w:tcW w:w="274"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40,2%</w:t>
            </w:r>
          </w:p>
        </w:tc>
        <w:tc>
          <w:tcPr>
            <w:tcW w:w="485"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     </w:t>
            </w:r>
          </w:p>
        </w:tc>
        <w:tc>
          <w:tcPr>
            <w:tcW w:w="26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0,0%</w:t>
            </w:r>
          </w:p>
        </w:tc>
        <w:tc>
          <w:tcPr>
            <w:tcW w:w="48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     </w:t>
            </w:r>
          </w:p>
        </w:tc>
        <w:tc>
          <w:tcPr>
            <w:tcW w:w="26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0,0%</w:t>
            </w:r>
          </w:p>
        </w:tc>
      </w:tr>
      <w:tr w:rsidR="00FE71FF" w:rsidRPr="00FE71FF" w:rsidTr="00FE71FF">
        <w:trPr>
          <w:gridAfter w:val="1"/>
          <w:wAfter w:w="87" w:type="pct"/>
          <w:trHeight w:val="300"/>
        </w:trPr>
        <w:tc>
          <w:tcPr>
            <w:tcW w:w="81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 xml:space="preserve"> TOTAL </w:t>
            </w:r>
          </w:p>
        </w:tc>
        <w:tc>
          <w:tcPr>
            <w:tcW w:w="518"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 xml:space="preserve">            668.381   </w:t>
            </w:r>
          </w:p>
        </w:tc>
        <w:tc>
          <w:tcPr>
            <w:tcW w:w="50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 xml:space="preserve">           718.543   </w:t>
            </w:r>
          </w:p>
        </w:tc>
        <w:tc>
          <w:tcPr>
            <w:tcW w:w="538"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 xml:space="preserve">             629.825   </w:t>
            </w:r>
          </w:p>
        </w:tc>
        <w:tc>
          <w:tcPr>
            <w:tcW w:w="274"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94,2%</w:t>
            </w:r>
          </w:p>
        </w:tc>
        <w:tc>
          <w:tcPr>
            <w:tcW w:w="499"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 xml:space="preserve">           313.224   </w:t>
            </w:r>
          </w:p>
        </w:tc>
        <w:tc>
          <w:tcPr>
            <w:tcW w:w="274"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46,9%</w:t>
            </w:r>
          </w:p>
        </w:tc>
        <w:tc>
          <w:tcPr>
            <w:tcW w:w="485"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 xml:space="preserve">          663.351   </w:t>
            </w:r>
          </w:p>
        </w:tc>
        <w:tc>
          <w:tcPr>
            <w:tcW w:w="26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92,3%</w:t>
            </w:r>
          </w:p>
        </w:tc>
        <w:tc>
          <w:tcPr>
            <w:tcW w:w="48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 xml:space="preserve">          190.057   </w:t>
            </w:r>
          </w:p>
        </w:tc>
        <w:tc>
          <w:tcPr>
            <w:tcW w:w="26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26,5%</w:t>
            </w:r>
          </w:p>
        </w:tc>
      </w:tr>
      <w:tr w:rsidR="00FE71FF" w:rsidRPr="00FE71FF" w:rsidTr="00FE71FF">
        <w:trPr>
          <w:trHeight w:val="300"/>
        </w:trPr>
        <w:tc>
          <w:tcPr>
            <w:tcW w:w="2372" w:type="pct"/>
            <w:gridSpan w:val="4"/>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xml:space="preserve"> DIRECCION DE INCLUSION PRODUCTIVA Y SOSTENIBILIDAD </w:t>
            </w:r>
          </w:p>
        </w:tc>
        <w:tc>
          <w:tcPr>
            <w:tcW w:w="274"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499"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274"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485"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263"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483"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263"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87"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r>
      <w:tr w:rsidR="00FE71FF" w:rsidRPr="00FE71FF" w:rsidTr="00FE71FF">
        <w:trPr>
          <w:trHeight w:val="300"/>
        </w:trPr>
        <w:tc>
          <w:tcPr>
            <w:tcW w:w="81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Generación de Ingresos  </w:t>
            </w:r>
          </w:p>
        </w:tc>
        <w:tc>
          <w:tcPr>
            <w:tcW w:w="518"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207.632   </w:t>
            </w:r>
          </w:p>
        </w:tc>
        <w:tc>
          <w:tcPr>
            <w:tcW w:w="50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119.878   </w:t>
            </w:r>
          </w:p>
        </w:tc>
        <w:tc>
          <w:tcPr>
            <w:tcW w:w="538"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189.922   </w:t>
            </w:r>
          </w:p>
        </w:tc>
        <w:tc>
          <w:tcPr>
            <w:tcW w:w="274"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91,5%</w:t>
            </w:r>
          </w:p>
        </w:tc>
        <w:tc>
          <w:tcPr>
            <w:tcW w:w="499"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169.825   </w:t>
            </w:r>
          </w:p>
        </w:tc>
        <w:tc>
          <w:tcPr>
            <w:tcW w:w="274"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81,8%</w:t>
            </w:r>
          </w:p>
        </w:tc>
        <w:tc>
          <w:tcPr>
            <w:tcW w:w="485"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113.731   </w:t>
            </w:r>
          </w:p>
        </w:tc>
        <w:tc>
          <w:tcPr>
            <w:tcW w:w="26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94,9%</w:t>
            </w:r>
          </w:p>
        </w:tc>
        <w:tc>
          <w:tcPr>
            <w:tcW w:w="48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111.626   </w:t>
            </w:r>
          </w:p>
        </w:tc>
        <w:tc>
          <w:tcPr>
            <w:tcW w:w="26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93,1%</w:t>
            </w:r>
          </w:p>
        </w:tc>
        <w:tc>
          <w:tcPr>
            <w:tcW w:w="87" w:type="pct"/>
            <w:vAlign w:val="center"/>
            <w:hideMark/>
          </w:tcPr>
          <w:p w:rsidR="00FE71FF" w:rsidRPr="00FE71FF" w:rsidRDefault="00FE71FF" w:rsidP="00FE71FF">
            <w:pPr>
              <w:spacing w:after="0" w:line="240" w:lineRule="auto"/>
              <w:rPr>
                <w:rFonts w:ascii="Times New Roman" w:eastAsia="Times New Roman" w:hAnsi="Times New Roman" w:cs="Times New Roman"/>
                <w:sz w:val="14"/>
                <w:szCs w:val="20"/>
                <w:lang w:eastAsia="es-CO"/>
              </w:rPr>
            </w:pPr>
          </w:p>
        </w:tc>
      </w:tr>
      <w:tr w:rsidR="00FE71FF" w:rsidRPr="00FE71FF" w:rsidTr="00FE71FF">
        <w:trPr>
          <w:trHeight w:val="300"/>
        </w:trPr>
        <w:tc>
          <w:tcPr>
            <w:tcW w:w="81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Enfoque Diferencial </w:t>
            </w:r>
          </w:p>
        </w:tc>
        <w:tc>
          <w:tcPr>
            <w:tcW w:w="518"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15.000   </w:t>
            </w:r>
          </w:p>
        </w:tc>
        <w:tc>
          <w:tcPr>
            <w:tcW w:w="50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6.604   </w:t>
            </w:r>
          </w:p>
        </w:tc>
        <w:tc>
          <w:tcPr>
            <w:tcW w:w="538"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15.000   </w:t>
            </w:r>
          </w:p>
        </w:tc>
        <w:tc>
          <w:tcPr>
            <w:tcW w:w="274"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100,0%</w:t>
            </w:r>
          </w:p>
        </w:tc>
        <w:tc>
          <w:tcPr>
            <w:tcW w:w="499"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15.000   </w:t>
            </w:r>
          </w:p>
        </w:tc>
        <w:tc>
          <w:tcPr>
            <w:tcW w:w="274"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100,0%</w:t>
            </w:r>
          </w:p>
        </w:tc>
        <w:tc>
          <w:tcPr>
            <w:tcW w:w="485"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6.604   </w:t>
            </w:r>
          </w:p>
        </w:tc>
        <w:tc>
          <w:tcPr>
            <w:tcW w:w="26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100%</w:t>
            </w:r>
          </w:p>
        </w:tc>
        <w:tc>
          <w:tcPr>
            <w:tcW w:w="48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6.604   </w:t>
            </w:r>
          </w:p>
        </w:tc>
        <w:tc>
          <w:tcPr>
            <w:tcW w:w="26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100%</w:t>
            </w:r>
          </w:p>
        </w:tc>
        <w:tc>
          <w:tcPr>
            <w:tcW w:w="87" w:type="pct"/>
            <w:vAlign w:val="center"/>
            <w:hideMark/>
          </w:tcPr>
          <w:p w:rsidR="00FE71FF" w:rsidRPr="00FE71FF" w:rsidRDefault="00FE71FF" w:rsidP="00FE71FF">
            <w:pPr>
              <w:spacing w:after="0" w:line="240" w:lineRule="auto"/>
              <w:rPr>
                <w:rFonts w:ascii="Times New Roman" w:eastAsia="Times New Roman" w:hAnsi="Times New Roman" w:cs="Times New Roman"/>
                <w:sz w:val="14"/>
                <w:szCs w:val="20"/>
                <w:lang w:eastAsia="es-CO"/>
              </w:rPr>
            </w:pPr>
          </w:p>
        </w:tc>
      </w:tr>
      <w:tr w:rsidR="00FE71FF" w:rsidRPr="00FE71FF" w:rsidTr="00FE71FF">
        <w:trPr>
          <w:trHeight w:val="300"/>
        </w:trPr>
        <w:tc>
          <w:tcPr>
            <w:tcW w:w="81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Empleo Temporal  </w:t>
            </w:r>
          </w:p>
        </w:tc>
        <w:tc>
          <w:tcPr>
            <w:tcW w:w="518"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w:t>
            </w:r>
          </w:p>
        </w:tc>
        <w:tc>
          <w:tcPr>
            <w:tcW w:w="50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14.285   </w:t>
            </w:r>
          </w:p>
        </w:tc>
        <w:tc>
          <w:tcPr>
            <w:tcW w:w="538"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w:t>
            </w:r>
          </w:p>
        </w:tc>
        <w:tc>
          <w:tcPr>
            <w:tcW w:w="274"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w:t>
            </w:r>
          </w:p>
        </w:tc>
        <w:tc>
          <w:tcPr>
            <w:tcW w:w="499"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w:t>
            </w:r>
          </w:p>
        </w:tc>
        <w:tc>
          <w:tcPr>
            <w:tcW w:w="274"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w:t>
            </w:r>
          </w:p>
        </w:tc>
        <w:tc>
          <w:tcPr>
            <w:tcW w:w="485"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13.088   </w:t>
            </w:r>
          </w:p>
        </w:tc>
        <w:tc>
          <w:tcPr>
            <w:tcW w:w="26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91,6%</w:t>
            </w:r>
          </w:p>
        </w:tc>
        <w:tc>
          <w:tcPr>
            <w:tcW w:w="48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12.484   </w:t>
            </w:r>
          </w:p>
        </w:tc>
        <w:tc>
          <w:tcPr>
            <w:tcW w:w="26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87,4%</w:t>
            </w:r>
          </w:p>
        </w:tc>
        <w:tc>
          <w:tcPr>
            <w:tcW w:w="87" w:type="pct"/>
            <w:vAlign w:val="center"/>
            <w:hideMark/>
          </w:tcPr>
          <w:p w:rsidR="00FE71FF" w:rsidRPr="00FE71FF" w:rsidRDefault="00FE71FF" w:rsidP="00FE71FF">
            <w:pPr>
              <w:spacing w:after="0" w:line="240" w:lineRule="auto"/>
              <w:rPr>
                <w:rFonts w:ascii="Times New Roman" w:eastAsia="Times New Roman" w:hAnsi="Times New Roman" w:cs="Times New Roman"/>
                <w:sz w:val="14"/>
                <w:szCs w:val="20"/>
                <w:lang w:eastAsia="es-CO"/>
              </w:rPr>
            </w:pPr>
          </w:p>
        </w:tc>
      </w:tr>
      <w:tr w:rsidR="00FE71FF" w:rsidRPr="00FE71FF" w:rsidTr="00FE71FF">
        <w:trPr>
          <w:trHeight w:val="300"/>
        </w:trPr>
        <w:tc>
          <w:tcPr>
            <w:tcW w:w="81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Sostenibilidad </w:t>
            </w:r>
          </w:p>
        </w:tc>
        <w:tc>
          <w:tcPr>
            <w:tcW w:w="518"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w:t>
            </w:r>
          </w:p>
        </w:tc>
        <w:tc>
          <w:tcPr>
            <w:tcW w:w="50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3.736   </w:t>
            </w:r>
          </w:p>
        </w:tc>
        <w:tc>
          <w:tcPr>
            <w:tcW w:w="538"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w:t>
            </w:r>
          </w:p>
        </w:tc>
        <w:tc>
          <w:tcPr>
            <w:tcW w:w="274"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w:t>
            </w:r>
          </w:p>
        </w:tc>
        <w:tc>
          <w:tcPr>
            <w:tcW w:w="499"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w:t>
            </w:r>
          </w:p>
        </w:tc>
        <w:tc>
          <w:tcPr>
            <w:tcW w:w="274"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w:t>
            </w:r>
          </w:p>
        </w:tc>
        <w:tc>
          <w:tcPr>
            <w:tcW w:w="485"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3.736   </w:t>
            </w:r>
          </w:p>
        </w:tc>
        <w:tc>
          <w:tcPr>
            <w:tcW w:w="26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100%</w:t>
            </w:r>
          </w:p>
        </w:tc>
        <w:tc>
          <w:tcPr>
            <w:tcW w:w="48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3.736   </w:t>
            </w:r>
          </w:p>
        </w:tc>
        <w:tc>
          <w:tcPr>
            <w:tcW w:w="26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100%</w:t>
            </w:r>
          </w:p>
        </w:tc>
        <w:tc>
          <w:tcPr>
            <w:tcW w:w="87" w:type="pct"/>
            <w:vAlign w:val="center"/>
            <w:hideMark/>
          </w:tcPr>
          <w:p w:rsidR="00FE71FF" w:rsidRPr="00FE71FF" w:rsidRDefault="00FE71FF" w:rsidP="00FE71FF">
            <w:pPr>
              <w:spacing w:after="0" w:line="240" w:lineRule="auto"/>
              <w:rPr>
                <w:rFonts w:ascii="Times New Roman" w:eastAsia="Times New Roman" w:hAnsi="Times New Roman" w:cs="Times New Roman"/>
                <w:sz w:val="14"/>
                <w:szCs w:val="20"/>
                <w:lang w:eastAsia="es-CO"/>
              </w:rPr>
            </w:pPr>
          </w:p>
        </w:tc>
      </w:tr>
      <w:tr w:rsidR="00FE71FF" w:rsidRPr="00FE71FF" w:rsidTr="00FE71FF">
        <w:trPr>
          <w:trHeight w:val="300"/>
        </w:trPr>
        <w:tc>
          <w:tcPr>
            <w:tcW w:w="81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Activos </w:t>
            </w:r>
          </w:p>
        </w:tc>
        <w:tc>
          <w:tcPr>
            <w:tcW w:w="518"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w:t>
            </w:r>
          </w:p>
        </w:tc>
        <w:tc>
          <w:tcPr>
            <w:tcW w:w="50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120   </w:t>
            </w:r>
          </w:p>
        </w:tc>
        <w:tc>
          <w:tcPr>
            <w:tcW w:w="538" w:type="pct"/>
            <w:tcBorders>
              <w:top w:val="nil"/>
              <w:left w:val="nil"/>
              <w:bottom w:val="nil"/>
              <w:right w:val="nil"/>
            </w:tcBorders>
            <w:shd w:val="clear" w:color="auto" w:fill="auto"/>
            <w:noWrap/>
            <w:vAlign w:val="bottom"/>
            <w:hideMark/>
          </w:tcPr>
          <w:p w:rsidR="00FE71FF" w:rsidRPr="00FE71FF" w:rsidRDefault="00FE71FF" w:rsidP="00FE71FF">
            <w:pPr>
              <w:spacing w:after="0" w:line="240" w:lineRule="auto"/>
              <w:rPr>
                <w:rFonts w:ascii="Calibri" w:eastAsia="Times New Roman" w:hAnsi="Calibri" w:cs="Times New Roman"/>
                <w:color w:val="000000"/>
                <w:sz w:val="14"/>
                <w:lang w:eastAsia="es-CO"/>
              </w:rPr>
            </w:pPr>
          </w:p>
        </w:tc>
        <w:tc>
          <w:tcPr>
            <w:tcW w:w="274"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w:t>
            </w:r>
          </w:p>
        </w:tc>
        <w:tc>
          <w:tcPr>
            <w:tcW w:w="499"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w:t>
            </w:r>
          </w:p>
        </w:tc>
        <w:tc>
          <w:tcPr>
            <w:tcW w:w="274"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w:t>
            </w:r>
          </w:p>
        </w:tc>
        <w:tc>
          <w:tcPr>
            <w:tcW w:w="485"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120   </w:t>
            </w:r>
          </w:p>
        </w:tc>
        <w:tc>
          <w:tcPr>
            <w:tcW w:w="26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100%</w:t>
            </w:r>
          </w:p>
        </w:tc>
        <w:tc>
          <w:tcPr>
            <w:tcW w:w="48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67   </w:t>
            </w:r>
          </w:p>
        </w:tc>
        <w:tc>
          <w:tcPr>
            <w:tcW w:w="26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55,8%</w:t>
            </w:r>
          </w:p>
        </w:tc>
        <w:tc>
          <w:tcPr>
            <w:tcW w:w="87" w:type="pct"/>
            <w:vAlign w:val="center"/>
            <w:hideMark/>
          </w:tcPr>
          <w:p w:rsidR="00FE71FF" w:rsidRPr="00FE71FF" w:rsidRDefault="00FE71FF" w:rsidP="00FE71FF">
            <w:pPr>
              <w:spacing w:after="0" w:line="240" w:lineRule="auto"/>
              <w:rPr>
                <w:rFonts w:ascii="Times New Roman" w:eastAsia="Times New Roman" w:hAnsi="Times New Roman" w:cs="Times New Roman"/>
                <w:sz w:val="14"/>
                <w:szCs w:val="20"/>
                <w:lang w:eastAsia="es-CO"/>
              </w:rPr>
            </w:pPr>
          </w:p>
        </w:tc>
      </w:tr>
      <w:tr w:rsidR="00FE71FF" w:rsidRPr="00FE71FF" w:rsidTr="00FE71FF">
        <w:trPr>
          <w:trHeight w:val="300"/>
        </w:trPr>
        <w:tc>
          <w:tcPr>
            <w:tcW w:w="81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 xml:space="preserve"> TOTAL </w:t>
            </w:r>
          </w:p>
        </w:tc>
        <w:tc>
          <w:tcPr>
            <w:tcW w:w="518"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 xml:space="preserve">            222.632   </w:t>
            </w:r>
          </w:p>
        </w:tc>
        <w:tc>
          <w:tcPr>
            <w:tcW w:w="50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 xml:space="preserve">           144.622   </w:t>
            </w:r>
          </w:p>
        </w:tc>
        <w:tc>
          <w:tcPr>
            <w:tcW w:w="538"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 xml:space="preserve">             205.042   </w:t>
            </w:r>
          </w:p>
        </w:tc>
        <w:tc>
          <w:tcPr>
            <w:tcW w:w="274"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92,1%</w:t>
            </w:r>
          </w:p>
        </w:tc>
        <w:tc>
          <w:tcPr>
            <w:tcW w:w="499"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 xml:space="preserve">           184.825   </w:t>
            </w:r>
          </w:p>
        </w:tc>
        <w:tc>
          <w:tcPr>
            <w:tcW w:w="274"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83,0%</w:t>
            </w:r>
          </w:p>
        </w:tc>
        <w:tc>
          <w:tcPr>
            <w:tcW w:w="485"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 xml:space="preserve">          137.279   </w:t>
            </w:r>
          </w:p>
        </w:tc>
        <w:tc>
          <w:tcPr>
            <w:tcW w:w="26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94,9%</w:t>
            </w:r>
          </w:p>
        </w:tc>
        <w:tc>
          <w:tcPr>
            <w:tcW w:w="48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 xml:space="preserve">          134.517   </w:t>
            </w:r>
          </w:p>
        </w:tc>
        <w:tc>
          <w:tcPr>
            <w:tcW w:w="26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93,0%</w:t>
            </w:r>
          </w:p>
        </w:tc>
        <w:tc>
          <w:tcPr>
            <w:tcW w:w="87" w:type="pct"/>
            <w:vAlign w:val="center"/>
            <w:hideMark/>
          </w:tcPr>
          <w:p w:rsidR="00FE71FF" w:rsidRPr="00FE71FF" w:rsidRDefault="00FE71FF" w:rsidP="00FE71FF">
            <w:pPr>
              <w:spacing w:after="0" w:line="240" w:lineRule="auto"/>
              <w:rPr>
                <w:rFonts w:ascii="Times New Roman" w:eastAsia="Times New Roman" w:hAnsi="Times New Roman" w:cs="Times New Roman"/>
                <w:sz w:val="14"/>
                <w:szCs w:val="20"/>
                <w:lang w:eastAsia="es-CO"/>
              </w:rPr>
            </w:pPr>
          </w:p>
        </w:tc>
      </w:tr>
      <w:tr w:rsidR="00FE71FF" w:rsidRPr="00FE71FF" w:rsidTr="00FE71FF">
        <w:trPr>
          <w:trHeight w:val="300"/>
        </w:trPr>
        <w:tc>
          <w:tcPr>
            <w:tcW w:w="813"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xml:space="preserve"> OTROS </w:t>
            </w:r>
          </w:p>
        </w:tc>
        <w:tc>
          <w:tcPr>
            <w:tcW w:w="518"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503"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538"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274"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499"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274"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485"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263"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483"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263"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w:t>
            </w:r>
          </w:p>
        </w:tc>
        <w:tc>
          <w:tcPr>
            <w:tcW w:w="87" w:type="pct"/>
            <w:vAlign w:val="center"/>
            <w:hideMark/>
          </w:tcPr>
          <w:p w:rsidR="00FE71FF" w:rsidRPr="00FE71FF" w:rsidRDefault="00FE71FF" w:rsidP="00FE71FF">
            <w:pPr>
              <w:spacing w:after="0" w:line="240" w:lineRule="auto"/>
              <w:rPr>
                <w:rFonts w:ascii="Times New Roman" w:eastAsia="Times New Roman" w:hAnsi="Times New Roman" w:cs="Times New Roman"/>
                <w:sz w:val="14"/>
                <w:szCs w:val="20"/>
                <w:lang w:eastAsia="es-CO"/>
              </w:rPr>
            </w:pPr>
          </w:p>
        </w:tc>
      </w:tr>
      <w:tr w:rsidR="00FE71FF" w:rsidRPr="00FE71FF" w:rsidTr="00FE71FF">
        <w:trPr>
          <w:trHeight w:val="300"/>
        </w:trPr>
        <w:tc>
          <w:tcPr>
            <w:tcW w:w="81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Sistemas </w:t>
            </w:r>
          </w:p>
        </w:tc>
        <w:tc>
          <w:tcPr>
            <w:tcW w:w="518"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10.000   </w:t>
            </w:r>
          </w:p>
        </w:tc>
        <w:tc>
          <w:tcPr>
            <w:tcW w:w="50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11.700   </w:t>
            </w:r>
          </w:p>
        </w:tc>
        <w:tc>
          <w:tcPr>
            <w:tcW w:w="538"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9.197   </w:t>
            </w:r>
          </w:p>
        </w:tc>
        <w:tc>
          <w:tcPr>
            <w:tcW w:w="274"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92,0%</w:t>
            </w:r>
          </w:p>
        </w:tc>
        <w:tc>
          <w:tcPr>
            <w:tcW w:w="499"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5.583   </w:t>
            </w:r>
          </w:p>
        </w:tc>
        <w:tc>
          <w:tcPr>
            <w:tcW w:w="274"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55,8%</w:t>
            </w:r>
          </w:p>
        </w:tc>
        <w:tc>
          <w:tcPr>
            <w:tcW w:w="485"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11.045   </w:t>
            </w:r>
          </w:p>
        </w:tc>
        <w:tc>
          <w:tcPr>
            <w:tcW w:w="26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94,4%</w:t>
            </w:r>
          </w:p>
        </w:tc>
        <w:tc>
          <w:tcPr>
            <w:tcW w:w="48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10.377   </w:t>
            </w:r>
          </w:p>
        </w:tc>
        <w:tc>
          <w:tcPr>
            <w:tcW w:w="26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88,7%</w:t>
            </w:r>
          </w:p>
        </w:tc>
        <w:tc>
          <w:tcPr>
            <w:tcW w:w="87" w:type="pct"/>
            <w:vAlign w:val="center"/>
            <w:hideMark/>
          </w:tcPr>
          <w:p w:rsidR="00FE71FF" w:rsidRPr="00FE71FF" w:rsidRDefault="00FE71FF" w:rsidP="00FE71FF">
            <w:pPr>
              <w:spacing w:after="0" w:line="240" w:lineRule="auto"/>
              <w:rPr>
                <w:rFonts w:ascii="Times New Roman" w:eastAsia="Times New Roman" w:hAnsi="Times New Roman" w:cs="Times New Roman"/>
                <w:sz w:val="14"/>
                <w:szCs w:val="20"/>
                <w:lang w:eastAsia="es-CO"/>
              </w:rPr>
            </w:pPr>
          </w:p>
        </w:tc>
      </w:tr>
      <w:tr w:rsidR="00FE71FF" w:rsidRPr="00FE71FF" w:rsidTr="00FE71FF">
        <w:trPr>
          <w:trHeight w:val="300"/>
        </w:trPr>
        <w:tc>
          <w:tcPr>
            <w:tcW w:w="81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Alianzas </w:t>
            </w:r>
          </w:p>
        </w:tc>
        <w:tc>
          <w:tcPr>
            <w:tcW w:w="518"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w:t>
            </w:r>
          </w:p>
        </w:tc>
        <w:tc>
          <w:tcPr>
            <w:tcW w:w="50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w:t>
            </w:r>
            <w:r w:rsidRPr="00FE71FF">
              <w:rPr>
                <w:rFonts w:ascii="Verdana" w:eastAsia="Times New Roman" w:hAnsi="Verdana" w:cs="Times New Roman"/>
                <w:color w:val="000000"/>
                <w:sz w:val="14"/>
                <w:szCs w:val="20"/>
                <w:lang w:eastAsia="es-CO"/>
              </w:rPr>
              <w:lastRenderedPageBreak/>
              <w:t xml:space="preserve">500   </w:t>
            </w:r>
          </w:p>
        </w:tc>
        <w:tc>
          <w:tcPr>
            <w:tcW w:w="538"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lastRenderedPageBreak/>
              <w:t> </w:t>
            </w:r>
          </w:p>
        </w:tc>
        <w:tc>
          <w:tcPr>
            <w:tcW w:w="274"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w:t>
            </w:r>
          </w:p>
        </w:tc>
        <w:tc>
          <w:tcPr>
            <w:tcW w:w="499"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w:t>
            </w:r>
          </w:p>
        </w:tc>
        <w:tc>
          <w:tcPr>
            <w:tcW w:w="274"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w:t>
            </w:r>
          </w:p>
        </w:tc>
        <w:tc>
          <w:tcPr>
            <w:tcW w:w="485"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w:t>
            </w:r>
            <w:r w:rsidRPr="00FE71FF">
              <w:rPr>
                <w:rFonts w:ascii="Verdana" w:eastAsia="Times New Roman" w:hAnsi="Verdana" w:cs="Times New Roman"/>
                <w:color w:val="000000"/>
                <w:sz w:val="14"/>
                <w:szCs w:val="20"/>
                <w:lang w:eastAsia="es-CO"/>
              </w:rPr>
              <w:lastRenderedPageBreak/>
              <w:t xml:space="preserve">281   </w:t>
            </w:r>
          </w:p>
        </w:tc>
        <w:tc>
          <w:tcPr>
            <w:tcW w:w="26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lastRenderedPageBreak/>
              <w:t>56,2</w:t>
            </w:r>
            <w:r w:rsidRPr="00FE71FF">
              <w:rPr>
                <w:rFonts w:ascii="Verdana" w:eastAsia="Times New Roman" w:hAnsi="Verdana" w:cs="Times New Roman"/>
                <w:color w:val="000000"/>
                <w:sz w:val="14"/>
                <w:szCs w:val="20"/>
                <w:lang w:eastAsia="es-CO"/>
              </w:rPr>
              <w:lastRenderedPageBreak/>
              <w:t>%</w:t>
            </w:r>
          </w:p>
        </w:tc>
        <w:tc>
          <w:tcPr>
            <w:tcW w:w="48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lastRenderedPageBreak/>
              <w:t xml:space="preserve">               </w:t>
            </w:r>
            <w:r w:rsidRPr="00FE71FF">
              <w:rPr>
                <w:rFonts w:ascii="Verdana" w:eastAsia="Times New Roman" w:hAnsi="Verdana" w:cs="Times New Roman"/>
                <w:color w:val="000000"/>
                <w:sz w:val="14"/>
                <w:szCs w:val="20"/>
                <w:lang w:eastAsia="es-CO"/>
              </w:rPr>
              <w:lastRenderedPageBreak/>
              <w:t xml:space="preserve">281   </w:t>
            </w:r>
          </w:p>
        </w:tc>
        <w:tc>
          <w:tcPr>
            <w:tcW w:w="26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lastRenderedPageBreak/>
              <w:t>56,2</w:t>
            </w:r>
            <w:r w:rsidRPr="00FE71FF">
              <w:rPr>
                <w:rFonts w:ascii="Verdana" w:eastAsia="Times New Roman" w:hAnsi="Verdana" w:cs="Times New Roman"/>
                <w:color w:val="000000"/>
                <w:sz w:val="14"/>
                <w:szCs w:val="20"/>
                <w:lang w:eastAsia="es-CO"/>
              </w:rPr>
              <w:lastRenderedPageBreak/>
              <w:t>%</w:t>
            </w:r>
          </w:p>
        </w:tc>
        <w:tc>
          <w:tcPr>
            <w:tcW w:w="87" w:type="pct"/>
            <w:vAlign w:val="center"/>
            <w:hideMark/>
          </w:tcPr>
          <w:p w:rsidR="00FE71FF" w:rsidRPr="00FE71FF" w:rsidRDefault="00FE71FF" w:rsidP="00FE71FF">
            <w:pPr>
              <w:spacing w:after="0" w:line="240" w:lineRule="auto"/>
              <w:rPr>
                <w:rFonts w:ascii="Times New Roman" w:eastAsia="Times New Roman" w:hAnsi="Times New Roman" w:cs="Times New Roman"/>
                <w:sz w:val="14"/>
                <w:szCs w:val="20"/>
                <w:lang w:eastAsia="es-CO"/>
              </w:rPr>
            </w:pPr>
          </w:p>
        </w:tc>
      </w:tr>
      <w:tr w:rsidR="00FE71FF" w:rsidRPr="00FE71FF" w:rsidTr="00FE71FF">
        <w:trPr>
          <w:trHeight w:val="300"/>
        </w:trPr>
        <w:tc>
          <w:tcPr>
            <w:tcW w:w="81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lastRenderedPageBreak/>
              <w:t xml:space="preserve"> TOTAL </w:t>
            </w:r>
          </w:p>
        </w:tc>
        <w:tc>
          <w:tcPr>
            <w:tcW w:w="518"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 xml:space="preserve">              10.000   </w:t>
            </w:r>
          </w:p>
        </w:tc>
        <w:tc>
          <w:tcPr>
            <w:tcW w:w="50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 xml:space="preserve">             12.200   </w:t>
            </w:r>
          </w:p>
        </w:tc>
        <w:tc>
          <w:tcPr>
            <w:tcW w:w="538"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 xml:space="preserve">                  9.197   </w:t>
            </w:r>
          </w:p>
        </w:tc>
        <w:tc>
          <w:tcPr>
            <w:tcW w:w="274"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92,0%</w:t>
            </w:r>
          </w:p>
        </w:tc>
        <w:tc>
          <w:tcPr>
            <w:tcW w:w="499"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 xml:space="preserve">               5.583   </w:t>
            </w:r>
          </w:p>
        </w:tc>
        <w:tc>
          <w:tcPr>
            <w:tcW w:w="274"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55,8%</w:t>
            </w:r>
          </w:p>
        </w:tc>
        <w:tc>
          <w:tcPr>
            <w:tcW w:w="485"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 xml:space="preserve">            11.326   </w:t>
            </w:r>
          </w:p>
        </w:tc>
        <w:tc>
          <w:tcPr>
            <w:tcW w:w="26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92,8%</w:t>
            </w:r>
          </w:p>
        </w:tc>
        <w:tc>
          <w:tcPr>
            <w:tcW w:w="48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 xml:space="preserve">            10.658   </w:t>
            </w:r>
          </w:p>
        </w:tc>
        <w:tc>
          <w:tcPr>
            <w:tcW w:w="26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b/>
                <w:bCs/>
                <w:color w:val="000000"/>
                <w:sz w:val="14"/>
                <w:szCs w:val="20"/>
                <w:lang w:eastAsia="es-CO"/>
              </w:rPr>
            </w:pPr>
            <w:r w:rsidRPr="00FE71FF">
              <w:rPr>
                <w:rFonts w:ascii="Verdana" w:eastAsia="Times New Roman" w:hAnsi="Verdana" w:cs="Times New Roman"/>
                <w:b/>
                <w:bCs/>
                <w:color w:val="000000"/>
                <w:sz w:val="14"/>
                <w:szCs w:val="20"/>
                <w:lang w:eastAsia="es-CO"/>
              </w:rPr>
              <w:t>87,4%</w:t>
            </w:r>
          </w:p>
        </w:tc>
        <w:tc>
          <w:tcPr>
            <w:tcW w:w="87" w:type="pct"/>
            <w:vAlign w:val="center"/>
            <w:hideMark/>
          </w:tcPr>
          <w:p w:rsidR="00FE71FF" w:rsidRPr="00FE71FF" w:rsidRDefault="00FE71FF" w:rsidP="00FE71FF">
            <w:pPr>
              <w:spacing w:after="0" w:line="240" w:lineRule="auto"/>
              <w:rPr>
                <w:rFonts w:ascii="Times New Roman" w:eastAsia="Times New Roman" w:hAnsi="Times New Roman" w:cs="Times New Roman"/>
                <w:sz w:val="14"/>
                <w:szCs w:val="20"/>
                <w:lang w:eastAsia="es-CO"/>
              </w:rPr>
            </w:pPr>
          </w:p>
        </w:tc>
      </w:tr>
      <w:tr w:rsidR="00FE71FF" w:rsidRPr="00FE71FF" w:rsidTr="00FE71FF">
        <w:trPr>
          <w:trHeight w:val="300"/>
        </w:trPr>
        <w:tc>
          <w:tcPr>
            <w:tcW w:w="813"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xml:space="preserve"> TOTAL INVERSION </w:t>
            </w:r>
          </w:p>
        </w:tc>
        <w:tc>
          <w:tcPr>
            <w:tcW w:w="518"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sz w:val="14"/>
                <w:szCs w:val="20"/>
                <w:lang w:eastAsia="es-CO"/>
              </w:rPr>
            </w:pPr>
            <w:r w:rsidRPr="00FE71FF">
              <w:rPr>
                <w:rFonts w:ascii="Verdana" w:eastAsia="Times New Roman" w:hAnsi="Verdana" w:cs="Times New Roman"/>
                <w:b/>
                <w:bCs/>
                <w:sz w:val="14"/>
                <w:szCs w:val="20"/>
                <w:lang w:eastAsia="es-CO"/>
              </w:rPr>
              <w:t> </w:t>
            </w:r>
          </w:p>
        </w:tc>
        <w:tc>
          <w:tcPr>
            <w:tcW w:w="503"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sz w:val="14"/>
                <w:szCs w:val="20"/>
                <w:lang w:eastAsia="es-CO"/>
              </w:rPr>
            </w:pPr>
            <w:r w:rsidRPr="00FE71FF">
              <w:rPr>
                <w:rFonts w:ascii="Verdana" w:eastAsia="Times New Roman" w:hAnsi="Verdana" w:cs="Times New Roman"/>
                <w:b/>
                <w:bCs/>
                <w:sz w:val="14"/>
                <w:szCs w:val="20"/>
                <w:lang w:eastAsia="es-CO"/>
              </w:rPr>
              <w:t> </w:t>
            </w:r>
          </w:p>
        </w:tc>
        <w:tc>
          <w:tcPr>
            <w:tcW w:w="538"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sz w:val="14"/>
                <w:szCs w:val="20"/>
                <w:lang w:eastAsia="es-CO"/>
              </w:rPr>
            </w:pPr>
            <w:r w:rsidRPr="00FE71FF">
              <w:rPr>
                <w:rFonts w:ascii="Verdana" w:eastAsia="Times New Roman" w:hAnsi="Verdana" w:cs="Times New Roman"/>
                <w:b/>
                <w:bCs/>
                <w:sz w:val="14"/>
                <w:szCs w:val="20"/>
                <w:lang w:eastAsia="es-CO"/>
              </w:rPr>
              <w:t> </w:t>
            </w:r>
          </w:p>
        </w:tc>
        <w:tc>
          <w:tcPr>
            <w:tcW w:w="274"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sz w:val="14"/>
                <w:szCs w:val="20"/>
                <w:lang w:eastAsia="es-CO"/>
              </w:rPr>
            </w:pPr>
            <w:r w:rsidRPr="00FE71FF">
              <w:rPr>
                <w:rFonts w:ascii="Verdana" w:eastAsia="Times New Roman" w:hAnsi="Verdana" w:cs="Times New Roman"/>
                <w:b/>
                <w:bCs/>
                <w:sz w:val="14"/>
                <w:szCs w:val="20"/>
                <w:lang w:eastAsia="es-CO"/>
              </w:rPr>
              <w:t> </w:t>
            </w:r>
          </w:p>
        </w:tc>
        <w:tc>
          <w:tcPr>
            <w:tcW w:w="499"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sz w:val="14"/>
                <w:szCs w:val="20"/>
                <w:lang w:eastAsia="es-CO"/>
              </w:rPr>
            </w:pPr>
            <w:r w:rsidRPr="00FE71FF">
              <w:rPr>
                <w:rFonts w:ascii="Verdana" w:eastAsia="Times New Roman" w:hAnsi="Verdana" w:cs="Times New Roman"/>
                <w:b/>
                <w:bCs/>
                <w:sz w:val="14"/>
                <w:szCs w:val="20"/>
                <w:lang w:eastAsia="es-CO"/>
              </w:rPr>
              <w:t> </w:t>
            </w:r>
          </w:p>
        </w:tc>
        <w:tc>
          <w:tcPr>
            <w:tcW w:w="274"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sz w:val="14"/>
                <w:szCs w:val="20"/>
                <w:lang w:eastAsia="es-CO"/>
              </w:rPr>
            </w:pPr>
            <w:r w:rsidRPr="00FE71FF">
              <w:rPr>
                <w:rFonts w:ascii="Verdana" w:eastAsia="Times New Roman" w:hAnsi="Verdana" w:cs="Times New Roman"/>
                <w:b/>
                <w:bCs/>
                <w:sz w:val="14"/>
                <w:szCs w:val="20"/>
                <w:lang w:eastAsia="es-CO"/>
              </w:rPr>
              <w:t> </w:t>
            </w:r>
          </w:p>
        </w:tc>
        <w:tc>
          <w:tcPr>
            <w:tcW w:w="485"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sz w:val="14"/>
                <w:szCs w:val="20"/>
                <w:lang w:eastAsia="es-CO"/>
              </w:rPr>
            </w:pPr>
            <w:r w:rsidRPr="00FE71FF">
              <w:rPr>
                <w:rFonts w:ascii="Verdana" w:eastAsia="Times New Roman" w:hAnsi="Verdana" w:cs="Times New Roman"/>
                <w:b/>
                <w:bCs/>
                <w:sz w:val="14"/>
                <w:szCs w:val="20"/>
                <w:lang w:eastAsia="es-CO"/>
              </w:rPr>
              <w:t> </w:t>
            </w:r>
          </w:p>
        </w:tc>
        <w:tc>
          <w:tcPr>
            <w:tcW w:w="263"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sz w:val="14"/>
                <w:szCs w:val="20"/>
                <w:lang w:eastAsia="es-CO"/>
              </w:rPr>
            </w:pPr>
            <w:r w:rsidRPr="00FE71FF">
              <w:rPr>
                <w:rFonts w:ascii="Verdana" w:eastAsia="Times New Roman" w:hAnsi="Verdana" w:cs="Times New Roman"/>
                <w:b/>
                <w:bCs/>
                <w:sz w:val="14"/>
                <w:szCs w:val="20"/>
                <w:lang w:eastAsia="es-CO"/>
              </w:rPr>
              <w:t> </w:t>
            </w:r>
          </w:p>
        </w:tc>
        <w:tc>
          <w:tcPr>
            <w:tcW w:w="483"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sz w:val="14"/>
                <w:szCs w:val="20"/>
                <w:lang w:eastAsia="es-CO"/>
              </w:rPr>
            </w:pPr>
            <w:r w:rsidRPr="00FE71FF">
              <w:rPr>
                <w:rFonts w:ascii="Verdana" w:eastAsia="Times New Roman" w:hAnsi="Verdana" w:cs="Times New Roman"/>
                <w:b/>
                <w:bCs/>
                <w:sz w:val="14"/>
                <w:szCs w:val="20"/>
                <w:lang w:eastAsia="es-CO"/>
              </w:rPr>
              <w:t> </w:t>
            </w:r>
          </w:p>
        </w:tc>
        <w:tc>
          <w:tcPr>
            <w:tcW w:w="263"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sz w:val="14"/>
                <w:szCs w:val="20"/>
                <w:lang w:eastAsia="es-CO"/>
              </w:rPr>
            </w:pPr>
            <w:r w:rsidRPr="00FE71FF">
              <w:rPr>
                <w:rFonts w:ascii="Verdana" w:eastAsia="Times New Roman" w:hAnsi="Verdana" w:cs="Times New Roman"/>
                <w:b/>
                <w:bCs/>
                <w:sz w:val="14"/>
                <w:szCs w:val="20"/>
                <w:lang w:eastAsia="es-CO"/>
              </w:rPr>
              <w:t> </w:t>
            </w:r>
          </w:p>
        </w:tc>
        <w:tc>
          <w:tcPr>
            <w:tcW w:w="87" w:type="pct"/>
            <w:vAlign w:val="center"/>
            <w:hideMark/>
          </w:tcPr>
          <w:p w:rsidR="00FE71FF" w:rsidRPr="00FE71FF" w:rsidRDefault="00FE71FF" w:rsidP="00FE71FF">
            <w:pPr>
              <w:spacing w:after="0" w:line="240" w:lineRule="auto"/>
              <w:rPr>
                <w:rFonts w:ascii="Times New Roman" w:eastAsia="Times New Roman" w:hAnsi="Times New Roman" w:cs="Times New Roman"/>
                <w:sz w:val="14"/>
                <w:szCs w:val="20"/>
                <w:lang w:eastAsia="es-CO"/>
              </w:rPr>
            </w:pPr>
          </w:p>
        </w:tc>
      </w:tr>
      <w:tr w:rsidR="00FE71FF" w:rsidRPr="00FE71FF" w:rsidTr="00FE71FF">
        <w:trPr>
          <w:trHeight w:val="300"/>
        </w:trPr>
        <w:tc>
          <w:tcPr>
            <w:tcW w:w="81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Gastos de personal </w:t>
            </w:r>
          </w:p>
        </w:tc>
        <w:tc>
          <w:tcPr>
            <w:tcW w:w="518"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73.339   </w:t>
            </w:r>
          </w:p>
        </w:tc>
        <w:tc>
          <w:tcPr>
            <w:tcW w:w="50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77.973   </w:t>
            </w:r>
          </w:p>
        </w:tc>
        <w:tc>
          <w:tcPr>
            <w:tcW w:w="538"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65.070   </w:t>
            </w:r>
          </w:p>
        </w:tc>
        <w:tc>
          <w:tcPr>
            <w:tcW w:w="274"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88,7%</w:t>
            </w:r>
          </w:p>
        </w:tc>
        <w:tc>
          <w:tcPr>
            <w:tcW w:w="499"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65.004   </w:t>
            </w:r>
          </w:p>
        </w:tc>
        <w:tc>
          <w:tcPr>
            <w:tcW w:w="274"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88,6%</w:t>
            </w:r>
          </w:p>
        </w:tc>
        <w:tc>
          <w:tcPr>
            <w:tcW w:w="485"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70.885   </w:t>
            </w:r>
          </w:p>
        </w:tc>
        <w:tc>
          <w:tcPr>
            <w:tcW w:w="26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90,9%</w:t>
            </w:r>
          </w:p>
        </w:tc>
        <w:tc>
          <w:tcPr>
            <w:tcW w:w="48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70.854   </w:t>
            </w:r>
          </w:p>
        </w:tc>
        <w:tc>
          <w:tcPr>
            <w:tcW w:w="26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90,9%</w:t>
            </w:r>
          </w:p>
        </w:tc>
        <w:tc>
          <w:tcPr>
            <w:tcW w:w="87" w:type="pct"/>
            <w:vAlign w:val="center"/>
            <w:hideMark/>
          </w:tcPr>
          <w:p w:rsidR="00FE71FF" w:rsidRPr="00FE71FF" w:rsidRDefault="00FE71FF" w:rsidP="00FE71FF">
            <w:pPr>
              <w:spacing w:after="0" w:line="240" w:lineRule="auto"/>
              <w:rPr>
                <w:rFonts w:ascii="Times New Roman" w:eastAsia="Times New Roman" w:hAnsi="Times New Roman" w:cs="Times New Roman"/>
                <w:sz w:val="14"/>
                <w:szCs w:val="20"/>
                <w:lang w:eastAsia="es-CO"/>
              </w:rPr>
            </w:pPr>
          </w:p>
        </w:tc>
      </w:tr>
      <w:tr w:rsidR="00FE71FF" w:rsidRPr="00FE71FF" w:rsidTr="00FE71FF">
        <w:trPr>
          <w:trHeight w:val="300"/>
        </w:trPr>
        <w:tc>
          <w:tcPr>
            <w:tcW w:w="81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Gastos Generales </w:t>
            </w:r>
          </w:p>
        </w:tc>
        <w:tc>
          <w:tcPr>
            <w:tcW w:w="518"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34.059   </w:t>
            </w:r>
          </w:p>
        </w:tc>
        <w:tc>
          <w:tcPr>
            <w:tcW w:w="50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37.139   </w:t>
            </w:r>
          </w:p>
        </w:tc>
        <w:tc>
          <w:tcPr>
            <w:tcW w:w="538"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31.145   </w:t>
            </w:r>
          </w:p>
        </w:tc>
        <w:tc>
          <w:tcPr>
            <w:tcW w:w="274"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91,4%</w:t>
            </w:r>
          </w:p>
        </w:tc>
        <w:tc>
          <w:tcPr>
            <w:tcW w:w="499"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29.790   </w:t>
            </w:r>
          </w:p>
        </w:tc>
        <w:tc>
          <w:tcPr>
            <w:tcW w:w="274"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87,5%</w:t>
            </w:r>
          </w:p>
        </w:tc>
        <w:tc>
          <w:tcPr>
            <w:tcW w:w="485"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35.551   </w:t>
            </w:r>
          </w:p>
        </w:tc>
        <w:tc>
          <w:tcPr>
            <w:tcW w:w="26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95,7%</w:t>
            </w:r>
          </w:p>
        </w:tc>
        <w:tc>
          <w:tcPr>
            <w:tcW w:w="48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34.136   </w:t>
            </w:r>
          </w:p>
        </w:tc>
        <w:tc>
          <w:tcPr>
            <w:tcW w:w="263" w:type="pct"/>
            <w:tcBorders>
              <w:top w:val="nil"/>
              <w:left w:val="nil"/>
              <w:bottom w:val="nil"/>
              <w:right w:val="nil"/>
            </w:tcBorders>
            <w:shd w:val="clear" w:color="000000" w:fill="DBE5F1"/>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91,9%</w:t>
            </w:r>
          </w:p>
        </w:tc>
        <w:tc>
          <w:tcPr>
            <w:tcW w:w="87" w:type="pct"/>
            <w:vAlign w:val="center"/>
            <w:hideMark/>
          </w:tcPr>
          <w:p w:rsidR="00FE71FF" w:rsidRPr="00FE71FF" w:rsidRDefault="00FE71FF" w:rsidP="00FE71FF">
            <w:pPr>
              <w:spacing w:after="0" w:line="240" w:lineRule="auto"/>
              <w:rPr>
                <w:rFonts w:ascii="Times New Roman" w:eastAsia="Times New Roman" w:hAnsi="Times New Roman" w:cs="Times New Roman"/>
                <w:sz w:val="14"/>
                <w:szCs w:val="20"/>
                <w:lang w:eastAsia="es-CO"/>
              </w:rPr>
            </w:pPr>
          </w:p>
        </w:tc>
      </w:tr>
      <w:tr w:rsidR="00FE71FF" w:rsidRPr="00FE71FF" w:rsidTr="00FE71FF">
        <w:trPr>
          <w:trHeight w:val="300"/>
        </w:trPr>
        <w:tc>
          <w:tcPr>
            <w:tcW w:w="81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Transferencias </w:t>
            </w:r>
          </w:p>
        </w:tc>
        <w:tc>
          <w:tcPr>
            <w:tcW w:w="518"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6.198   </w:t>
            </w:r>
          </w:p>
        </w:tc>
        <w:tc>
          <w:tcPr>
            <w:tcW w:w="50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17.714   </w:t>
            </w:r>
          </w:p>
        </w:tc>
        <w:tc>
          <w:tcPr>
            <w:tcW w:w="538"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4.429   </w:t>
            </w:r>
          </w:p>
        </w:tc>
        <w:tc>
          <w:tcPr>
            <w:tcW w:w="274"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71,5%</w:t>
            </w:r>
          </w:p>
        </w:tc>
        <w:tc>
          <w:tcPr>
            <w:tcW w:w="499"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4.429   </w:t>
            </w:r>
          </w:p>
        </w:tc>
        <w:tc>
          <w:tcPr>
            <w:tcW w:w="274"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71,5%</w:t>
            </w:r>
          </w:p>
        </w:tc>
        <w:tc>
          <w:tcPr>
            <w:tcW w:w="485"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15.404   </w:t>
            </w:r>
          </w:p>
        </w:tc>
        <w:tc>
          <w:tcPr>
            <w:tcW w:w="26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87,0%</w:t>
            </w:r>
          </w:p>
        </w:tc>
        <w:tc>
          <w:tcPr>
            <w:tcW w:w="48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 xml:space="preserve">          15.404   </w:t>
            </w:r>
          </w:p>
        </w:tc>
        <w:tc>
          <w:tcPr>
            <w:tcW w:w="263" w:type="pct"/>
            <w:tcBorders>
              <w:top w:val="nil"/>
              <w:left w:val="nil"/>
              <w:bottom w:val="nil"/>
              <w:right w:val="nil"/>
            </w:tcBorders>
            <w:shd w:val="clear" w:color="000000" w:fill="FFFFFF"/>
            <w:vAlign w:val="center"/>
            <w:hideMark/>
          </w:tcPr>
          <w:p w:rsidR="00FE71FF" w:rsidRPr="00FE71FF" w:rsidRDefault="00FE71FF" w:rsidP="00FE71FF">
            <w:pPr>
              <w:spacing w:after="0" w:line="240" w:lineRule="auto"/>
              <w:jc w:val="right"/>
              <w:rPr>
                <w:rFonts w:ascii="Verdana" w:eastAsia="Times New Roman" w:hAnsi="Verdana" w:cs="Times New Roman"/>
                <w:color w:val="000000"/>
                <w:sz w:val="14"/>
                <w:szCs w:val="20"/>
                <w:lang w:eastAsia="es-CO"/>
              </w:rPr>
            </w:pPr>
            <w:r w:rsidRPr="00FE71FF">
              <w:rPr>
                <w:rFonts w:ascii="Verdana" w:eastAsia="Times New Roman" w:hAnsi="Verdana" w:cs="Times New Roman"/>
                <w:color w:val="000000"/>
                <w:sz w:val="14"/>
                <w:szCs w:val="20"/>
                <w:lang w:eastAsia="es-CO"/>
              </w:rPr>
              <w:t>87,0%</w:t>
            </w:r>
          </w:p>
        </w:tc>
        <w:tc>
          <w:tcPr>
            <w:tcW w:w="87" w:type="pct"/>
            <w:vAlign w:val="center"/>
            <w:hideMark/>
          </w:tcPr>
          <w:p w:rsidR="00FE71FF" w:rsidRPr="00FE71FF" w:rsidRDefault="00FE71FF" w:rsidP="00FE71FF">
            <w:pPr>
              <w:spacing w:after="0" w:line="240" w:lineRule="auto"/>
              <w:rPr>
                <w:rFonts w:ascii="Times New Roman" w:eastAsia="Times New Roman" w:hAnsi="Times New Roman" w:cs="Times New Roman"/>
                <w:sz w:val="14"/>
                <w:szCs w:val="20"/>
                <w:lang w:eastAsia="es-CO"/>
              </w:rPr>
            </w:pPr>
          </w:p>
        </w:tc>
      </w:tr>
      <w:tr w:rsidR="00FE71FF" w:rsidRPr="00FE71FF" w:rsidTr="00FE71FF">
        <w:trPr>
          <w:trHeight w:val="300"/>
        </w:trPr>
        <w:tc>
          <w:tcPr>
            <w:tcW w:w="813"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TOTAL FUNCIONANIENTO</w:t>
            </w:r>
          </w:p>
        </w:tc>
        <w:tc>
          <w:tcPr>
            <w:tcW w:w="518"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xml:space="preserve">            113.596   </w:t>
            </w:r>
          </w:p>
        </w:tc>
        <w:tc>
          <w:tcPr>
            <w:tcW w:w="503"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xml:space="preserve">           132.826   </w:t>
            </w:r>
          </w:p>
        </w:tc>
        <w:tc>
          <w:tcPr>
            <w:tcW w:w="538"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xml:space="preserve">             100.644   </w:t>
            </w:r>
          </w:p>
        </w:tc>
        <w:tc>
          <w:tcPr>
            <w:tcW w:w="274"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jc w:val="right"/>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88,6%</w:t>
            </w:r>
          </w:p>
        </w:tc>
        <w:tc>
          <w:tcPr>
            <w:tcW w:w="499"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xml:space="preserve">             99.223   </w:t>
            </w:r>
          </w:p>
        </w:tc>
        <w:tc>
          <w:tcPr>
            <w:tcW w:w="274"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jc w:val="right"/>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87,3%</w:t>
            </w:r>
          </w:p>
        </w:tc>
        <w:tc>
          <w:tcPr>
            <w:tcW w:w="485"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xml:space="preserve">          121.840   </w:t>
            </w:r>
          </w:p>
        </w:tc>
        <w:tc>
          <w:tcPr>
            <w:tcW w:w="263"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jc w:val="right"/>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91,7%</w:t>
            </w:r>
          </w:p>
        </w:tc>
        <w:tc>
          <w:tcPr>
            <w:tcW w:w="483"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xml:space="preserve">          120.394   </w:t>
            </w:r>
          </w:p>
        </w:tc>
        <w:tc>
          <w:tcPr>
            <w:tcW w:w="263"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jc w:val="right"/>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90,6%</w:t>
            </w:r>
          </w:p>
        </w:tc>
        <w:tc>
          <w:tcPr>
            <w:tcW w:w="87" w:type="pct"/>
            <w:vAlign w:val="center"/>
            <w:hideMark/>
          </w:tcPr>
          <w:p w:rsidR="00FE71FF" w:rsidRPr="00FE71FF" w:rsidRDefault="00FE71FF" w:rsidP="00FE71FF">
            <w:pPr>
              <w:spacing w:after="0" w:line="240" w:lineRule="auto"/>
              <w:rPr>
                <w:rFonts w:ascii="Times New Roman" w:eastAsia="Times New Roman" w:hAnsi="Times New Roman" w:cs="Times New Roman"/>
                <w:sz w:val="14"/>
                <w:szCs w:val="20"/>
                <w:lang w:eastAsia="es-CO"/>
              </w:rPr>
            </w:pPr>
          </w:p>
        </w:tc>
      </w:tr>
      <w:tr w:rsidR="00FE71FF" w:rsidRPr="00FE71FF" w:rsidTr="00FE71FF">
        <w:trPr>
          <w:trHeight w:val="300"/>
        </w:trPr>
        <w:tc>
          <w:tcPr>
            <w:tcW w:w="813"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TOTAL INVERSION</w:t>
            </w:r>
          </w:p>
        </w:tc>
        <w:tc>
          <w:tcPr>
            <w:tcW w:w="518"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xml:space="preserve">        2.548.433   </w:t>
            </w:r>
          </w:p>
        </w:tc>
        <w:tc>
          <w:tcPr>
            <w:tcW w:w="503"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xml:space="preserve">        3.156.683   </w:t>
            </w:r>
          </w:p>
        </w:tc>
        <w:tc>
          <w:tcPr>
            <w:tcW w:w="538"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xml:space="preserve">          2.489.210   </w:t>
            </w:r>
          </w:p>
        </w:tc>
        <w:tc>
          <w:tcPr>
            <w:tcW w:w="274"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jc w:val="right"/>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97,7%</w:t>
            </w:r>
          </w:p>
        </w:tc>
        <w:tc>
          <w:tcPr>
            <w:tcW w:w="499"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xml:space="preserve">       2.092.786   </w:t>
            </w:r>
          </w:p>
        </w:tc>
        <w:tc>
          <w:tcPr>
            <w:tcW w:w="274"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jc w:val="right"/>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82,1%</w:t>
            </w:r>
          </w:p>
        </w:tc>
        <w:tc>
          <w:tcPr>
            <w:tcW w:w="485"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xml:space="preserve">       3.092.008   </w:t>
            </w:r>
          </w:p>
        </w:tc>
        <w:tc>
          <w:tcPr>
            <w:tcW w:w="263"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jc w:val="right"/>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98,0%</w:t>
            </w:r>
          </w:p>
        </w:tc>
        <w:tc>
          <w:tcPr>
            <w:tcW w:w="483"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 xml:space="preserve">      2.614.950   </w:t>
            </w:r>
          </w:p>
        </w:tc>
        <w:tc>
          <w:tcPr>
            <w:tcW w:w="263" w:type="pct"/>
            <w:tcBorders>
              <w:top w:val="nil"/>
              <w:left w:val="nil"/>
              <w:bottom w:val="nil"/>
              <w:right w:val="nil"/>
            </w:tcBorders>
            <w:shd w:val="clear" w:color="000000" w:fill="538ED5"/>
            <w:noWrap/>
            <w:vAlign w:val="center"/>
            <w:hideMark/>
          </w:tcPr>
          <w:p w:rsidR="00FE71FF" w:rsidRPr="00FE71FF" w:rsidRDefault="00FE71FF" w:rsidP="00FE71FF">
            <w:pPr>
              <w:spacing w:after="0" w:line="240" w:lineRule="auto"/>
              <w:jc w:val="right"/>
              <w:rPr>
                <w:rFonts w:ascii="Verdana" w:eastAsia="Times New Roman" w:hAnsi="Verdana" w:cs="Times New Roman"/>
                <w:b/>
                <w:bCs/>
                <w:color w:val="FFFFFF"/>
                <w:sz w:val="14"/>
                <w:szCs w:val="20"/>
                <w:lang w:eastAsia="es-CO"/>
              </w:rPr>
            </w:pPr>
            <w:r w:rsidRPr="00FE71FF">
              <w:rPr>
                <w:rFonts w:ascii="Verdana" w:eastAsia="Times New Roman" w:hAnsi="Verdana" w:cs="Times New Roman"/>
                <w:b/>
                <w:bCs/>
                <w:color w:val="FFFFFF"/>
                <w:sz w:val="14"/>
                <w:szCs w:val="20"/>
                <w:lang w:eastAsia="es-CO"/>
              </w:rPr>
              <w:t>82,8%</w:t>
            </w:r>
          </w:p>
        </w:tc>
        <w:tc>
          <w:tcPr>
            <w:tcW w:w="87" w:type="pct"/>
            <w:vAlign w:val="center"/>
            <w:hideMark/>
          </w:tcPr>
          <w:p w:rsidR="00FE71FF" w:rsidRPr="00FE71FF" w:rsidRDefault="00FE71FF" w:rsidP="00FE71FF">
            <w:pPr>
              <w:spacing w:after="0" w:line="240" w:lineRule="auto"/>
              <w:rPr>
                <w:rFonts w:ascii="Times New Roman" w:eastAsia="Times New Roman" w:hAnsi="Times New Roman" w:cs="Times New Roman"/>
                <w:sz w:val="14"/>
                <w:szCs w:val="20"/>
                <w:lang w:eastAsia="es-CO"/>
              </w:rPr>
            </w:pPr>
          </w:p>
        </w:tc>
      </w:tr>
    </w:tbl>
    <w:p w:rsidR="00FE71FF" w:rsidRPr="00FE71FF" w:rsidRDefault="00FE71FF" w:rsidP="00FE71FF"/>
    <w:p w:rsidR="00FE71FF" w:rsidRDefault="00FE71FF" w:rsidP="00FC7F0E">
      <w:pPr>
        <w:pStyle w:val="Ttulo2"/>
        <w:spacing w:before="0" w:after="0" w:line="240" w:lineRule="auto"/>
        <w:rPr>
          <w:rFonts w:ascii="Verdana" w:hAnsi="Verdana"/>
          <w:i w:val="0"/>
          <w:color w:val="548DD4" w:themeColor="text2" w:themeTint="99"/>
        </w:rPr>
      </w:pPr>
    </w:p>
    <w:p w:rsidR="00FC7F0E" w:rsidRPr="00C4448E" w:rsidRDefault="00FC7F0E" w:rsidP="00FC7F0E">
      <w:pPr>
        <w:pStyle w:val="Ttulo2"/>
        <w:spacing w:before="0" w:after="0" w:line="240" w:lineRule="auto"/>
        <w:rPr>
          <w:rFonts w:ascii="Verdana" w:hAnsi="Verdana"/>
          <w:i w:val="0"/>
          <w:color w:val="548DD4" w:themeColor="text2" w:themeTint="99"/>
        </w:rPr>
      </w:pPr>
      <w:r w:rsidRPr="00C4448E">
        <w:rPr>
          <w:rFonts w:ascii="Verdana" w:hAnsi="Verdana"/>
          <w:i w:val="0"/>
          <w:color w:val="548DD4" w:themeColor="text2" w:themeTint="99"/>
        </w:rPr>
        <w:t>ESTADOS FINANCIEROS</w:t>
      </w:r>
      <w:bookmarkEnd w:id="8"/>
      <w:r w:rsidR="0051259B">
        <w:rPr>
          <w:rFonts w:ascii="Verdana" w:hAnsi="Verdana"/>
          <w:i w:val="0"/>
          <w:color w:val="548DD4" w:themeColor="text2" w:themeTint="99"/>
        </w:rPr>
        <w:t xml:space="preserve"> </w:t>
      </w:r>
    </w:p>
    <w:p w:rsidR="00FC7F0E" w:rsidRDefault="00FC7F0E" w:rsidP="00FC7F0E">
      <w:pPr>
        <w:pStyle w:val="Prrafodelista"/>
        <w:spacing w:after="0" w:line="240" w:lineRule="auto"/>
        <w:jc w:val="both"/>
        <w:rPr>
          <w:rFonts w:ascii="Verdana" w:hAnsi="Verdana"/>
          <w:sz w:val="24"/>
          <w:szCs w:val="24"/>
        </w:rPr>
      </w:pPr>
    </w:p>
    <w:p w:rsidR="00C4448E" w:rsidRDefault="00C4448E" w:rsidP="00FC7F0E">
      <w:pPr>
        <w:pStyle w:val="Prrafodelista"/>
        <w:spacing w:after="0" w:line="240" w:lineRule="auto"/>
        <w:jc w:val="both"/>
        <w:rPr>
          <w:rFonts w:ascii="Verdana" w:hAnsi="Verdana"/>
          <w:sz w:val="24"/>
          <w:szCs w:val="24"/>
        </w:rPr>
      </w:pPr>
      <w:r>
        <w:rPr>
          <w:rFonts w:ascii="Verdana" w:hAnsi="Verdana"/>
          <w:sz w:val="24"/>
          <w:szCs w:val="24"/>
        </w:rPr>
        <w:t xml:space="preserve">Los Estados Financieros del DPS </w:t>
      </w:r>
      <w:r w:rsidR="00675A1D">
        <w:rPr>
          <w:rFonts w:ascii="Verdana" w:hAnsi="Verdana"/>
          <w:sz w:val="24"/>
          <w:szCs w:val="24"/>
        </w:rPr>
        <w:t xml:space="preserve">pueden ser consultados en </w:t>
      </w:r>
      <w:r>
        <w:rPr>
          <w:rFonts w:ascii="Verdana" w:hAnsi="Verdana"/>
          <w:sz w:val="24"/>
          <w:szCs w:val="24"/>
        </w:rPr>
        <w:t xml:space="preserve">el Anexo </w:t>
      </w:r>
      <w:r w:rsidR="00C26407" w:rsidRPr="00C26407">
        <w:rPr>
          <w:rFonts w:ascii="Verdana" w:hAnsi="Verdana"/>
          <w:sz w:val="24"/>
          <w:szCs w:val="24"/>
        </w:rPr>
        <w:t>1A DPS ESTADOS  CONTABLES  Y NOTAS A DIC. 31 DE 2014</w:t>
      </w:r>
      <w:r>
        <w:rPr>
          <w:rFonts w:ascii="Verdana" w:hAnsi="Verdana"/>
          <w:sz w:val="24"/>
          <w:szCs w:val="24"/>
        </w:rPr>
        <w:t>.</w:t>
      </w:r>
    </w:p>
    <w:p w:rsidR="00C26407" w:rsidRDefault="00C26407" w:rsidP="00FC7F0E">
      <w:pPr>
        <w:pStyle w:val="Prrafodelista"/>
        <w:spacing w:after="0" w:line="240" w:lineRule="auto"/>
        <w:jc w:val="both"/>
        <w:rPr>
          <w:rFonts w:ascii="Verdana" w:hAnsi="Verdana"/>
          <w:sz w:val="24"/>
          <w:szCs w:val="24"/>
        </w:rPr>
      </w:pPr>
    </w:p>
    <w:p w:rsidR="00C26407" w:rsidRDefault="00C26407" w:rsidP="00FC7F0E">
      <w:pPr>
        <w:pStyle w:val="Prrafodelista"/>
        <w:spacing w:after="0" w:line="240" w:lineRule="auto"/>
        <w:jc w:val="both"/>
        <w:rPr>
          <w:rFonts w:ascii="Verdana" w:hAnsi="Verdana"/>
          <w:sz w:val="24"/>
          <w:szCs w:val="24"/>
        </w:rPr>
      </w:pPr>
      <w:r>
        <w:rPr>
          <w:rFonts w:ascii="Verdana" w:hAnsi="Verdana"/>
          <w:sz w:val="24"/>
          <w:szCs w:val="24"/>
        </w:rPr>
        <w:t xml:space="preserve">Igualmente el comparativo de las dos últimas vigencias, puede ser consultado en el </w:t>
      </w:r>
      <w:r w:rsidRPr="00C26407">
        <w:rPr>
          <w:rFonts w:ascii="Verdana" w:hAnsi="Verdana"/>
          <w:sz w:val="24"/>
          <w:szCs w:val="24"/>
        </w:rPr>
        <w:t>ANEXO 1B COMPARATIVO ESTADOS CONTABLES  2014 - 2013</w:t>
      </w:r>
    </w:p>
    <w:p w:rsidR="00FC7F0E" w:rsidRPr="001D7E2C" w:rsidRDefault="00FC7F0E" w:rsidP="00FC7F0E">
      <w:pPr>
        <w:pStyle w:val="Prrafodelista"/>
        <w:spacing w:after="0" w:line="240" w:lineRule="auto"/>
        <w:jc w:val="both"/>
        <w:rPr>
          <w:rFonts w:ascii="Verdana" w:hAnsi="Verdana"/>
          <w:sz w:val="24"/>
          <w:szCs w:val="24"/>
        </w:rPr>
      </w:pPr>
    </w:p>
    <w:p w:rsidR="0051259B" w:rsidRDefault="0051259B" w:rsidP="00E03F3E">
      <w:pPr>
        <w:pStyle w:val="Ttulo1"/>
        <w:spacing w:before="0" w:after="0" w:line="240" w:lineRule="auto"/>
        <w:rPr>
          <w:rFonts w:ascii="Verdana" w:hAnsi="Verdana"/>
          <w:color w:val="548DD4" w:themeColor="text2" w:themeTint="99"/>
          <w:sz w:val="28"/>
          <w:szCs w:val="28"/>
        </w:rPr>
      </w:pPr>
      <w:bookmarkStart w:id="9" w:name="_Toc410376771"/>
    </w:p>
    <w:p w:rsidR="001F1B2D" w:rsidRDefault="001F1B2D" w:rsidP="00E03F3E">
      <w:pPr>
        <w:pStyle w:val="Ttulo1"/>
        <w:spacing w:before="0" w:after="0" w:line="240" w:lineRule="auto"/>
        <w:rPr>
          <w:rFonts w:ascii="Verdana" w:hAnsi="Verdana"/>
          <w:color w:val="548DD4" w:themeColor="text2" w:themeTint="99"/>
          <w:sz w:val="28"/>
          <w:szCs w:val="28"/>
        </w:rPr>
      </w:pPr>
      <w:r w:rsidRPr="001F1B2D">
        <w:rPr>
          <w:rFonts w:ascii="Verdana" w:hAnsi="Verdana"/>
          <w:noProof/>
          <w:color w:val="548DD4" w:themeColor="text2" w:themeTint="99"/>
          <w:sz w:val="28"/>
          <w:szCs w:val="28"/>
          <w:lang w:eastAsia="es-CO"/>
        </w:rPr>
        <w:drawing>
          <wp:inline distT="0" distB="0" distL="0" distR="0">
            <wp:extent cx="216024" cy="216024"/>
            <wp:effectExtent l="19050" t="0" r="0" b="0"/>
            <wp:docPr id="454"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7236296" y="2924944"/>
                      <a:chExt cx="216024" cy="216024"/>
                    </a:xfrm>
                  </a:grpSpPr>
                  <a:sp>
                    <a:nvSpPr>
                      <a:cNvPr id="39" name="38 Rectángulo redondeado"/>
                      <a:cNvSpPr/>
                    </a:nvSpPr>
                    <a:spPr>
                      <a:xfrm>
                        <a:off x="7236296" y="2924944"/>
                        <a:ext cx="216024" cy="216024"/>
                      </a:xfrm>
                      <a:prstGeom prst="roundRect">
                        <a:avLst/>
                      </a:prstGeom>
                      <a:gradFill flip="none" rotWithShape="1">
                        <a:gsLst>
                          <a:gs pos="0">
                            <a:schemeClr val="tx2">
                              <a:lumMod val="40000"/>
                              <a:lumOff val="60000"/>
                              <a:shade val="30000"/>
                              <a:satMod val="115000"/>
                            </a:schemeClr>
                          </a:gs>
                          <a:gs pos="50000">
                            <a:schemeClr val="tx2">
                              <a:lumMod val="40000"/>
                              <a:lumOff val="60000"/>
                              <a:shade val="67500"/>
                              <a:satMod val="115000"/>
                            </a:schemeClr>
                          </a:gs>
                          <a:gs pos="100000">
                            <a:schemeClr val="tx2">
                              <a:lumMod val="40000"/>
                              <a:lumOff val="60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dirty="0">
                            <a:solidFill>
                              <a:schemeClr val="accent4">
                                <a:lumMod val="40000"/>
                                <a:lumOff val="60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hAnsi="Verdana"/>
          <w:color w:val="548DD4" w:themeColor="text2" w:themeTint="99"/>
          <w:sz w:val="28"/>
          <w:szCs w:val="28"/>
        </w:rPr>
        <w:t xml:space="preserve">  </w:t>
      </w:r>
      <w:r w:rsidR="0007719D">
        <w:rPr>
          <w:rFonts w:ascii="Verdana" w:hAnsi="Verdana"/>
          <w:color w:val="548DD4" w:themeColor="text2" w:themeTint="99"/>
          <w:sz w:val="28"/>
          <w:szCs w:val="28"/>
        </w:rPr>
        <w:t>CUMPLIMIENTO DE METAS</w:t>
      </w:r>
    </w:p>
    <w:p w:rsidR="001F1B2D" w:rsidRDefault="001F1B2D" w:rsidP="00E03F3E">
      <w:pPr>
        <w:pStyle w:val="Ttulo1"/>
        <w:spacing w:before="0" w:after="0" w:line="240" w:lineRule="auto"/>
        <w:rPr>
          <w:rFonts w:ascii="Verdana" w:hAnsi="Verdana"/>
          <w:color w:val="548DD4" w:themeColor="text2" w:themeTint="99"/>
          <w:sz w:val="28"/>
          <w:szCs w:val="28"/>
        </w:rPr>
      </w:pPr>
    </w:p>
    <w:p w:rsidR="00DA252E" w:rsidRPr="001F1B2D" w:rsidRDefault="00DA252E" w:rsidP="00E03F3E">
      <w:pPr>
        <w:pStyle w:val="Ttulo1"/>
        <w:spacing w:before="0" w:after="0" w:line="240" w:lineRule="auto"/>
        <w:rPr>
          <w:rFonts w:ascii="Verdana" w:hAnsi="Verdana"/>
          <w:color w:val="548DD4" w:themeColor="text2" w:themeTint="99"/>
          <w:sz w:val="28"/>
          <w:szCs w:val="28"/>
        </w:rPr>
      </w:pPr>
      <w:r w:rsidRPr="001F1B2D">
        <w:rPr>
          <w:rFonts w:ascii="Verdana" w:hAnsi="Verdana"/>
          <w:color w:val="548DD4" w:themeColor="text2" w:themeTint="99"/>
          <w:sz w:val="28"/>
          <w:szCs w:val="28"/>
        </w:rPr>
        <w:t>INTERVENCIÓN POR LÍNEAS DE ACCIÓN</w:t>
      </w:r>
      <w:bookmarkEnd w:id="9"/>
    </w:p>
    <w:p w:rsidR="001F1B2D" w:rsidRDefault="001F1B2D" w:rsidP="00DA252E">
      <w:pPr>
        <w:spacing w:after="0" w:line="240" w:lineRule="auto"/>
        <w:jc w:val="center"/>
        <w:rPr>
          <w:rFonts w:ascii="Verdana" w:hAnsi="Verdana"/>
          <w:b/>
          <w:sz w:val="24"/>
          <w:szCs w:val="24"/>
        </w:rPr>
      </w:pPr>
    </w:p>
    <w:p w:rsidR="00DA252E" w:rsidRPr="001F1B2D" w:rsidRDefault="00DA252E" w:rsidP="001F1B2D">
      <w:pPr>
        <w:pStyle w:val="Ttulo2"/>
        <w:spacing w:before="0" w:after="0" w:line="240" w:lineRule="auto"/>
        <w:rPr>
          <w:rFonts w:ascii="Verdana" w:hAnsi="Verdana"/>
          <w:i w:val="0"/>
          <w:color w:val="548DD4" w:themeColor="text2" w:themeTint="99"/>
          <w:sz w:val="24"/>
        </w:rPr>
      </w:pPr>
      <w:bookmarkStart w:id="10" w:name="_Toc410376772"/>
      <w:r w:rsidRPr="001F1B2D">
        <w:rPr>
          <w:rFonts w:ascii="Verdana" w:hAnsi="Verdana"/>
          <w:i w:val="0"/>
          <w:color w:val="548DD4" w:themeColor="text2" w:themeTint="99"/>
          <w:sz w:val="24"/>
        </w:rPr>
        <w:t>TRANSFERENCIAS MONETARIAS CONDICIONADAS</w:t>
      </w:r>
      <w:bookmarkEnd w:id="10"/>
    </w:p>
    <w:p w:rsidR="00DA252E" w:rsidRPr="00F51E59" w:rsidRDefault="00DA252E" w:rsidP="00DA252E">
      <w:pPr>
        <w:spacing w:after="0" w:line="240" w:lineRule="auto"/>
        <w:jc w:val="center"/>
        <w:rPr>
          <w:rFonts w:ascii="Verdana" w:hAnsi="Verdana"/>
          <w:b/>
          <w:color w:val="548DD4" w:themeColor="text2" w:themeTint="99"/>
          <w:sz w:val="24"/>
          <w:szCs w:val="24"/>
        </w:rPr>
      </w:pPr>
    </w:p>
    <w:p w:rsidR="001F1B2D" w:rsidRDefault="001F1B2D" w:rsidP="00DA252E">
      <w:pPr>
        <w:pStyle w:val="Ttulo3"/>
        <w:spacing w:before="0" w:after="0" w:line="240" w:lineRule="auto"/>
        <w:rPr>
          <w:rFonts w:ascii="Verdana" w:hAnsi="Verdana"/>
          <w:color w:val="548DD4" w:themeColor="text2" w:themeTint="99"/>
          <w:sz w:val="24"/>
          <w:szCs w:val="24"/>
          <w:u w:val="single"/>
        </w:rPr>
      </w:pPr>
      <w:bookmarkStart w:id="11" w:name="_Toc410035267"/>
      <w:bookmarkStart w:id="12" w:name="_Toc410111278"/>
      <w:bookmarkStart w:id="13" w:name="_Toc410376773"/>
    </w:p>
    <w:p w:rsidR="00DA252E" w:rsidRPr="0063678D" w:rsidRDefault="00DA252E" w:rsidP="00DA252E">
      <w:pPr>
        <w:pStyle w:val="Ttulo3"/>
        <w:spacing w:before="0" w:after="0" w:line="240" w:lineRule="auto"/>
        <w:rPr>
          <w:rFonts w:ascii="Verdana" w:hAnsi="Verdana"/>
          <w:sz w:val="24"/>
          <w:szCs w:val="24"/>
          <w:u w:val="single"/>
        </w:rPr>
      </w:pPr>
      <w:r w:rsidRPr="0063678D">
        <w:rPr>
          <w:rFonts w:ascii="Verdana" w:hAnsi="Verdana"/>
          <w:color w:val="548DD4" w:themeColor="text2" w:themeTint="99"/>
          <w:sz w:val="24"/>
          <w:szCs w:val="24"/>
          <w:u w:val="single"/>
        </w:rPr>
        <w:t>MÁS FAMILIAS EN ACCIÓN</w:t>
      </w:r>
      <w:bookmarkEnd w:id="11"/>
      <w:bookmarkEnd w:id="12"/>
      <w:bookmarkEnd w:id="13"/>
    </w:p>
    <w:p w:rsidR="00DA252E" w:rsidRPr="00F71B84" w:rsidRDefault="00DA252E" w:rsidP="00DA252E">
      <w:pPr>
        <w:spacing w:after="0" w:line="240" w:lineRule="auto"/>
        <w:jc w:val="center"/>
        <w:rPr>
          <w:rFonts w:ascii="Verdana" w:hAnsi="Verdana"/>
          <w:b/>
          <w:sz w:val="24"/>
          <w:szCs w:val="24"/>
        </w:rPr>
      </w:pPr>
    </w:p>
    <w:p w:rsidR="00DA252E" w:rsidRDefault="00DA252E" w:rsidP="00DA252E">
      <w:pPr>
        <w:spacing w:after="0" w:line="240" w:lineRule="auto"/>
        <w:rPr>
          <w:rFonts w:ascii="Verdana" w:hAnsi="Verdana"/>
          <w:b/>
          <w:color w:val="4F81BD" w:themeColor="accent1"/>
          <w:sz w:val="24"/>
          <w:szCs w:val="24"/>
        </w:rPr>
      </w:pPr>
      <w:r w:rsidRPr="003D3858">
        <w:rPr>
          <w:rFonts w:ascii="Verdana" w:hAnsi="Verdana"/>
          <w:b/>
          <w:color w:val="4F81BD" w:themeColor="accent1"/>
          <w:sz w:val="24"/>
          <w:szCs w:val="24"/>
        </w:rPr>
        <w:t>Objetivo</w:t>
      </w:r>
    </w:p>
    <w:p w:rsidR="00DA252E" w:rsidRPr="003D3858" w:rsidRDefault="00DA252E" w:rsidP="00DA252E">
      <w:pPr>
        <w:spacing w:after="0" w:line="240" w:lineRule="auto"/>
        <w:rPr>
          <w:rFonts w:ascii="Verdana" w:hAnsi="Verdana"/>
          <w:b/>
          <w:color w:val="4F81BD" w:themeColor="accent1"/>
          <w:sz w:val="24"/>
          <w:szCs w:val="24"/>
        </w:rPr>
      </w:pPr>
    </w:p>
    <w:p w:rsidR="00DA252E" w:rsidRPr="00F71B84" w:rsidRDefault="00DA252E" w:rsidP="00DA252E">
      <w:pPr>
        <w:autoSpaceDE w:val="0"/>
        <w:autoSpaceDN w:val="0"/>
        <w:adjustRightInd w:val="0"/>
        <w:spacing w:after="0" w:line="240" w:lineRule="auto"/>
        <w:jc w:val="both"/>
        <w:rPr>
          <w:rFonts w:ascii="Verdana" w:hAnsi="Verdana"/>
          <w:sz w:val="24"/>
          <w:szCs w:val="24"/>
        </w:rPr>
      </w:pPr>
      <w:r w:rsidRPr="00F71B84">
        <w:rPr>
          <w:rFonts w:ascii="Verdana" w:hAnsi="Verdana"/>
          <w:sz w:val="24"/>
          <w:szCs w:val="24"/>
        </w:rPr>
        <w:t xml:space="preserve">Mantener y aumentar la inversión que las familias en extrema pobreza, hacen sobre el capital humano de sus hijos mediante la reducción de  la inasistencia y </w:t>
      </w:r>
      <w:r w:rsidRPr="00F71B84">
        <w:rPr>
          <w:rFonts w:ascii="Verdana" w:hAnsi="Verdana"/>
          <w:sz w:val="24"/>
          <w:szCs w:val="24"/>
        </w:rPr>
        <w:lastRenderedPageBreak/>
        <w:t>deserción de los alumnos de educación primaria y secundaria y aumentar la atención de salud de los niños menores de siete años, para  contribuir a la formación de capital humano de las familias en extrema pobreza (Sisben, comunidades indígenas, desplazados y Unidos).</w:t>
      </w:r>
    </w:p>
    <w:p w:rsidR="00DA252E" w:rsidRPr="00F71B84" w:rsidRDefault="00DA252E" w:rsidP="00DA252E">
      <w:pPr>
        <w:spacing w:after="0" w:line="240" w:lineRule="auto"/>
        <w:jc w:val="both"/>
        <w:rPr>
          <w:rFonts w:ascii="Verdana" w:hAnsi="Verdana"/>
          <w:sz w:val="24"/>
          <w:szCs w:val="24"/>
        </w:rPr>
      </w:pPr>
    </w:p>
    <w:p w:rsidR="00DA252E" w:rsidRPr="00071B2F" w:rsidRDefault="00DA252E" w:rsidP="00727A10">
      <w:pPr>
        <w:pStyle w:val="Prrafodelista"/>
        <w:numPr>
          <w:ilvl w:val="0"/>
          <w:numId w:val="3"/>
        </w:numPr>
        <w:spacing w:after="0" w:line="240" w:lineRule="auto"/>
        <w:ind w:left="709" w:hanging="283"/>
        <w:jc w:val="both"/>
        <w:rPr>
          <w:rFonts w:ascii="Verdana" w:hAnsi="Verdana"/>
          <w:sz w:val="24"/>
          <w:szCs w:val="24"/>
        </w:rPr>
      </w:pPr>
      <w:r w:rsidRPr="00071B2F">
        <w:rPr>
          <w:rFonts w:ascii="Verdana" w:hAnsi="Verdana"/>
          <w:sz w:val="24"/>
          <w:szCs w:val="24"/>
        </w:rPr>
        <w:t>Disminuir la inasistencia escolar en niñas, niños entre 7 y 18 años</w:t>
      </w:r>
      <w:r>
        <w:rPr>
          <w:rFonts w:ascii="Verdana" w:hAnsi="Verdana"/>
          <w:sz w:val="24"/>
          <w:szCs w:val="24"/>
        </w:rPr>
        <w:t>.</w:t>
      </w:r>
    </w:p>
    <w:p w:rsidR="00DA252E" w:rsidRPr="00071B2F" w:rsidRDefault="00DA252E" w:rsidP="00727A10">
      <w:pPr>
        <w:pStyle w:val="Prrafodelista"/>
        <w:numPr>
          <w:ilvl w:val="0"/>
          <w:numId w:val="3"/>
        </w:numPr>
        <w:spacing w:after="0" w:line="240" w:lineRule="auto"/>
        <w:ind w:left="709" w:hanging="283"/>
        <w:jc w:val="both"/>
        <w:rPr>
          <w:rFonts w:ascii="Verdana" w:hAnsi="Verdana"/>
          <w:sz w:val="24"/>
          <w:szCs w:val="24"/>
        </w:rPr>
      </w:pPr>
      <w:r w:rsidRPr="00071B2F">
        <w:rPr>
          <w:rFonts w:ascii="Verdana" w:hAnsi="Verdana"/>
          <w:sz w:val="24"/>
          <w:szCs w:val="24"/>
        </w:rPr>
        <w:t>Incentivar las prácticas de cuidado de los niños, mujeres, adolescentes y jóvenes en aspectos tales como salud, lactancia materna, desarrollo infantil temprano y nutrición</w:t>
      </w:r>
      <w:r>
        <w:rPr>
          <w:rFonts w:ascii="Verdana" w:hAnsi="Verdana"/>
          <w:sz w:val="24"/>
          <w:szCs w:val="24"/>
        </w:rPr>
        <w:t>.</w:t>
      </w:r>
    </w:p>
    <w:p w:rsidR="00DA252E" w:rsidRPr="00071B2F" w:rsidRDefault="00DA252E" w:rsidP="00727A10">
      <w:pPr>
        <w:pStyle w:val="Prrafodelista"/>
        <w:numPr>
          <w:ilvl w:val="0"/>
          <w:numId w:val="3"/>
        </w:numPr>
        <w:spacing w:after="0" w:line="240" w:lineRule="auto"/>
        <w:ind w:left="709" w:hanging="283"/>
        <w:jc w:val="both"/>
        <w:rPr>
          <w:rFonts w:ascii="Verdana" w:hAnsi="Verdana"/>
          <w:sz w:val="24"/>
          <w:szCs w:val="24"/>
        </w:rPr>
      </w:pPr>
      <w:r w:rsidRPr="00071B2F">
        <w:rPr>
          <w:rFonts w:ascii="Verdana" w:hAnsi="Verdana"/>
          <w:sz w:val="24"/>
          <w:szCs w:val="24"/>
        </w:rPr>
        <w:t>Asegurar la asistencia a controles de crecimiento y desarrollo para niños, niñas entre 0 y 7 años</w:t>
      </w:r>
      <w:r>
        <w:rPr>
          <w:rFonts w:ascii="Verdana" w:hAnsi="Verdana"/>
          <w:sz w:val="24"/>
          <w:szCs w:val="24"/>
        </w:rPr>
        <w:t>.</w:t>
      </w:r>
    </w:p>
    <w:p w:rsidR="00DA252E" w:rsidRDefault="00DA252E" w:rsidP="00DA252E">
      <w:pPr>
        <w:pStyle w:val="Default"/>
        <w:rPr>
          <w:rFonts w:ascii="Verdana" w:hAnsi="Verdana"/>
          <w:b/>
          <w:color w:val="4F81BD" w:themeColor="accent1"/>
        </w:rPr>
      </w:pPr>
    </w:p>
    <w:p w:rsidR="00DA252E" w:rsidRDefault="00DA252E" w:rsidP="00DA252E">
      <w:pPr>
        <w:pStyle w:val="Default"/>
        <w:rPr>
          <w:rFonts w:ascii="Verdana" w:hAnsi="Verdana"/>
          <w:b/>
          <w:color w:val="4F81BD" w:themeColor="accent1"/>
        </w:rPr>
      </w:pPr>
    </w:p>
    <w:p w:rsidR="00DA252E" w:rsidRPr="008533D4" w:rsidRDefault="00DA252E" w:rsidP="00DA252E">
      <w:pPr>
        <w:pStyle w:val="Default"/>
        <w:rPr>
          <w:rFonts w:ascii="Verdana" w:hAnsi="Verdana"/>
          <w:b/>
          <w:color w:val="4F81BD" w:themeColor="accent1"/>
        </w:rPr>
      </w:pPr>
      <w:r w:rsidRPr="008533D4">
        <w:rPr>
          <w:rFonts w:ascii="Verdana" w:hAnsi="Verdana"/>
          <w:b/>
          <w:color w:val="4F81BD" w:themeColor="accent1"/>
        </w:rPr>
        <w:t>Cumplimiento de Metas</w:t>
      </w:r>
    </w:p>
    <w:p w:rsidR="00DA252E" w:rsidRPr="00F71B84" w:rsidRDefault="00DA252E" w:rsidP="00DA252E">
      <w:pPr>
        <w:pStyle w:val="Default"/>
        <w:rPr>
          <w:rFonts w:ascii="Verdana" w:hAnsi="Verdana"/>
        </w:rPr>
      </w:pPr>
    </w:p>
    <w:p w:rsidR="00DA252E" w:rsidRPr="00587738" w:rsidRDefault="00DA252E" w:rsidP="00DA252E">
      <w:pPr>
        <w:spacing w:after="0" w:line="240" w:lineRule="auto"/>
        <w:jc w:val="both"/>
        <w:rPr>
          <w:rFonts w:ascii="Verdana" w:hAnsi="Verdana"/>
          <w:sz w:val="24"/>
          <w:szCs w:val="24"/>
        </w:rPr>
      </w:pPr>
      <w:r w:rsidRPr="00587738">
        <w:rPr>
          <w:rFonts w:ascii="Verdana" w:hAnsi="Verdana"/>
          <w:sz w:val="24"/>
          <w:szCs w:val="24"/>
        </w:rPr>
        <w:t>Meta 2014: 2.600</w:t>
      </w:r>
      <w:r>
        <w:rPr>
          <w:rFonts w:ascii="Verdana" w:hAnsi="Verdana"/>
          <w:sz w:val="24"/>
          <w:szCs w:val="24"/>
        </w:rPr>
        <w:t>.000</w:t>
      </w:r>
      <w:r w:rsidRPr="00587738">
        <w:rPr>
          <w:rFonts w:ascii="Verdana" w:hAnsi="Verdana"/>
          <w:sz w:val="24"/>
          <w:szCs w:val="24"/>
        </w:rPr>
        <w:t xml:space="preserve"> Familias</w:t>
      </w:r>
    </w:p>
    <w:p w:rsidR="00DA252E" w:rsidRPr="00587738" w:rsidRDefault="00DA252E" w:rsidP="00DA252E">
      <w:pPr>
        <w:spacing w:after="0" w:line="240" w:lineRule="auto"/>
        <w:jc w:val="both"/>
        <w:rPr>
          <w:rFonts w:ascii="Verdana" w:hAnsi="Verdana"/>
          <w:sz w:val="24"/>
          <w:szCs w:val="24"/>
        </w:rPr>
      </w:pPr>
      <w:r w:rsidRPr="00587738">
        <w:rPr>
          <w:rFonts w:ascii="Verdana" w:hAnsi="Verdana"/>
          <w:sz w:val="24"/>
          <w:szCs w:val="24"/>
        </w:rPr>
        <w:t>Avance Meta: 2.676.386 Familias</w:t>
      </w:r>
    </w:p>
    <w:p w:rsidR="00DA252E" w:rsidRDefault="00DA252E" w:rsidP="00DA252E">
      <w:pPr>
        <w:spacing w:after="0" w:line="240" w:lineRule="auto"/>
        <w:jc w:val="both"/>
        <w:rPr>
          <w:rFonts w:ascii="Verdana" w:hAnsi="Verdana"/>
          <w:sz w:val="24"/>
          <w:szCs w:val="24"/>
        </w:rPr>
      </w:pPr>
    </w:p>
    <w:p w:rsidR="00DA252E" w:rsidRDefault="00DA252E" w:rsidP="00DA252E">
      <w:pPr>
        <w:spacing w:after="0" w:line="240" w:lineRule="auto"/>
        <w:jc w:val="both"/>
        <w:rPr>
          <w:rFonts w:ascii="Verdana" w:hAnsi="Verdana"/>
          <w:sz w:val="24"/>
          <w:szCs w:val="24"/>
        </w:rPr>
      </w:pPr>
      <w:r w:rsidRPr="009971B5">
        <w:rPr>
          <w:rFonts w:ascii="Verdana" w:hAnsi="Verdana"/>
          <w:sz w:val="24"/>
          <w:szCs w:val="24"/>
        </w:rPr>
        <w:t>De acuerdo con las metas señaladas en el plan de acción para el 2014, Más Familias en Acción (MFA)  atendió en promedio un total de 2.676.386 Familias con cumplimiento de corresponsabilidades en salud y educación, que corresponde a 4.807.772 Niños, Niñas y Adolescentes (NNA) beneficiados.  Estos datos dan cuenta del cumplimiento del 100% de las metas previstas.</w:t>
      </w:r>
      <w:r w:rsidRPr="00F71B84">
        <w:rPr>
          <w:rFonts w:ascii="Verdana" w:hAnsi="Verdana"/>
          <w:sz w:val="24"/>
          <w:szCs w:val="24"/>
        </w:rPr>
        <w:t xml:space="preserve">  </w:t>
      </w:r>
    </w:p>
    <w:p w:rsidR="00DA252E" w:rsidRPr="00F71B84" w:rsidRDefault="00DA252E" w:rsidP="00DA252E">
      <w:pPr>
        <w:spacing w:after="0" w:line="240" w:lineRule="auto"/>
        <w:jc w:val="both"/>
        <w:rPr>
          <w:rFonts w:ascii="Verdana" w:hAnsi="Verdana"/>
          <w:sz w:val="24"/>
          <w:szCs w:val="24"/>
        </w:rPr>
      </w:pPr>
    </w:p>
    <w:p w:rsidR="00DA252E" w:rsidRDefault="00DA252E" w:rsidP="00DA252E">
      <w:pPr>
        <w:spacing w:after="0" w:line="240" w:lineRule="auto"/>
        <w:rPr>
          <w:rFonts w:ascii="Verdana" w:hAnsi="Verdana"/>
          <w:b/>
          <w:color w:val="4F81BD" w:themeColor="accent1"/>
          <w:sz w:val="24"/>
        </w:rPr>
      </w:pPr>
      <w:r>
        <w:rPr>
          <w:rFonts w:ascii="Verdana" w:hAnsi="Verdana"/>
          <w:b/>
          <w:color w:val="4F81BD" w:themeColor="accent1"/>
          <w:sz w:val="24"/>
        </w:rPr>
        <w:t>Logros</w:t>
      </w:r>
    </w:p>
    <w:p w:rsidR="00DA252E" w:rsidRPr="008533D4" w:rsidRDefault="00DA252E" w:rsidP="00DA252E">
      <w:pPr>
        <w:spacing w:after="0" w:line="240" w:lineRule="auto"/>
        <w:rPr>
          <w:rFonts w:ascii="Verdana" w:hAnsi="Verdana"/>
          <w:b/>
          <w:color w:val="4F81BD" w:themeColor="accent1"/>
          <w:sz w:val="24"/>
        </w:rPr>
      </w:pPr>
    </w:p>
    <w:p w:rsidR="00DA252E" w:rsidRPr="003A358A" w:rsidRDefault="00DA252E" w:rsidP="001F1B2D">
      <w:pPr>
        <w:pStyle w:val="Prrafodelista"/>
        <w:numPr>
          <w:ilvl w:val="0"/>
          <w:numId w:val="4"/>
        </w:numPr>
        <w:spacing w:after="0" w:line="240" w:lineRule="auto"/>
        <w:ind w:left="709" w:hanging="283"/>
        <w:jc w:val="both"/>
        <w:rPr>
          <w:rFonts w:ascii="Verdana" w:hAnsi="Verdana"/>
          <w:i/>
          <w:sz w:val="24"/>
          <w:szCs w:val="24"/>
          <w:lang w:val="es-ES"/>
        </w:rPr>
      </w:pPr>
      <w:r w:rsidRPr="003A358A">
        <w:rPr>
          <w:rFonts w:ascii="Verdana" w:hAnsi="Verdana"/>
          <w:i/>
          <w:sz w:val="24"/>
          <w:szCs w:val="24"/>
          <w:lang w:val="es-ES"/>
        </w:rPr>
        <w:t>Se desarrolló una funcionalidad en el sistema de información SIFA que permite que los rectores de las instituciones educativas accedan directamente a la información de los NNA matriculados, para reportar su asistencia a clases.  Con ello, se logra que las familias inviertan menos recursos en desplazarse a las instituciones  y a la oficina del enlace municipal para hacer entrega de la información respectiva.</w:t>
      </w:r>
    </w:p>
    <w:p w:rsidR="00DA252E" w:rsidRPr="003A358A" w:rsidRDefault="00DA252E" w:rsidP="001F1B2D">
      <w:pPr>
        <w:pStyle w:val="Prrafodelista"/>
        <w:numPr>
          <w:ilvl w:val="0"/>
          <w:numId w:val="4"/>
        </w:numPr>
        <w:spacing w:after="0" w:line="240" w:lineRule="auto"/>
        <w:ind w:left="709" w:hanging="283"/>
        <w:jc w:val="both"/>
        <w:rPr>
          <w:rFonts w:ascii="Verdana" w:hAnsi="Verdana"/>
          <w:i/>
          <w:sz w:val="24"/>
          <w:szCs w:val="24"/>
          <w:lang w:val="es-ES"/>
        </w:rPr>
      </w:pPr>
      <w:r w:rsidRPr="003A358A">
        <w:rPr>
          <w:rFonts w:ascii="Verdana" w:hAnsi="Verdana"/>
          <w:i/>
          <w:sz w:val="24"/>
          <w:szCs w:val="24"/>
          <w:lang w:val="es-ES"/>
        </w:rPr>
        <w:t xml:space="preserve">Se lograron acuerdos institucionales para hacer entrega de la información con que cuenta el programa, particularmente al Ministerio de Educación Nacional (MEN), que permite la búsqueda activa de NNA que se encuentran desescolarizados. </w:t>
      </w:r>
    </w:p>
    <w:p w:rsidR="00DA252E" w:rsidRPr="003A358A" w:rsidRDefault="00DA252E" w:rsidP="001F1B2D">
      <w:pPr>
        <w:pStyle w:val="Prrafodelista"/>
        <w:numPr>
          <w:ilvl w:val="0"/>
          <w:numId w:val="4"/>
        </w:numPr>
        <w:spacing w:after="0" w:line="240" w:lineRule="auto"/>
        <w:ind w:left="709" w:hanging="283"/>
        <w:jc w:val="both"/>
        <w:rPr>
          <w:rFonts w:ascii="Verdana" w:hAnsi="Verdana"/>
          <w:i/>
          <w:sz w:val="24"/>
          <w:szCs w:val="24"/>
          <w:lang w:val="es-ES"/>
        </w:rPr>
      </w:pPr>
      <w:r w:rsidRPr="003A358A">
        <w:rPr>
          <w:rFonts w:ascii="Verdana" w:hAnsi="Verdana"/>
          <w:i/>
          <w:sz w:val="24"/>
          <w:szCs w:val="24"/>
          <w:lang w:val="es-ES"/>
        </w:rPr>
        <w:t xml:space="preserve">Se trabajó en el desarrollo de una estrategia que permita introducir el concepto de oportunidad en la asistencia a los controles de crecimiento y </w:t>
      </w:r>
      <w:r w:rsidRPr="003A358A">
        <w:rPr>
          <w:rFonts w:ascii="Verdana" w:hAnsi="Verdana"/>
          <w:i/>
          <w:sz w:val="24"/>
          <w:szCs w:val="24"/>
          <w:lang w:val="es-ES"/>
        </w:rPr>
        <w:lastRenderedPageBreak/>
        <w:t>desarrollo, buscando con ello que los Niños y Niñas (NN) asistan a estos controles cuando debe ser y no cuando puede la madre o le asignan la cita.</w:t>
      </w:r>
    </w:p>
    <w:p w:rsidR="00DA252E" w:rsidRPr="003A358A" w:rsidRDefault="00DA252E" w:rsidP="001F1B2D">
      <w:pPr>
        <w:pStyle w:val="Prrafodelista"/>
        <w:numPr>
          <w:ilvl w:val="0"/>
          <w:numId w:val="4"/>
        </w:numPr>
        <w:spacing w:after="0" w:line="240" w:lineRule="auto"/>
        <w:ind w:left="709" w:hanging="283"/>
        <w:jc w:val="both"/>
        <w:rPr>
          <w:rFonts w:ascii="Verdana" w:hAnsi="Verdana"/>
          <w:i/>
          <w:sz w:val="24"/>
          <w:szCs w:val="24"/>
          <w:lang w:val="es-ES"/>
        </w:rPr>
      </w:pPr>
      <w:r w:rsidRPr="003A358A">
        <w:rPr>
          <w:rFonts w:ascii="Verdana" w:hAnsi="Verdana"/>
          <w:i/>
          <w:sz w:val="24"/>
          <w:szCs w:val="24"/>
          <w:lang w:val="es-ES"/>
        </w:rPr>
        <w:t>Se expidió la Circular Conjunta No. 30 entre el MEN y el DPS para impartir lineamientos en los temas de acceso, permanencia, convivencia escolar y  alfabetización</w:t>
      </w:r>
      <w:r w:rsidRPr="003A358A">
        <w:rPr>
          <w:rFonts w:ascii="Verdana" w:hAnsi="Verdana"/>
          <w:i/>
          <w:szCs w:val="20"/>
        </w:rPr>
        <w:t>.</w:t>
      </w:r>
    </w:p>
    <w:p w:rsidR="00DA252E" w:rsidRPr="003A358A" w:rsidRDefault="00DA252E" w:rsidP="001F1B2D">
      <w:pPr>
        <w:pStyle w:val="Prrafodelista"/>
        <w:numPr>
          <w:ilvl w:val="0"/>
          <w:numId w:val="4"/>
        </w:numPr>
        <w:spacing w:after="0" w:line="240" w:lineRule="auto"/>
        <w:ind w:left="709" w:hanging="283"/>
        <w:jc w:val="both"/>
        <w:rPr>
          <w:rFonts w:ascii="Verdana" w:hAnsi="Verdana"/>
          <w:i/>
          <w:sz w:val="24"/>
          <w:szCs w:val="24"/>
          <w:lang w:val="es-ES"/>
        </w:rPr>
      </w:pPr>
      <w:r w:rsidRPr="003A358A">
        <w:rPr>
          <w:rFonts w:ascii="Verdana" w:hAnsi="Verdana"/>
          <w:i/>
          <w:sz w:val="24"/>
          <w:szCs w:val="24"/>
          <w:lang w:val="es-ES"/>
        </w:rPr>
        <w:t>Se programaron y realizaron las asambleas municipales de rendición de cuentas, donde el alcalde de cada municipio rindió el informe de gestión y avance del programa.</w:t>
      </w:r>
    </w:p>
    <w:p w:rsidR="00DA252E" w:rsidRPr="003A358A" w:rsidRDefault="00DA252E" w:rsidP="001F1B2D">
      <w:pPr>
        <w:pStyle w:val="Prrafodelista"/>
        <w:numPr>
          <w:ilvl w:val="0"/>
          <w:numId w:val="4"/>
        </w:numPr>
        <w:spacing w:after="0" w:line="240" w:lineRule="auto"/>
        <w:ind w:left="709" w:hanging="283"/>
        <w:jc w:val="both"/>
        <w:rPr>
          <w:rFonts w:ascii="Verdana" w:hAnsi="Verdana"/>
          <w:i/>
          <w:sz w:val="24"/>
          <w:szCs w:val="24"/>
          <w:lang w:val="es-ES"/>
        </w:rPr>
      </w:pPr>
      <w:r w:rsidRPr="003A358A">
        <w:rPr>
          <w:rFonts w:ascii="Verdana" w:hAnsi="Verdana"/>
          <w:i/>
          <w:sz w:val="24"/>
          <w:szCs w:val="24"/>
          <w:lang w:val="es-ES"/>
        </w:rPr>
        <w:t>Se realizaron 11 foros indígenas para socializar el programa con las autoridades y comunidades indígenas del país.</w:t>
      </w:r>
    </w:p>
    <w:p w:rsidR="00DA252E" w:rsidRPr="003A358A" w:rsidRDefault="00DA252E" w:rsidP="001F1B2D">
      <w:pPr>
        <w:pStyle w:val="Prrafodelista"/>
        <w:numPr>
          <w:ilvl w:val="0"/>
          <w:numId w:val="4"/>
        </w:numPr>
        <w:spacing w:after="0" w:line="240" w:lineRule="auto"/>
        <w:ind w:left="709" w:hanging="283"/>
        <w:jc w:val="both"/>
        <w:rPr>
          <w:rFonts w:ascii="Verdana" w:hAnsi="Verdana"/>
          <w:i/>
          <w:sz w:val="24"/>
          <w:szCs w:val="24"/>
          <w:lang w:val="es-ES"/>
        </w:rPr>
      </w:pPr>
      <w:r w:rsidRPr="003A358A">
        <w:rPr>
          <w:rFonts w:ascii="Verdana" w:hAnsi="Verdana"/>
          <w:i/>
          <w:sz w:val="24"/>
          <w:szCs w:val="24"/>
          <w:lang w:val="es-ES"/>
        </w:rPr>
        <w:t xml:space="preserve">Se promovieron 219.262 familias transición por contar con mejores condiciones de vida. </w:t>
      </w:r>
    </w:p>
    <w:p w:rsidR="00DA252E" w:rsidRDefault="00DA252E" w:rsidP="00DA252E">
      <w:pPr>
        <w:spacing w:after="0" w:line="240" w:lineRule="auto"/>
        <w:rPr>
          <w:rFonts w:ascii="Verdana" w:hAnsi="Verdana"/>
          <w:b/>
          <w:color w:val="4F81BD" w:themeColor="accent1"/>
          <w:sz w:val="24"/>
          <w:szCs w:val="24"/>
        </w:rPr>
      </w:pPr>
    </w:p>
    <w:p w:rsidR="00DA252E" w:rsidRDefault="00DA252E" w:rsidP="00DA252E">
      <w:pPr>
        <w:spacing w:after="0" w:line="240" w:lineRule="auto"/>
        <w:rPr>
          <w:rFonts w:ascii="Verdana" w:hAnsi="Verdana"/>
          <w:b/>
          <w:color w:val="4F81BD" w:themeColor="accent1"/>
          <w:sz w:val="24"/>
          <w:szCs w:val="24"/>
        </w:rPr>
      </w:pPr>
    </w:p>
    <w:p w:rsidR="00DA252E" w:rsidRDefault="00DA252E" w:rsidP="00DA252E">
      <w:pPr>
        <w:spacing w:after="0" w:line="240" w:lineRule="auto"/>
        <w:rPr>
          <w:rFonts w:ascii="Verdana" w:hAnsi="Verdana"/>
          <w:b/>
          <w:color w:val="4F81BD" w:themeColor="accent1"/>
          <w:sz w:val="24"/>
          <w:szCs w:val="24"/>
        </w:rPr>
      </w:pPr>
      <w:r w:rsidRPr="008533D4">
        <w:rPr>
          <w:rFonts w:ascii="Verdana" w:hAnsi="Verdana"/>
          <w:b/>
          <w:color w:val="4F81BD" w:themeColor="accent1"/>
          <w:sz w:val="24"/>
          <w:szCs w:val="24"/>
        </w:rPr>
        <w:t>Retos 2015</w:t>
      </w:r>
    </w:p>
    <w:p w:rsidR="00DA252E" w:rsidRPr="008533D4" w:rsidRDefault="00DA252E" w:rsidP="00DA252E">
      <w:pPr>
        <w:spacing w:after="0" w:line="240" w:lineRule="auto"/>
        <w:rPr>
          <w:rFonts w:ascii="Verdana" w:hAnsi="Verdana"/>
          <w:b/>
          <w:color w:val="4F81BD" w:themeColor="accent1"/>
          <w:sz w:val="24"/>
          <w:szCs w:val="24"/>
        </w:rPr>
      </w:pPr>
    </w:p>
    <w:p w:rsidR="00DA252E" w:rsidRDefault="00DA252E" w:rsidP="00FF784D">
      <w:pPr>
        <w:pStyle w:val="Prrafodelista"/>
        <w:numPr>
          <w:ilvl w:val="0"/>
          <w:numId w:val="28"/>
        </w:numPr>
        <w:tabs>
          <w:tab w:val="left" w:pos="709"/>
        </w:tabs>
        <w:spacing w:after="0" w:line="240" w:lineRule="auto"/>
        <w:ind w:left="709" w:hanging="283"/>
        <w:jc w:val="both"/>
        <w:rPr>
          <w:rFonts w:ascii="Verdana" w:hAnsi="Verdana"/>
          <w:i/>
          <w:sz w:val="24"/>
          <w:szCs w:val="24"/>
        </w:rPr>
      </w:pPr>
      <w:r w:rsidRPr="0038192B">
        <w:rPr>
          <w:rFonts w:ascii="Verdana" w:hAnsi="Verdana"/>
          <w:i/>
          <w:sz w:val="24"/>
          <w:szCs w:val="24"/>
        </w:rPr>
        <w:t>Realizar inscripciones en todo el territorio nacional a partir del segundo trimestre del año y hasta junio, como lo contempla la ley 1532 de 2012  de Familias en Acción, con especial énfasis en los  municipios con mayor pobreza y ruralidad.</w:t>
      </w:r>
    </w:p>
    <w:p w:rsidR="00DA252E" w:rsidRDefault="00DA252E" w:rsidP="00FF784D">
      <w:pPr>
        <w:pStyle w:val="Prrafodelista"/>
        <w:numPr>
          <w:ilvl w:val="0"/>
          <w:numId w:val="28"/>
        </w:numPr>
        <w:tabs>
          <w:tab w:val="left" w:pos="709"/>
        </w:tabs>
        <w:spacing w:after="0" w:line="240" w:lineRule="auto"/>
        <w:ind w:left="709" w:hanging="283"/>
        <w:jc w:val="both"/>
        <w:rPr>
          <w:rFonts w:ascii="Verdana" w:hAnsi="Verdana"/>
          <w:i/>
          <w:sz w:val="24"/>
          <w:szCs w:val="24"/>
        </w:rPr>
      </w:pPr>
      <w:r w:rsidRPr="0038192B">
        <w:rPr>
          <w:rFonts w:ascii="Verdana" w:hAnsi="Verdana"/>
          <w:i/>
          <w:sz w:val="24"/>
          <w:szCs w:val="24"/>
        </w:rPr>
        <w:t xml:space="preserve">Continuar con los acuerdos de articulación entre MFA y el MEN con el fin de desarrollar un trabajo conjunto en el que, a partir de la focalización del programa, los  beneficiarios, puedan ser incluidos en la estrategia de Analfabetismo Cero del MEN. </w:t>
      </w:r>
    </w:p>
    <w:p w:rsidR="00DA252E" w:rsidRDefault="00DA252E" w:rsidP="00FF784D">
      <w:pPr>
        <w:pStyle w:val="Prrafodelista"/>
        <w:numPr>
          <w:ilvl w:val="0"/>
          <w:numId w:val="28"/>
        </w:numPr>
        <w:tabs>
          <w:tab w:val="left" w:pos="709"/>
        </w:tabs>
        <w:spacing w:after="0" w:line="240" w:lineRule="auto"/>
        <w:ind w:left="709" w:hanging="283"/>
        <w:jc w:val="both"/>
        <w:rPr>
          <w:rFonts w:ascii="Verdana" w:hAnsi="Verdana"/>
          <w:i/>
          <w:sz w:val="24"/>
          <w:szCs w:val="24"/>
        </w:rPr>
      </w:pPr>
      <w:r w:rsidRPr="0038192B">
        <w:rPr>
          <w:rFonts w:ascii="Verdana" w:hAnsi="Verdana"/>
          <w:i/>
          <w:sz w:val="24"/>
          <w:szCs w:val="24"/>
        </w:rPr>
        <w:t>Escalar a 23 municipios y aproximadamente 25 mil beneficiarios en el territorio nacional,</w:t>
      </w:r>
      <w:r w:rsidRPr="0038192B">
        <w:rPr>
          <w:rFonts w:ascii="Verdana" w:hAnsi="Verdana" w:cs="Tahoma"/>
          <w:i/>
          <w:color w:val="000000"/>
          <w:szCs w:val="20"/>
        </w:rPr>
        <w:t xml:space="preserve"> </w:t>
      </w:r>
      <w:r w:rsidRPr="0038192B">
        <w:rPr>
          <w:rFonts w:ascii="Verdana" w:hAnsi="Verdana"/>
          <w:i/>
          <w:sz w:val="24"/>
          <w:szCs w:val="24"/>
        </w:rPr>
        <w:t xml:space="preserve">el Piloto de mejoramiento de la calidad de la nutrición, desarrollado durante el 2014,  orientado a fomentar el uso adecuado de la transferencia para contribuir al estado nutricional de los niños y niñas de 0 a 7 años de edad. </w:t>
      </w:r>
    </w:p>
    <w:p w:rsidR="00DA252E" w:rsidRDefault="00DA252E" w:rsidP="00FF784D">
      <w:pPr>
        <w:pStyle w:val="Prrafodelista"/>
        <w:numPr>
          <w:ilvl w:val="0"/>
          <w:numId w:val="28"/>
        </w:numPr>
        <w:tabs>
          <w:tab w:val="left" w:pos="709"/>
        </w:tabs>
        <w:spacing w:after="0" w:line="240" w:lineRule="auto"/>
        <w:ind w:left="709" w:hanging="283"/>
        <w:jc w:val="both"/>
        <w:rPr>
          <w:rFonts w:ascii="Verdana" w:hAnsi="Verdana"/>
          <w:i/>
          <w:sz w:val="24"/>
          <w:szCs w:val="24"/>
        </w:rPr>
      </w:pPr>
      <w:r w:rsidRPr="0038192B">
        <w:rPr>
          <w:rFonts w:ascii="Verdana" w:hAnsi="Verdana"/>
          <w:i/>
          <w:sz w:val="24"/>
          <w:szCs w:val="24"/>
        </w:rPr>
        <w:t xml:space="preserve">Continuar la puesta en marcha de las estrategias prioritarias: discapacidad, prevención del trabajo infantil y prevención del embarazo en adolescentes a través de la articulación con el ICBF.  </w:t>
      </w:r>
    </w:p>
    <w:p w:rsidR="00DA252E" w:rsidRPr="0038192B" w:rsidRDefault="00DA252E" w:rsidP="00DA252E">
      <w:pPr>
        <w:pStyle w:val="Prrafodelista"/>
        <w:spacing w:after="0" w:line="240" w:lineRule="auto"/>
        <w:ind w:left="851"/>
        <w:jc w:val="both"/>
        <w:rPr>
          <w:rFonts w:ascii="Verdana" w:hAnsi="Verdana"/>
          <w:i/>
          <w:sz w:val="24"/>
          <w:szCs w:val="24"/>
        </w:rPr>
      </w:pPr>
    </w:p>
    <w:p w:rsidR="00DA252E" w:rsidRPr="00C23F75" w:rsidRDefault="00DA252E" w:rsidP="00DA252E">
      <w:pPr>
        <w:pStyle w:val="Ttulo3"/>
        <w:spacing w:before="0" w:after="0" w:line="240" w:lineRule="auto"/>
        <w:rPr>
          <w:rFonts w:ascii="Verdana" w:hAnsi="Verdana"/>
          <w:color w:val="548DD4" w:themeColor="text2" w:themeTint="99"/>
          <w:sz w:val="24"/>
          <w:szCs w:val="24"/>
          <w:u w:val="single"/>
        </w:rPr>
      </w:pPr>
      <w:bookmarkStart w:id="14" w:name="_Toc410035273"/>
      <w:bookmarkStart w:id="15" w:name="_Toc410111284"/>
      <w:bookmarkStart w:id="16" w:name="_Toc410376774"/>
      <w:r w:rsidRPr="00C23F75">
        <w:rPr>
          <w:rFonts w:ascii="Verdana" w:hAnsi="Verdana"/>
          <w:color w:val="548DD4" w:themeColor="text2" w:themeTint="99"/>
          <w:sz w:val="24"/>
          <w:szCs w:val="24"/>
          <w:u w:val="single"/>
        </w:rPr>
        <w:t>JÓVENES EN ACCIÓN</w:t>
      </w:r>
      <w:bookmarkEnd w:id="14"/>
      <w:bookmarkEnd w:id="15"/>
      <w:bookmarkEnd w:id="16"/>
      <w:r w:rsidRPr="00C23F75">
        <w:rPr>
          <w:rFonts w:ascii="Verdana" w:hAnsi="Verdana"/>
          <w:color w:val="548DD4" w:themeColor="text2" w:themeTint="99"/>
          <w:sz w:val="24"/>
          <w:szCs w:val="24"/>
          <w:u w:val="single"/>
        </w:rPr>
        <w:t xml:space="preserve"> </w:t>
      </w:r>
    </w:p>
    <w:p w:rsidR="00DA252E" w:rsidRPr="00F71B84" w:rsidRDefault="00DA252E" w:rsidP="00DA252E">
      <w:pPr>
        <w:spacing w:after="0" w:line="240" w:lineRule="auto"/>
        <w:rPr>
          <w:rFonts w:ascii="Verdana" w:hAnsi="Verdana"/>
          <w:b/>
          <w:sz w:val="24"/>
          <w:szCs w:val="24"/>
        </w:rPr>
      </w:pPr>
    </w:p>
    <w:p w:rsidR="00DA252E" w:rsidRPr="00405354"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Objetivo</w:t>
      </w:r>
    </w:p>
    <w:p w:rsidR="00DA252E" w:rsidRPr="00F71B84" w:rsidRDefault="00DA252E" w:rsidP="00DA252E">
      <w:pPr>
        <w:spacing w:after="0" w:line="240" w:lineRule="auto"/>
        <w:rPr>
          <w:rFonts w:ascii="Verdana" w:hAnsi="Verdana"/>
          <w:b/>
          <w:sz w:val="24"/>
          <w:szCs w:val="24"/>
        </w:rPr>
      </w:pPr>
    </w:p>
    <w:p w:rsidR="00DA252E" w:rsidRPr="00F71B84" w:rsidRDefault="00DA252E" w:rsidP="00DA252E">
      <w:pPr>
        <w:spacing w:after="0" w:line="240" w:lineRule="auto"/>
        <w:jc w:val="both"/>
        <w:rPr>
          <w:rFonts w:ascii="Verdana" w:hAnsi="Verdana"/>
          <w:sz w:val="24"/>
          <w:szCs w:val="24"/>
        </w:rPr>
      </w:pPr>
      <w:r w:rsidRPr="00F71B84">
        <w:rPr>
          <w:rFonts w:ascii="Verdana" w:hAnsi="Verdana"/>
          <w:sz w:val="24"/>
          <w:szCs w:val="24"/>
        </w:rPr>
        <w:t xml:space="preserve">Jóvenes en Acción tiene como objetivo incentivar el mejoramiento de las capacidades, competencias, habilidades y destrezas para el trabajo de la </w:t>
      </w:r>
      <w:r w:rsidRPr="00F71B84">
        <w:rPr>
          <w:rFonts w:ascii="Verdana" w:hAnsi="Verdana"/>
          <w:sz w:val="24"/>
          <w:szCs w:val="24"/>
        </w:rPr>
        <w:lastRenderedPageBreak/>
        <w:t>población joven en condiciones de pobreza y vulnerabilidad, a través de una transferencia monetaria condicionada, que incentiva la formación de capital humano y el incremento de la empleabilidad.</w:t>
      </w:r>
    </w:p>
    <w:p w:rsidR="00DA252E" w:rsidRPr="00F71B84" w:rsidRDefault="00DA252E" w:rsidP="00DA252E">
      <w:pPr>
        <w:spacing w:after="0" w:line="240" w:lineRule="auto"/>
        <w:rPr>
          <w:rFonts w:ascii="Verdana" w:hAnsi="Verdana"/>
          <w:sz w:val="24"/>
          <w:szCs w:val="24"/>
        </w:rPr>
      </w:pPr>
    </w:p>
    <w:p w:rsidR="00DA252E" w:rsidRPr="00405354"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Objetivos específicos</w:t>
      </w:r>
    </w:p>
    <w:p w:rsidR="00DA252E" w:rsidRPr="00F71B84" w:rsidRDefault="00DA252E" w:rsidP="00DA252E">
      <w:pPr>
        <w:spacing w:after="0" w:line="240" w:lineRule="auto"/>
        <w:rPr>
          <w:rFonts w:ascii="Verdana" w:hAnsi="Verdana"/>
          <w:i/>
          <w:sz w:val="24"/>
          <w:szCs w:val="24"/>
        </w:rPr>
      </w:pPr>
    </w:p>
    <w:p w:rsidR="00DA252E" w:rsidRPr="00071B2F" w:rsidRDefault="00DA252E" w:rsidP="001F1B2D">
      <w:pPr>
        <w:numPr>
          <w:ilvl w:val="0"/>
          <w:numId w:val="5"/>
        </w:numPr>
        <w:spacing w:after="0" w:line="240" w:lineRule="auto"/>
        <w:ind w:left="709" w:hanging="283"/>
        <w:jc w:val="both"/>
        <w:rPr>
          <w:rFonts w:ascii="Verdana" w:hAnsi="Verdana"/>
          <w:sz w:val="24"/>
          <w:szCs w:val="24"/>
        </w:rPr>
      </w:pPr>
      <w:r w:rsidRPr="00071B2F">
        <w:rPr>
          <w:rFonts w:ascii="Verdana" w:hAnsi="Verdana"/>
          <w:bCs/>
          <w:sz w:val="24"/>
          <w:szCs w:val="24"/>
        </w:rPr>
        <w:t xml:space="preserve">Incentivar la demanda por educación de los jóvenes </w:t>
      </w:r>
      <w:r w:rsidRPr="00071B2F">
        <w:rPr>
          <w:rFonts w:ascii="Verdana" w:hAnsi="Verdana"/>
          <w:sz w:val="24"/>
          <w:szCs w:val="24"/>
        </w:rPr>
        <w:t xml:space="preserve">en condición de pobreza y vulnerabilidad para acceder a formación superior en los niveles técnico, tecnológico y universitario en la modalidad de pregrado. </w:t>
      </w:r>
    </w:p>
    <w:p w:rsidR="00DA252E" w:rsidRPr="00071B2F" w:rsidRDefault="00DA252E" w:rsidP="001F1B2D">
      <w:pPr>
        <w:numPr>
          <w:ilvl w:val="0"/>
          <w:numId w:val="5"/>
        </w:numPr>
        <w:spacing w:after="0" w:line="240" w:lineRule="auto"/>
        <w:ind w:left="709" w:hanging="283"/>
        <w:jc w:val="both"/>
        <w:rPr>
          <w:rFonts w:ascii="Verdana" w:hAnsi="Verdana"/>
          <w:sz w:val="24"/>
          <w:szCs w:val="24"/>
        </w:rPr>
      </w:pPr>
      <w:r w:rsidRPr="00071B2F">
        <w:rPr>
          <w:rFonts w:ascii="Verdana" w:hAnsi="Verdana"/>
          <w:sz w:val="24"/>
          <w:szCs w:val="24"/>
        </w:rPr>
        <w:t xml:space="preserve">Contribuir a la formación de </w:t>
      </w:r>
      <w:r w:rsidRPr="00071B2F">
        <w:rPr>
          <w:rFonts w:ascii="Verdana" w:hAnsi="Verdana"/>
          <w:bCs/>
          <w:sz w:val="24"/>
          <w:szCs w:val="24"/>
        </w:rPr>
        <w:t xml:space="preserve">capacidades y competencias </w:t>
      </w:r>
      <w:r w:rsidRPr="00071B2F">
        <w:rPr>
          <w:rFonts w:ascii="Verdana" w:hAnsi="Verdana"/>
          <w:sz w:val="24"/>
          <w:szCs w:val="24"/>
        </w:rPr>
        <w:t xml:space="preserve">para el trabajo de los jóvenes en condición de pobreza y vulnerabilidad, aumentando la empleabilidad a través del desarrollo de competencias laborales. </w:t>
      </w:r>
    </w:p>
    <w:p w:rsidR="00DA252E" w:rsidRPr="00071B2F" w:rsidRDefault="00DA252E" w:rsidP="001F1B2D">
      <w:pPr>
        <w:numPr>
          <w:ilvl w:val="0"/>
          <w:numId w:val="5"/>
        </w:numPr>
        <w:spacing w:after="0" w:line="240" w:lineRule="auto"/>
        <w:ind w:left="709" w:hanging="283"/>
        <w:jc w:val="both"/>
        <w:rPr>
          <w:rFonts w:ascii="Verdana" w:hAnsi="Verdana"/>
          <w:sz w:val="24"/>
          <w:szCs w:val="24"/>
        </w:rPr>
      </w:pPr>
      <w:r w:rsidRPr="00071B2F">
        <w:rPr>
          <w:rFonts w:ascii="Verdana" w:hAnsi="Verdana"/>
          <w:sz w:val="24"/>
          <w:szCs w:val="24"/>
        </w:rPr>
        <w:t xml:space="preserve">Reducir el porcentaje de </w:t>
      </w:r>
      <w:r w:rsidRPr="00071B2F">
        <w:rPr>
          <w:rFonts w:ascii="Verdana" w:hAnsi="Verdana"/>
          <w:bCs/>
          <w:sz w:val="24"/>
          <w:szCs w:val="24"/>
        </w:rPr>
        <w:t xml:space="preserve">inactividad de los jóvenes </w:t>
      </w:r>
      <w:r w:rsidRPr="00071B2F">
        <w:rPr>
          <w:rFonts w:ascii="Verdana" w:hAnsi="Verdana"/>
          <w:sz w:val="24"/>
          <w:szCs w:val="24"/>
        </w:rPr>
        <w:t>en condición de pobreza y vulnerabilidad.</w:t>
      </w:r>
    </w:p>
    <w:p w:rsidR="00DA252E" w:rsidRPr="00071B2F" w:rsidRDefault="00DA252E" w:rsidP="001F1B2D">
      <w:pPr>
        <w:numPr>
          <w:ilvl w:val="0"/>
          <w:numId w:val="5"/>
        </w:numPr>
        <w:spacing w:after="0" w:line="240" w:lineRule="auto"/>
        <w:ind w:left="709" w:hanging="283"/>
        <w:jc w:val="both"/>
        <w:rPr>
          <w:rFonts w:ascii="Verdana" w:hAnsi="Verdana"/>
          <w:sz w:val="24"/>
          <w:szCs w:val="24"/>
        </w:rPr>
      </w:pPr>
      <w:r w:rsidRPr="00071B2F">
        <w:rPr>
          <w:rFonts w:ascii="Verdana" w:hAnsi="Verdana"/>
          <w:bCs/>
          <w:sz w:val="24"/>
          <w:szCs w:val="24"/>
        </w:rPr>
        <w:t xml:space="preserve">Generar movilidad social </w:t>
      </w:r>
      <w:r w:rsidRPr="00071B2F">
        <w:rPr>
          <w:rFonts w:ascii="Verdana" w:hAnsi="Verdana"/>
          <w:sz w:val="24"/>
          <w:szCs w:val="24"/>
        </w:rPr>
        <w:t>en los jóvenes en condición de pobreza y vulnerabilidad.</w:t>
      </w:r>
    </w:p>
    <w:p w:rsidR="00DA252E" w:rsidRPr="00071B2F" w:rsidRDefault="00DA252E" w:rsidP="001F1B2D">
      <w:pPr>
        <w:numPr>
          <w:ilvl w:val="0"/>
          <w:numId w:val="5"/>
        </w:numPr>
        <w:spacing w:after="0" w:line="240" w:lineRule="auto"/>
        <w:ind w:left="709" w:hanging="283"/>
        <w:jc w:val="both"/>
        <w:rPr>
          <w:rFonts w:ascii="Verdana" w:hAnsi="Verdana"/>
          <w:sz w:val="24"/>
          <w:szCs w:val="24"/>
        </w:rPr>
      </w:pPr>
      <w:r w:rsidRPr="00071B2F">
        <w:rPr>
          <w:rFonts w:ascii="Verdana" w:hAnsi="Verdana"/>
          <w:sz w:val="24"/>
          <w:szCs w:val="24"/>
        </w:rPr>
        <w:t xml:space="preserve">Brindar asesoría y acompañamiento a los jóvenes en acción en el desarrollo de su plan de </w:t>
      </w:r>
      <w:r w:rsidRPr="00071B2F">
        <w:rPr>
          <w:rFonts w:ascii="Verdana" w:hAnsi="Verdana"/>
          <w:bCs/>
          <w:sz w:val="24"/>
          <w:szCs w:val="24"/>
        </w:rPr>
        <w:t xml:space="preserve">mejoramiento de habilidades para la vida. </w:t>
      </w:r>
    </w:p>
    <w:p w:rsidR="00DA252E" w:rsidRPr="00071B2F" w:rsidRDefault="00DA252E" w:rsidP="001F1B2D">
      <w:pPr>
        <w:numPr>
          <w:ilvl w:val="0"/>
          <w:numId w:val="5"/>
        </w:numPr>
        <w:spacing w:after="0" w:line="240" w:lineRule="auto"/>
        <w:ind w:left="709" w:hanging="283"/>
        <w:jc w:val="both"/>
        <w:rPr>
          <w:rFonts w:ascii="Verdana" w:hAnsi="Verdana"/>
          <w:sz w:val="24"/>
          <w:szCs w:val="24"/>
        </w:rPr>
      </w:pPr>
      <w:r w:rsidRPr="00071B2F">
        <w:rPr>
          <w:rFonts w:ascii="Verdana" w:hAnsi="Verdana"/>
          <w:sz w:val="24"/>
          <w:szCs w:val="24"/>
        </w:rPr>
        <w:t xml:space="preserve">Promover la articulación de oferta institucional pública y privada en función de la demanda de educación de la población joven en acción en condición de pobreza y vulnerabilidad que contribuya a la </w:t>
      </w:r>
      <w:r w:rsidRPr="00071B2F">
        <w:rPr>
          <w:rFonts w:ascii="Verdana" w:hAnsi="Verdana"/>
          <w:bCs/>
          <w:sz w:val="24"/>
          <w:szCs w:val="24"/>
        </w:rPr>
        <w:t>generación de capital humano</w:t>
      </w:r>
      <w:r w:rsidRPr="00071B2F">
        <w:rPr>
          <w:rFonts w:ascii="Verdana" w:hAnsi="Verdana"/>
          <w:sz w:val="24"/>
          <w:szCs w:val="24"/>
        </w:rPr>
        <w:t xml:space="preserve">. </w:t>
      </w:r>
    </w:p>
    <w:p w:rsidR="00DA252E" w:rsidRDefault="00DA252E" w:rsidP="00DA252E">
      <w:pPr>
        <w:spacing w:after="0" w:line="240" w:lineRule="auto"/>
        <w:rPr>
          <w:rFonts w:ascii="Verdana" w:hAnsi="Verdana"/>
          <w:b/>
          <w:sz w:val="24"/>
          <w:szCs w:val="24"/>
        </w:rPr>
      </w:pPr>
    </w:p>
    <w:p w:rsidR="00DA252E" w:rsidRDefault="00DA252E" w:rsidP="00DA252E">
      <w:pPr>
        <w:spacing w:after="0" w:line="240" w:lineRule="auto"/>
        <w:rPr>
          <w:rFonts w:ascii="Verdana" w:hAnsi="Verdana"/>
          <w:b/>
          <w:sz w:val="24"/>
          <w:szCs w:val="24"/>
        </w:rPr>
      </w:pPr>
    </w:p>
    <w:p w:rsidR="00DA252E" w:rsidRPr="00405354"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Cumplimiento Metas</w:t>
      </w:r>
    </w:p>
    <w:p w:rsidR="00DA252E" w:rsidRDefault="00DA252E" w:rsidP="00DA252E">
      <w:pPr>
        <w:pStyle w:val="Default"/>
        <w:rPr>
          <w:rFonts w:ascii="Verdana" w:hAnsi="Verdana"/>
        </w:rPr>
      </w:pPr>
    </w:p>
    <w:p w:rsidR="00DA252E" w:rsidRPr="00587738" w:rsidRDefault="00DA252E" w:rsidP="00DA252E">
      <w:pPr>
        <w:spacing w:after="0" w:line="240" w:lineRule="auto"/>
        <w:jc w:val="both"/>
        <w:rPr>
          <w:rFonts w:ascii="Verdana" w:hAnsi="Verdana"/>
          <w:sz w:val="24"/>
          <w:szCs w:val="24"/>
        </w:rPr>
      </w:pPr>
      <w:r w:rsidRPr="00587738">
        <w:rPr>
          <w:rFonts w:ascii="Verdana" w:hAnsi="Verdana"/>
          <w:sz w:val="24"/>
          <w:szCs w:val="24"/>
        </w:rPr>
        <w:t>Meta 2014: 120.000 Jóvenes</w:t>
      </w:r>
    </w:p>
    <w:p w:rsidR="00DA252E" w:rsidRPr="00587738" w:rsidRDefault="00DA252E" w:rsidP="00DA252E">
      <w:pPr>
        <w:spacing w:after="0" w:line="240" w:lineRule="auto"/>
        <w:jc w:val="both"/>
        <w:rPr>
          <w:rFonts w:ascii="Verdana" w:hAnsi="Verdana"/>
          <w:sz w:val="24"/>
          <w:szCs w:val="24"/>
        </w:rPr>
      </w:pPr>
      <w:r w:rsidRPr="00587738">
        <w:rPr>
          <w:rFonts w:ascii="Verdana" w:hAnsi="Verdana"/>
          <w:sz w:val="24"/>
          <w:szCs w:val="24"/>
        </w:rPr>
        <w:t>Avance Meta: 152.370 Jóvenes</w:t>
      </w:r>
    </w:p>
    <w:p w:rsidR="00DA252E" w:rsidRPr="00F71B84" w:rsidRDefault="00DA252E" w:rsidP="00DA252E">
      <w:pPr>
        <w:pStyle w:val="Default"/>
        <w:rPr>
          <w:rFonts w:ascii="Verdana" w:hAnsi="Verdana"/>
        </w:rPr>
      </w:pPr>
    </w:p>
    <w:p w:rsidR="00DA252E" w:rsidRPr="00037CEC" w:rsidRDefault="00DA252E" w:rsidP="00DA252E">
      <w:pPr>
        <w:spacing w:after="0" w:line="240" w:lineRule="auto"/>
        <w:jc w:val="both"/>
        <w:rPr>
          <w:rFonts w:ascii="Verdana" w:hAnsi="Verdana"/>
          <w:sz w:val="24"/>
          <w:szCs w:val="24"/>
        </w:rPr>
      </w:pPr>
      <w:r w:rsidRPr="00037CEC">
        <w:rPr>
          <w:rFonts w:ascii="Verdana" w:hAnsi="Verdana"/>
          <w:sz w:val="24"/>
          <w:szCs w:val="24"/>
        </w:rPr>
        <w:t xml:space="preserve">Con corte a diciembre de 2014, el programa contó con 152.370 jóvenes matriculados en Centros de Formación del SENA y en Instituciones de Educación Superior Públicas. </w:t>
      </w:r>
    </w:p>
    <w:p w:rsidR="00DA252E" w:rsidRPr="00037CEC" w:rsidRDefault="00DA252E" w:rsidP="00DA252E">
      <w:pPr>
        <w:spacing w:after="0" w:line="240" w:lineRule="auto"/>
        <w:rPr>
          <w:rFonts w:ascii="Verdana" w:hAnsi="Verdana"/>
          <w:b/>
          <w:sz w:val="24"/>
          <w:szCs w:val="24"/>
        </w:rPr>
      </w:pPr>
    </w:p>
    <w:p w:rsidR="00DA252E" w:rsidRPr="00037CEC" w:rsidRDefault="00DA252E" w:rsidP="00DA252E">
      <w:pPr>
        <w:spacing w:after="0" w:line="240" w:lineRule="auto"/>
        <w:rPr>
          <w:rFonts w:ascii="Verdana" w:hAnsi="Verdana"/>
          <w:b/>
          <w:color w:val="548DD4" w:themeColor="text2" w:themeTint="99"/>
          <w:sz w:val="24"/>
          <w:szCs w:val="24"/>
        </w:rPr>
      </w:pPr>
    </w:p>
    <w:p w:rsidR="00DA252E" w:rsidRDefault="00DA252E" w:rsidP="00DA252E">
      <w:pPr>
        <w:spacing w:after="0" w:line="240" w:lineRule="auto"/>
        <w:rPr>
          <w:rFonts w:ascii="Verdana" w:hAnsi="Verdana"/>
          <w:b/>
          <w:color w:val="548DD4" w:themeColor="text2" w:themeTint="99"/>
          <w:sz w:val="24"/>
          <w:szCs w:val="24"/>
        </w:rPr>
      </w:pPr>
      <w:r w:rsidRPr="00037CEC">
        <w:rPr>
          <w:rFonts w:ascii="Verdana" w:hAnsi="Verdana"/>
          <w:b/>
          <w:color w:val="548DD4" w:themeColor="text2" w:themeTint="99"/>
          <w:sz w:val="24"/>
          <w:szCs w:val="24"/>
        </w:rPr>
        <w:t xml:space="preserve">Logros </w:t>
      </w:r>
    </w:p>
    <w:p w:rsidR="00DA252E" w:rsidRPr="00037CEC" w:rsidRDefault="00DA252E" w:rsidP="00DA252E">
      <w:pPr>
        <w:spacing w:after="0" w:line="240" w:lineRule="auto"/>
        <w:rPr>
          <w:rFonts w:ascii="Verdana" w:hAnsi="Verdana"/>
          <w:b/>
          <w:color w:val="548DD4" w:themeColor="text2" w:themeTint="99"/>
          <w:sz w:val="24"/>
          <w:szCs w:val="24"/>
        </w:rPr>
      </w:pPr>
    </w:p>
    <w:p w:rsidR="00DA252E" w:rsidRPr="00037CEC" w:rsidRDefault="00DA252E" w:rsidP="001F1B2D">
      <w:pPr>
        <w:pStyle w:val="Prrafodelista"/>
        <w:numPr>
          <w:ilvl w:val="0"/>
          <w:numId w:val="4"/>
        </w:numPr>
        <w:spacing w:after="0" w:line="240" w:lineRule="auto"/>
        <w:ind w:left="709" w:hanging="283"/>
        <w:jc w:val="both"/>
        <w:rPr>
          <w:rFonts w:ascii="Verdana" w:hAnsi="Verdana"/>
          <w:i/>
          <w:sz w:val="24"/>
          <w:szCs w:val="24"/>
          <w:lang w:val="es-ES"/>
        </w:rPr>
      </w:pPr>
      <w:r w:rsidRPr="00037CEC">
        <w:rPr>
          <w:rFonts w:ascii="Verdana" w:hAnsi="Verdana"/>
          <w:i/>
          <w:sz w:val="24"/>
          <w:szCs w:val="24"/>
          <w:lang w:val="es-ES"/>
        </w:rPr>
        <w:t>Se amplió la oferta de formación a Instituciones de Educación Superior Públicas. Se lograron firmar convenios con 43 Instituciones de Educación Superior Públicas en 26 departamentos.</w:t>
      </w:r>
    </w:p>
    <w:p w:rsidR="00DA252E" w:rsidRPr="00037CEC" w:rsidRDefault="00DA252E" w:rsidP="001F1B2D">
      <w:pPr>
        <w:pStyle w:val="Prrafodelista"/>
        <w:numPr>
          <w:ilvl w:val="0"/>
          <w:numId w:val="4"/>
        </w:numPr>
        <w:spacing w:after="0" w:line="240" w:lineRule="auto"/>
        <w:ind w:left="709" w:hanging="283"/>
        <w:jc w:val="both"/>
        <w:rPr>
          <w:rFonts w:ascii="Verdana" w:hAnsi="Verdana"/>
          <w:i/>
          <w:sz w:val="24"/>
          <w:szCs w:val="24"/>
          <w:lang w:val="es-ES"/>
        </w:rPr>
      </w:pPr>
      <w:r w:rsidRPr="00037CEC">
        <w:rPr>
          <w:rFonts w:ascii="Verdana" w:hAnsi="Verdana"/>
          <w:i/>
          <w:sz w:val="24"/>
          <w:szCs w:val="24"/>
          <w:lang w:val="es-ES"/>
        </w:rPr>
        <w:lastRenderedPageBreak/>
        <w:t>Se dio inicio a la implementación de los talleres experienciales para el desarrollo de habilidades para la vida, a los cuales asistieron más de 25 mil jóvenes.</w:t>
      </w:r>
    </w:p>
    <w:p w:rsidR="00DA252E" w:rsidRPr="00037CEC" w:rsidRDefault="00DA252E" w:rsidP="001F1B2D">
      <w:pPr>
        <w:pStyle w:val="Prrafodelista"/>
        <w:numPr>
          <w:ilvl w:val="0"/>
          <w:numId w:val="4"/>
        </w:numPr>
        <w:spacing w:after="0" w:line="240" w:lineRule="auto"/>
        <w:ind w:left="709" w:hanging="283"/>
        <w:jc w:val="both"/>
        <w:rPr>
          <w:rFonts w:ascii="Verdana" w:hAnsi="Verdana"/>
          <w:i/>
          <w:sz w:val="24"/>
          <w:szCs w:val="24"/>
          <w:lang w:val="es-ES"/>
        </w:rPr>
      </w:pPr>
      <w:r w:rsidRPr="00037CEC">
        <w:rPr>
          <w:rFonts w:ascii="Verdana" w:hAnsi="Verdana"/>
          <w:i/>
          <w:sz w:val="24"/>
          <w:szCs w:val="24"/>
          <w:lang w:val="es-ES"/>
        </w:rPr>
        <w:t>El año finalizó con 152.370 jóvenes inscritos, de los cuales 45.456 se encontraban matriculados en Instituciones de Educación Superior públicas, y 106.914 en Centros de Formación del SENA.</w:t>
      </w:r>
    </w:p>
    <w:p w:rsidR="00DA252E" w:rsidRPr="00037CEC" w:rsidRDefault="00DA252E" w:rsidP="001F1B2D">
      <w:pPr>
        <w:pStyle w:val="Prrafodelista"/>
        <w:numPr>
          <w:ilvl w:val="0"/>
          <w:numId w:val="4"/>
        </w:numPr>
        <w:spacing w:after="0" w:line="240" w:lineRule="auto"/>
        <w:ind w:left="709" w:hanging="283"/>
        <w:jc w:val="both"/>
        <w:rPr>
          <w:rFonts w:ascii="Verdana" w:hAnsi="Verdana"/>
          <w:i/>
          <w:sz w:val="24"/>
          <w:szCs w:val="24"/>
          <w:lang w:val="es-ES"/>
        </w:rPr>
      </w:pPr>
      <w:r w:rsidRPr="00037CEC">
        <w:rPr>
          <w:rFonts w:ascii="Verdana" w:hAnsi="Verdana"/>
          <w:i/>
          <w:sz w:val="24"/>
          <w:szCs w:val="24"/>
          <w:lang w:val="es-ES"/>
        </w:rPr>
        <w:t>La bancarización con Davivienda y Banco Agrario cerró en 115.584 jóvenes.</w:t>
      </w:r>
    </w:p>
    <w:p w:rsidR="00DA252E" w:rsidRPr="00B03526" w:rsidRDefault="00DA252E" w:rsidP="001F1B2D">
      <w:pPr>
        <w:pStyle w:val="Prrafodelista"/>
        <w:numPr>
          <w:ilvl w:val="0"/>
          <w:numId w:val="4"/>
        </w:numPr>
        <w:spacing w:after="0" w:line="240" w:lineRule="auto"/>
        <w:ind w:left="709" w:hanging="283"/>
        <w:jc w:val="both"/>
        <w:rPr>
          <w:rFonts w:ascii="Verdana" w:hAnsi="Verdana"/>
          <w:i/>
          <w:sz w:val="24"/>
          <w:szCs w:val="24"/>
          <w:lang w:val="es-ES"/>
        </w:rPr>
      </w:pPr>
      <w:r w:rsidRPr="00037CEC">
        <w:rPr>
          <w:rFonts w:ascii="Verdana" w:hAnsi="Verdana"/>
          <w:i/>
          <w:sz w:val="24"/>
          <w:szCs w:val="24"/>
          <w:lang w:val="es-ES"/>
        </w:rPr>
        <w:t>30.080 jóvenes lograron concluir con éxito su formación titulada y fueron</w:t>
      </w:r>
      <w:r w:rsidRPr="00B03526">
        <w:rPr>
          <w:rFonts w:ascii="Verdana" w:hAnsi="Verdana"/>
          <w:i/>
          <w:sz w:val="24"/>
          <w:szCs w:val="24"/>
          <w:lang w:val="es-ES"/>
        </w:rPr>
        <w:t xml:space="preserve"> promovidos del programa. </w:t>
      </w:r>
    </w:p>
    <w:p w:rsidR="00DA252E" w:rsidRPr="002D199E" w:rsidRDefault="00DA252E" w:rsidP="001F1B2D">
      <w:pPr>
        <w:pStyle w:val="Prrafodelista"/>
        <w:numPr>
          <w:ilvl w:val="0"/>
          <w:numId w:val="4"/>
        </w:numPr>
        <w:spacing w:after="0" w:line="240" w:lineRule="auto"/>
        <w:ind w:left="709" w:hanging="283"/>
        <w:jc w:val="both"/>
        <w:rPr>
          <w:rFonts w:ascii="Verdana" w:hAnsi="Verdana"/>
          <w:i/>
          <w:sz w:val="24"/>
          <w:szCs w:val="24"/>
          <w:lang w:val="es-ES"/>
        </w:rPr>
      </w:pPr>
      <w:r w:rsidRPr="00B03526">
        <w:rPr>
          <w:rFonts w:ascii="Verdana" w:hAnsi="Verdana"/>
          <w:i/>
          <w:sz w:val="24"/>
          <w:szCs w:val="24"/>
          <w:lang w:val="es-ES"/>
        </w:rPr>
        <w:t>Las redes sociales se consolidaron como una estrategia activa de comunicación en intercambio de experiencias entre los jóvenes. La página de facebook del programa superó los 100 mil seguidores y twitter 17 mil.</w:t>
      </w:r>
    </w:p>
    <w:p w:rsidR="00DA252E" w:rsidRPr="00F71B84" w:rsidRDefault="00DA252E" w:rsidP="00DA252E">
      <w:pPr>
        <w:pStyle w:val="Prrafodelista"/>
        <w:spacing w:after="0" w:line="240" w:lineRule="auto"/>
        <w:jc w:val="both"/>
        <w:rPr>
          <w:rFonts w:ascii="Verdana" w:hAnsi="Verdana"/>
          <w:i/>
          <w:sz w:val="24"/>
          <w:szCs w:val="24"/>
          <w:lang w:val="es-ES"/>
        </w:rPr>
      </w:pPr>
    </w:p>
    <w:p w:rsidR="00DA252E"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 xml:space="preserve">Retos 2015 </w:t>
      </w:r>
    </w:p>
    <w:p w:rsidR="00DA252E" w:rsidRPr="00405354" w:rsidRDefault="00DA252E" w:rsidP="00DA252E">
      <w:pPr>
        <w:spacing w:after="0" w:line="240" w:lineRule="auto"/>
        <w:rPr>
          <w:rFonts w:ascii="Verdana" w:hAnsi="Verdana"/>
          <w:b/>
          <w:color w:val="548DD4" w:themeColor="text2" w:themeTint="99"/>
          <w:sz w:val="24"/>
          <w:szCs w:val="24"/>
        </w:rPr>
      </w:pPr>
    </w:p>
    <w:p w:rsidR="00DA252E" w:rsidRPr="00B03526" w:rsidRDefault="00DA252E" w:rsidP="00727A10">
      <w:pPr>
        <w:pStyle w:val="Prrafodelista"/>
        <w:numPr>
          <w:ilvl w:val="0"/>
          <w:numId w:val="2"/>
        </w:numPr>
        <w:spacing w:after="0" w:line="240" w:lineRule="auto"/>
        <w:ind w:left="851" w:hanging="284"/>
        <w:jc w:val="both"/>
        <w:rPr>
          <w:rFonts w:ascii="Verdana" w:hAnsi="Verdana"/>
          <w:i/>
          <w:sz w:val="24"/>
          <w:szCs w:val="24"/>
        </w:rPr>
      </w:pPr>
      <w:r w:rsidRPr="00B03526">
        <w:rPr>
          <w:rFonts w:ascii="Verdana" w:hAnsi="Verdana"/>
          <w:i/>
          <w:sz w:val="24"/>
          <w:szCs w:val="24"/>
        </w:rPr>
        <w:t>Consolidar y estabilizar los diferentes procesos de operación del Programa.</w:t>
      </w:r>
    </w:p>
    <w:p w:rsidR="00DA252E" w:rsidRPr="00B03526" w:rsidRDefault="00DA252E" w:rsidP="00727A10">
      <w:pPr>
        <w:pStyle w:val="Prrafodelista"/>
        <w:numPr>
          <w:ilvl w:val="0"/>
          <w:numId w:val="2"/>
        </w:numPr>
        <w:tabs>
          <w:tab w:val="left" w:pos="1134"/>
        </w:tabs>
        <w:spacing w:after="0" w:line="240" w:lineRule="auto"/>
        <w:ind w:left="851" w:hanging="284"/>
        <w:jc w:val="both"/>
        <w:rPr>
          <w:rFonts w:ascii="Verdana" w:hAnsi="Verdana"/>
          <w:i/>
          <w:sz w:val="24"/>
          <w:szCs w:val="24"/>
        </w:rPr>
      </w:pPr>
      <w:r w:rsidRPr="00B03526">
        <w:rPr>
          <w:rFonts w:ascii="Verdana" w:hAnsi="Verdana"/>
          <w:i/>
          <w:sz w:val="24"/>
          <w:szCs w:val="24"/>
        </w:rPr>
        <w:t>Desarrollo de la aplicación web (Sistema de Información - SIJA) que permita sistematizar y desarrollar los procesos de verificación de compromisos y liquidación de incentivos.</w:t>
      </w:r>
    </w:p>
    <w:p w:rsidR="00DA252E" w:rsidRPr="00B03526" w:rsidRDefault="00DA252E" w:rsidP="00727A10">
      <w:pPr>
        <w:pStyle w:val="Prrafodelista"/>
        <w:numPr>
          <w:ilvl w:val="0"/>
          <w:numId w:val="2"/>
        </w:numPr>
        <w:spacing w:after="0" w:line="240" w:lineRule="auto"/>
        <w:ind w:left="851" w:hanging="284"/>
        <w:jc w:val="both"/>
        <w:rPr>
          <w:rFonts w:ascii="Verdana" w:hAnsi="Verdana"/>
          <w:i/>
          <w:sz w:val="24"/>
          <w:szCs w:val="24"/>
        </w:rPr>
      </w:pPr>
      <w:r w:rsidRPr="00B03526">
        <w:rPr>
          <w:rFonts w:ascii="Verdana" w:hAnsi="Verdana"/>
          <w:i/>
          <w:sz w:val="24"/>
          <w:szCs w:val="24"/>
        </w:rPr>
        <w:t>Implementar el componente de Habilidades para la vida, buscando beneficiar a la mayoría de los participantes del Programa.</w:t>
      </w:r>
    </w:p>
    <w:p w:rsidR="00DA252E" w:rsidRPr="00B03526" w:rsidRDefault="00DA252E" w:rsidP="00727A10">
      <w:pPr>
        <w:pStyle w:val="Prrafodelista"/>
        <w:numPr>
          <w:ilvl w:val="0"/>
          <w:numId w:val="2"/>
        </w:numPr>
        <w:spacing w:after="0" w:line="240" w:lineRule="auto"/>
        <w:ind w:left="851" w:hanging="284"/>
        <w:jc w:val="both"/>
        <w:rPr>
          <w:rFonts w:ascii="Verdana" w:hAnsi="Verdana"/>
          <w:i/>
          <w:sz w:val="24"/>
          <w:szCs w:val="24"/>
        </w:rPr>
      </w:pPr>
      <w:r w:rsidRPr="00B03526">
        <w:rPr>
          <w:rFonts w:ascii="Verdana" w:hAnsi="Verdana"/>
          <w:i/>
          <w:sz w:val="24"/>
          <w:szCs w:val="24"/>
        </w:rPr>
        <w:t>Diseñar estrategias  de implementación diferencial que responda al enfoque rural del Plan Nacional de Desarrollo.</w:t>
      </w:r>
    </w:p>
    <w:p w:rsidR="00DA252E" w:rsidRDefault="00DA252E" w:rsidP="00727A10">
      <w:pPr>
        <w:pStyle w:val="Prrafodelista"/>
        <w:numPr>
          <w:ilvl w:val="0"/>
          <w:numId w:val="2"/>
        </w:numPr>
        <w:spacing w:after="0" w:line="240" w:lineRule="auto"/>
        <w:ind w:left="851" w:hanging="284"/>
        <w:jc w:val="both"/>
        <w:rPr>
          <w:rFonts w:ascii="Verdana" w:hAnsi="Verdana"/>
          <w:i/>
          <w:sz w:val="24"/>
          <w:szCs w:val="24"/>
        </w:rPr>
      </w:pPr>
      <w:r w:rsidRPr="00B03526">
        <w:rPr>
          <w:rFonts w:ascii="Verdana" w:hAnsi="Verdana"/>
          <w:i/>
          <w:sz w:val="24"/>
          <w:szCs w:val="24"/>
        </w:rPr>
        <w:t>Articulación con entidades públicas y privadas para facilitar la inserción de los jóvenes al mercado laboral.</w:t>
      </w:r>
    </w:p>
    <w:p w:rsidR="00DA252E" w:rsidRDefault="00DA252E" w:rsidP="00DA252E">
      <w:pPr>
        <w:spacing w:after="0" w:line="240" w:lineRule="auto"/>
        <w:jc w:val="both"/>
        <w:rPr>
          <w:rFonts w:ascii="Verdana" w:hAnsi="Verdana"/>
          <w:i/>
          <w:sz w:val="24"/>
          <w:szCs w:val="24"/>
        </w:rPr>
      </w:pPr>
    </w:p>
    <w:p w:rsidR="00DA252E" w:rsidRDefault="00DA252E" w:rsidP="00DA252E">
      <w:pPr>
        <w:pStyle w:val="Ttulo3"/>
        <w:spacing w:before="0" w:after="0" w:line="240" w:lineRule="auto"/>
        <w:rPr>
          <w:rFonts w:ascii="Verdana" w:hAnsi="Verdana"/>
          <w:color w:val="548DD4" w:themeColor="text2" w:themeTint="99"/>
          <w:sz w:val="24"/>
          <w:szCs w:val="24"/>
        </w:rPr>
      </w:pPr>
      <w:bookmarkStart w:id="17" w:name="_Toc410111285"/>
      <w:bookmarkStart w:id="18" w:name="_Toc410376775"/>
      <w:bookmarkStart w:id="19" w:name="_Toc410035274"/>
    </w:p>
    <w:p w:rsidR="00DA252E" w:rsidRPr="00C23F75" w:rsidRDefault="00DA252E" w:rsidP="00DA252E">
      <w:pPr>
        <w:pStyle w:val="Ttulo3"/>
        <w:spacing w:before="0" w:after="0" w:line="240" w:lineRule="auto"/>
        <w:rPr>
          <w:rFonts w:ascii="Verdana" w:hAnsi="Verdana"/>
          <w:color w:val="548DD4" w:themeColor="text2" w:themeTint="99"/>
          <w:sz w:val="24"/>
          <w:szCs w:val="24"/>
          <w:u w:val="single"/>
        </w:rPr>
      </w:pPr>
      <w:r w:rsidRPr="00C23F75">
        <w:rPr>
          <w:rFonts w:ascii="Verdana" w:hAnsi="Verdana"/>
          <w:color w:val="548DD4" w:themeColor="text2" w:themeTint="99"/>
          <w:sz w:val="24"/>
          <w:szCs w:val="24"/>
          <w:u w:val="single"/>
        </w:rPr>
        <w:t>INGRESO PARA LA PROSPERIDAD</w:t>
      </w:r>
      <w:bookmarkEnd w:id="17"/>
      <w:bookmarkEnd w:id="18"/>
      <w:r w:rsidRPr="00C23F75">
        <w:rPr>
          <w:rFonts w:ascii="Verdana" w:hAnsi="Verdana"/>
          <w:color w:val="548DD4" w:themeColor="text2" w:themeTint="99"/>
          <w:sz w:val="24"/>
          <w:szCs w:val="24"/>
          <w:u w:val="single"/>
        </w:rPr>
        <w:t xml:space="preserve"> </w:t>
      </w:r>
      <w:bookmarkEnd w:id="19"/>
    </w:p>
    <w:p w:rsidR="00DA252E" w:rsidRPr="00C1681C" w:rsidRDefault="00DA252E" w:rsidP="00DA252E">
      <w:pPr>
        <w:spacing w:after="0" w:line="240" w:lineRule="auto"/>
        <w:rPr>
          <w:rFonts w:ascii="Verdana" w:hAnsi="Verdana"/>
          <w:b/>
          <w:sz w:val="18"/>
          <w:szCs w:val="24"/>
        </w:rPr>
      </w:pPr>
    </w:p>
    <w:p w:rsidR="00DA252E" w:rsidRPr="00405354"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Objetivo</w:t>
      </w:r>
    </w:p>
    <w:p w:rsidR="00DA252E" w:rsidRPr="00F71B84" w:rsidRDefault="00DA252E" w:rsidP="00DA252E">
      <w:pPr>
        <w:spacing w:after="0" w:line="240" w:lineRule="auto"/>
        <w:rPr>
          <w:rFonts w:ascii="Verdana" w:hAnsi="Verdana"/>
          <w:b/>
          <w:sz w:val="24"/>
          <w:szCs w:val="24"/>
        </w:rPr>
      </w:pPr>
    </w:p>
    <w:p w:rsidR="00DA252E" w:rsidRPr="00F71B84" w:rsidRDefault="00DA252E" w:rsidP="00DA252E">
      <w:pPr>
        <w:spacing w:after="0" w:line="240" w:lineRule="auto"/>
        <w:jc w:val="both"/>
        <w:rPr>
          <w:rFonts w:ascii="Verdana" w:hAnsi="Verdana"/>
          <w:sz w:val="24"/>
          <w:szCs w:val="24"/>
        </w:rPr>
      </w:pPr>
      <w:r w:rsidRPr="00F71B84">
        <w:rPr>
          <w:rFonts w:ascii="Verdana" w:hAnsi="Verdana"/>
          <w:bCs/>
          <w:sz w:val="24"/>
          <w:szCs w:val="24"/>
        </w:rPr>
        <w:t xml:space="preserve">Ingreso para la Prosperidad Social </w:t>
      </w:r>
      <w:r w:rsidRPr="00F71B84">
        <w:rPr>
          <w:rFonts w:ascii="Verdana" w:hAnsi="Verdana"/>
          <w:sz w:val="24"/>
          <w:szCs w:val="24"/>
        </w:rPr>
        <w:t>es un programa del Gobierno Nacional que otorga incentivos para que las familias pobres y vulnerables aumenten sus niveles de escolaridad y desarrollen habilidades socioemocionales que les permita adquirir capacidades y competencias para la generación de ingresos.</w:t>
      </w:r>
    </w:p>
    <w:p w:rsidR="00DA252E" w:rsidRPr="00F71B84" w:rsidRDefault="00DA252E" w:rsidP="00DA252E">
      <w:pPr>
        <w:spacing w:after="0" w:line="240" w:lineRule="auto"/>
        <w:rPr>
          <w:rFonts w:ascii="Verdana" w:hAnsi="Verdana"/>
          <w:sz w:val="24"/>
          <w:szCs w:val="24"/>
        </w:rPr>
      </w:pPr>
    </w:p>
    <w:p w:rsidR="00DA252E" w:rsidRPr="00405354"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Objetivos específicos</w:t>
      </w:r>
    </w:p>
    <w:p w:rsidR="00DA252E" w:rsidRPr="00F71B84" w:rsidRDefault="00DA252E" w:rsidP="00DA252E">
      <w:pPr>
        <w:spacing w:after="0" w:line="240" w:lineRule="auto"/>
        <w:rPr>
          <w:rFonts w:ascii="Verdana" w:hAnsi="Verdana"/>
          <w:i/>
          <w:sz w:val="24"/>
          <w:szCs w:val="24"/>
        </w:rPr>
      </w:pPr>
    </w:p>
    <w:p w:rsidR="00DA252E" w:rsidRPr="001F1B2D" w:rsidRDefault="00DA252E" w:rsidP="001F1B2D">
      <w:pPr>
        <w:pStyle w:val="Prrafodelista"/>
        <w:numPr>
          <w:ilvl w:val="0"/>
          <w:numId w:val="2"/>
        </w:numPr>
        <w:spacing w:after="0" w:line="240" w:lineRule="auto"/>
        <w:ind w:left="709" w:hanging="283"/>
        <w:jc w:val="both"/>
        <w:rPr>
          <w:rFonts w:ascii="Verdana" w:hAnsi="Verdana"/>
          <w:i/>
          <w:sz w:val="24"/>
          <w:szCs w:val="24"/>
        </w:rPr>
      </w:pPr>
      <w:r w:rsidRPr="001F1B2D">
        <w:rPr>
          <w:rFonts w:ascii="Verdana" w:hAnsi="Verdana"/>
          <w:i/>
          <w:sz w:val="24"/>
          <w:szCs w:val="24"/>
        </w:rPr>
        <w:t xml:space="preserve">Aumentar los niveles de escolaridad de la población joven adulta con rezago escolar en condiciones de pobreza y vulnerabilidad. </w:t>
      </w:r>
    </w:p>
    <w:p w:rsidR="00DA252E" w:rsidRPr="001F1B2D" w:rsidRDefault="00DA252E" w:rsidP="001F1B2D">
      <w:pPr>
        <w:pStyle w:val="Prrafodelista"/>
        <w:numPr>
          <w:ilvl w:val="0"/>
          <w:numId w:val="2"/>
        </w:numPr>
        <w:spacing w:after="0" w:line="240" w:lineRule="auto"/>
        <w:ind w:left="709" w:hanging="283"/>
        <w:jc w:val="both"/>
        <w:rPr>
          <w:rFonts w:ascii="Verdana" w:hAnsi="Verdana"/>
          <w:i/>
          <w:sz w:val="24"/>
          <w:szCs w:val="24"/>
        </w:rPr>
      </w:pPr>
      <w:r w:rsidRPr="001F1B2D">
        <w:rPr>
          <w:rFonts w:ascii="Verdana" w:hAnsi="Verdana"/>
          <w:i/>
          <w:sz w:val="24"/>
          <w:szCs w:val="24"/>
        </w:rPr>
        <w:lastRenderedPageBreak/>
        <w:t xml:space="preserve">Complementar la formación profesional con programas dirigidos al desarrollo de habilidades para la vida, con el fin de mejorar la inserción social y laboral de la población beneficiaria. </w:t>
      </w:r>
    </w:p>
    <w:p w:rsidR="00DA252E" w:rsidRPr="00F71B84" w:rsidRDefault="00DA252E" w:rsidP="001F1B2D">
      <w:pPr>
        <w:pStyle w:val="Prrafodelista"/>
        <w:numPr>
          <w:ilvl w:val="0"/>
          <w:numId w:val="2"/>
        </w:numPr>
        <w:spacing w:after="0" w:line="240" w:lineRule="auto"/>
        <w:ind w:left="709" w:hanging="283"/>
        <w:jc w:val="both"/>
        <w:rPr>
          <w:rFonts w:ascii="Verdana" w:hAnsi="Verdana"/>
          <w:b/>
          <w:bCs/>
          <w:sz w:val="24"/>
          <w:szCs w:val="24"/>
        </w:rPr>
      </w:pPr>
      <w:r w:rsidRPr="001F1B2D">
        <w:rPr>
          <w:rFonts w:ascii="Verdana" w:hAnsi="Verdana"/>
          <w:i/>
          <w:sz w:val="24"/>
          <w:szCs w:val="24"/>
        </w:rPr>
        <w:t>Incentivar a los participantes a través de transferencias monetarias condicionadas a mejorar sus competencias y capacidades para el trabajo</w:t>
      </w:r>
      <w:r w:rsidRPr="00493F0F">
        <w:rPr>
          <w:rFonts w:ascii="Verdana" w:hAnsi="Verdana"/>
          <w:bCs/>
          <w:sz w:val="24"/>
          <w:szCs w:val="24"/>
        </w:rPr>
        <w:t xml:space="preserve">. </w:t>
      </w:r>
    </w:p>
    <w:p w:rsidR="00DA252E" w:rsidRPr="00F71B84" w:rsidRDefault="00DA252E" w:rsidP="00DA252E">
      <w:pPr>
        <w:spacing w:after="0" w:line="240" w:lineRule="auto"/>
        <w:rPr>
          <w:rFonts w:ascii="Verdana" w:hAnsi="Verdana"/>
          <w:b/>
          <w:sz w:val="24"/>
          <w:szCs w:val="24"/>
        </w:rPr>
      </w:pPr>
    </w:p>
    <w:p w:rsidR="00DA252E" w:rsidRPr="00405354"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Cumplimiento Metas</w:t>
      </w:r>
    </w:p>
    <w:p w:rsidR="00DA252E" w:rsidRDefault="00DA252E" w:rsidP="00DA252E">
      <w:pPr>
        <w:pStyle w:val="Default"/>
        <w:rPr>
          <w:rFonts w:ascii="Verdana" w:hAnsi="Verdana"/>
        </w:rPr>
      </w:pPr>
    </w:p>
    <w:p w:rsidR="00DA252E" w:rsidRPr="00587738" w:rsidRDefault="00DA252E" w:rsidP="00DA252E">
      <w:pPr>
        <w:spacing w:after="0" w:line="240" w:lineRule="auto"/>
        <w:jc w:val="both"/>
        <w:rPr>
          <w:rFonts w:ascii="Verdana" w:hAnsi="Verdana"/>
          <w:sz w:val="24"/>
          <w:szCs w:val="24"/>
        </w:rPr>
      </w:pPr>
      <w:r w:rsidRPr="00587738">
        <w:rPr>
          <w:rFonts w:ascii="Verdana" w:hAnsi="Verdana"/>
          <w:sz w:val="24"/>
          <w:szCs w:val="24"/>
        </w:rPr>
        <w:t>Meta 2014: 6.000 Inscritos</w:t>
      </w:r>
    </w:p>
    <w:p w:rsidR="00DA252E" w:rsidRPr="00587738" w:rsidRDefault="00DA252E" w:rsidP="00DA252E">
      <w:pPr>
        <w:spacing w:after="0" w:line="240" w:lineRule="auto"/>
        <w:jc w:val="both"/>
        <w:rPr>
          <w:rFonts w:ascii="Verdana" w:hAnsi="Verdana"/>
          <w:sz w:val="24"/>
          <w:szCs w:val="24"/>
        </w:rPr>
      </w:pPr>
      <w:r w:rsidRPr="00587738">
        <w:rPr>
          <w:rFonts w:ascii="Verdana" w:hAnsi="Verdana"/>
          <w:sz w:val="24"/>
          <w:szCs w:val="24"/>
        </w:rPr>
        <w:t>Avance Meta: 6.083 Inscritos</w:t>
      </w:r>
    </w:p>
    <w:p w:rsidR="00DA252E" w:rsidRPr="00F71B84" w:rsidRDefault="00DA252E" w:rsidP="00DA252E">
      <w:pPr>
        <w:pStyle w:val="Default"/>
        <w:rPr>
          <w:rFonts w:ascii="Verdana" w:hAnsi="Verdana"/>
        </w:rPr>
      </w:pPr>
    </w:p>
    <w:p w:rsidR="00DA252E" w:rsidRPr="00F71B84" w:rsidRDefault="00DA252E" w:rsidP="00DA252E">
      <w:pPr>
        <w:spacing w:after="0" w:line="240" w:lineRule="auto"/>
        <w:jc w:val="both"/>
        <w:rPr>
          <w:rFonts w:ascii="Verdana" w:hAnsi="Verdana"/>
          <w:sz w:val="24"/>
          <w:szCs w:val="24"/>
        </w:rPr>
      </w:pPr>
      <w:r>
        <w:rPr>
          <w:rFonts w:ascii="Verdana" w:hAnsi="Verdana"/>
          <w:sz w:val="24"/>
          <w:szCs w:val="24"/>
        </w:rPr>
        <w:t>E</w:t>
      </w:r>
      <w:r w:rsidRPr="00F71B84">
        <w:rPr>
          <w:rFonts w:ascii="Verdana" w:hAnsi="Verdana"/>
          <w:sz w:val="24"/>
          <w:szCs w:val="24"/>
        </w:rPr>
        <w:t xml:space="preserve">l programa contaba </w:t>
      </w:r>
      <w:r w:rsidRPr="00CE3535">
        <w:rPr>
          <w:rFonts w:ascii="Verdana" w:hAnsi="Verdana"/>
          <w:sz w:val="24"/>
          <w:szCs w:val="24"/>
        </w:rPr>
        <w:t xml:space="preserve">con 6.083 inscritos estudiando básica primaria en instituciones educativas  y en Centros de Formación del SENA. </w:t>
      </w:r>
    </w:p>
    <w:p w:rsidR="00DA252E" w:rsidRDefault="00DA252E" w:rsidP="00DA252E">
      <w:pPr>
        <w:spacing w:after="0" w:line="240" w:lineRule="auto"/>
        <w:rPr>
          <w:rFonts w:ascii="Verdana" w:hAnsi="Verdana"/>
          <w:b/>
          <w:color w:val="548DD4" w:themeColor="text2" w:themeTint="99"/>
          <w:sz w:val="24"/>
          <w:szCs w:val="24"/>
        </w:rPr>
      </w:pPr>
    </w:p>
    <w:p w:rsidR="00DA252E"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 xml:space="preserve">Logros </w:t>
      </w:r>
    </w:p>
    <w:p w:rsidR="00DA252E" w:rsidRPr="00405354" w:rsidRDefault="00DA252E" w:rsidP="00DA252E">
      <w:pPr>
        <w:spacing w:after="0" w:line="240" w:lineRule="auto"/>
        <w:rPr>
          <w:rFonts w:ascii="Verdana" w:hAnsi="Verdana"/>
          <w:b/>
          <w:color w:val="548DD4" w:themeColor="text2" w:themeTint="99"/>
          <w:sz w:val="24"/>
          <w:szCs w:val="24"/>
        </w:rPr>
      </w:pPr>
    </w:p>
    <w:p w:rsidR="00DA252E" w:rsidRPr="001F1B2D" w:rsidRDefault="00DA252E" w:rsidP="001F1B2D">
      <w:pPr>
        <w:pStyle w:val="Prrafodelista"/>
        <w:numPr>
          <w:ilvl w:val="0"/>
          <w:numId w:val="2"/>
        </w:numPr>
        <w:spacing w:after="0" w:line="240" w:lineRule="auto"/>
        <w:ind w:left="709" w:hanging="283"/>
        <w:jc w:val="both"/>
        <w:rPr>
          <w:rFonts w:ascii="Verdana" w:hAnsi="Verdana"/>
          <w:i/>
          <w:sz w:val="24"/>
          <w:szCs w:val="24"/>
        </w:rPr>
      </w:pPr>
      <w:r w:rsidRPr="001F1B2D">
        <w:rPr>
          <w:rFonts w:ascii="Verdana" w:hAnsi="Verdana"/>
          <w:i/>
          <w:sz w:val="24"/>
          <w:szCs w:val="24"/>
        </w:rPr>
        <w:t>Alrededor del 38% de los participantes del Programa ya se encuentran realizando formación titulada a través de SENA.</w:t>
      </w:r>
    </w:p>
    <w:p w:rsidR="00DA252E" w:rsidRPr="001F1B2D" w:rsidRDefault="00DA252E" w:rsidP="001F1B2D">
      <w:pPr>
        <w:pStyle w:val="Prrafodelista"/>
        <w:numPr>
          <w:ilvl w:val="0"/>
          <w:numId w:val="2"/>
        </w:numPr>
        <w:spacing w:after="0" w:line="240" w:lineRule="auto"/>
        <w:ind w:left="709" w:hanging="283"/>
        <w:jc w:val="both"/>
        <w:rPr>
          <w:rFonts w:ascii="Verdana" w:hAnsi="Verdana"/>
          <w:i/>
          <w:sz w:val="24"/>
          <w:szCs w:val="24"/>
        </w:rPr>
      </w:pPr>
      <w:r w:rsidRPr="001F1B2D">
        <w:rPr>
          <w:rFonts w:ascii="Verdana" w:hAnsi="Verdana"/>
          <w:i/>
          <w:sz w:val="24"/>
          <w:szCs w:val="24"/>
        </w:rPr>
        <w:t>2.656 participantes se vincularon  a diferentes actividades para el desarrollo del servicio social.</w:t>
      </w:r>
    </w:p>
    <w:p w:rsidR="00DA252E" w:rsidRPr="001F1B2D" w:rsidRDefault="00DA252E" w:rsidP="001F1B2D">
      <w:pPr>
        <w:pStyle w:val="Prrafodelista"/>
        <w:numPr>
          <w:ilvl w:val="0"/>
          <w:numId w:val="2"/>
        </w:numPr>
        <w:spacing w:after="0" w:line="240" w:lineRule="auto"/>
        <w:ind w:left="709" w:hanging="283"/>
        <w:jc w:val="both"/>
        <w:rPr>
          <w:rFonts w:ascii="Verdana" w:hAnsi="Verdana"/>
          <w:i/>
          <w:sz w:val="24"/>
          <w:szCs w:val="24"/>
        </w:rPr>
      </w:pPr>
      <w:r w:rsidRPr="001F1B2D">
        <w:rPr>
          <w:rFonts w:ascii="Verdana" w:hAnsi="Verdana"/>
          <w:i/>
          <w:sz w:val="24"/>
          <w:szCs w:val="24"/>
        </w:rPr>
        <w:t xml:space="preserve">3.512 participantes del Programa asistieron a talleres para el desarrollo de habilidades socioemocionales. </w:t>
      </w:r>
    </w:p>
    <w:p w:rsidR="00DA252E" w:rsidRPr="00C1681C" w:rsidRDefault="00DA252E" w:rsidP="00DA252E">
      <w:pPr>
        <w:spacing w:after="0" w:line="240" w:lineRule="auto"/>
        <w:rPr>
          <w:rFonts w:ascii="Verdana" w:hAnsi="Verdana"/>
          <w:b/>
          <w:sz w:val="20"/>
          <w:szCs w:val="24"/>
        </w:rPr>
      </w:pPr>
    </w:p>
    <w:p w:rsidR="00DA252E"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 xml:space="preserve">Retos 2015 </w:t>
      </w:r>
    </w:p>
    <w:p w:rsidR="00DA252E" w:rsidRPr="00405354" w:rsidRDefault="00DA252E" w:rsidP="00DA252E">
      <w:pPr>
        <w:spacing w:after="0" w:line="240" w:lineRule="auto"/>
        <w:rPr>
          <w:rFonts w:ascii="Verdana" w:hAnsi="Verdana"/>
          <w:b/>
          <w:color w:val="548DD4" w:themeColor="text2" w:themeTint="99"/>
          <w:sz w:val="24"/>
          <w:szCs w:val="24"/>
        </w:rPr>
      </w:pPr>
    </w:p>
    <w:p w:rsidR="00DA252E" w:rsidRPr="001F1B2D" w:rsidRDefault="00DA252E" w:rsidP="001F1B2D">
      <w:pPr>
        <w:pStyle w:val="Prrafodelista"/>
        <w:numPr>
          <w:ilvl w:val="0"/>
          <w:numId w:val="2"/>
        </w:numPr>
        <w:spacing w:after="0" w:line="240" w:lineRule="auto"/>
        <w:ind w:left="709" w:hanging="283"/>
        <w:jc w:val="both"/>
        <w:rPr>
          <w:rFonts w:ascii="Verdana" w:hAnsi="Verdana"/>
          <w:i/>
          <w:sz w:val="24"/>
          <w:szCs w:val="24"/>
        </w:rPr>
      </w:pPr>
      <w:r>
        <w:rPr>
          <w:rFonts w:ascii="Verdana" w:hAnsi="Verdana"/>
          <w:i/>
          <w:sz w:val="24"/>
          <w:szCs w:val="24"/>
        </w:rPr>
        <w:t>Generar a</w:t>
      </w:r>
      <w:r w:rsidRPr="00F71B84">
        <w:rPr>
          <w:rFonts w:ascii="Verdana" w:hAnsi="Verdana"/>
          <w:i/>
          <w:sz w:val="24"/>
          <w:szCs w:val="24"/>
        </w:rPr>
        <w:t>rticulación con entidades públicas y privadas para facilitar la inserción de los participantes al mercado laboral.</w:t>
      </w:r>
    </w:p>
    <w:p w:rsidR="00DA252E" w:rsidRPr="00F71B84" w:rsidRDefault="00DA252E" w:rsidP="001F1B2D">
      <w:pPr>
        <w:pStyle w:val="Prrafodelista"/>
        <w:numPr>
          <w:ilvl w:val="0"/>
          <w:numId w:val="2"/>
        </w:numPr>
        <w:spacing w:after="0" w:line="240" w:lineRule="auto"/>
        <w:ind w:left="709" w:hanging="283"/>
        <w:jc w:val="both"/>
        <w:rPr>
          <w:rFonts w:ascii="Verdana" w:hAnsi="Verdana"/>
          <w:i/>
          <w:sz w:val="24"/>
          <w:szCs w:val="24"/>
        </w:rPr>
      </w:pPr>
      <w:r w:rsidRPr="00F71B84">
        <w:rPr>
          <w:rFonts w:ascii="Verdana" w:hAnsi="Verdana"/>
          <w:i/>
          <w:sz w:val="24"/>
          <w:szCs w:val="24"/>
        </w:rPr>
        <w:t>Articular el Programa como  complemento a la Estrategia Colombia Libre de Analfabetismo.</w:t>
      </w:r>
    </w:p>
    <w:p w:rsidR="00DA252E" w:rsidRDefault="00DA252E" w:rsidP="001F1B2D">
      <w:pPr>
        <w:pStyle w:val="Prrafodelista"/>
        <w:numPr>
          <w:ilvl w:val="0"/>
          <w:numId w:val="2"/>
        </w:numPr>
        <w:spacing w:after="0" w:line="240" w:lineRule="auto"/>
        <w:ind w:left="709" w:hanging="283"/>
        <w:jc w:val="both"/>
        <w:rPr>
          <w:rFonts w:ascii="Verdana" w:hAnsi="Verdana"/>
          <w:i/>
          <w:sz w:val="24"/>
          <w:szCs w:val="24"/>
        </w:rPr>
      </w:pPr>
      <w:r w:rsidRPr="00F71B84">
        <w:rPr>
          <w:rFonts w:ascii="Verdana" w:hAnsi="Verdana"/>
          <w:i/>
          <w:sz w:val="24"/>
          <w:szCs w:val="24"/>
        </w:rPr>
        <w:t>Realizar estudios y diagnósticos que permitan establecer criterios de ajuste al diseño del Programa.</w:t>
      </w:r>
    </w:p>
    <w:p w:rsidR="00DA252E" w:rsidRDefault="00DA252E" w:rsidP="00DA252E">
      <w:pPr>
        <w:pStyle w:val="Prrafodelista"/>
        <w:spacing w:after="0" w:line="240" w:lineRule="auto"/>
        <w:ind w:left="851"/>
        <w:jc w:val="both"/>
        <w:rPr>
          <w:rFonts w:ascii="Verdana" w:hAnsi="Verdana"/>
          <w:i/>
          <w:sz w:val="24"/>
          <w:szCs w:val="24"/>
        </w:rPr>
      </w:pPr>
    </w:p>
    <w:p w:rsidR="00DA252E" w:rsidRDefault="00DA252E" w:rsidP="00DA252E">
      <w:pPr>
        <w:pStyle w:val="Prrafodelista"/>
        <w:spacing w:after="0" w:line="240" w:lineRule="auto"/>
        <w:ind w:left="851"/>
        <w:jc w:val="both"/>
        <w:rPr>
          <w:rFonts w:ascii="Verdana" w:hAnsi="Verdana"/>
          <w:i/>
          <w:sz w:val="24"/>
          <w:szCs w:val="24"/>
        </w:rPr>
      </w:pPr>
    </w:p>
    <w:p w:rsidR="00A269C5" w:rsidRDefault="00A269C5" w:rsidP="00A269C5">
      <w:pPr>
        <w:pStyle w:val="Ttulo2"/>
        <w:spacing w:before="0" w:after="0" w:line="240" w:lineRule="auto"/>
        <w:rPr>
          <w:rFonts w:ascii="Verdana" w:hAnsi="Verdana"/>
          <w:i w:val="0"/>
          <w:color w:val="548DD4" w:themeColor="text2" w:themeTint="99"/>
        </w:rPr>
      </w:pPr>
      <w:bookmarkStart w:id="20" w:name="_Toc410111286"/>
      <w:bookmarkStart w:id="21" w:name="_Toc410376776"/>
    </w:p>
    <w:p w:rsidR="00DA252E" w:rsidRPr="004D2389" w:rsidRDefault="00DA252E" w:rsidP="00A269C5">
      <w:pPr>
        <w:pStyle w:val="Ttulo2"/>
        <w:spacing w:before="0" w:after="0" w:line="240" w:lineRule="auto"/>
        <w:rPr>
          <w:rFonts w:ascii="Verdana" w:hAnsi="Verdana"/>
          <w:i w:val="0"/>
          <w:color w:val="548DD4" w:themeColor="text2" w:themeTint="99"/>
        </w:rPr>
      </w:pPr>
      <w:r w:rsidRPr="004D2389">
        <w:rPr>
          <w:rFonts w:ascii="Verdana" w:hAnsi="Verdana"/>
          <w:i w:val="0"/>
          <w:color w:val="548DD4" w:themeColor="text2" w:themeTint="99"/>
        </w:rPr>
        <w:t>SEGURIDAD ALIMENTARIA</w:t>
      </w:r>
      <w:bookmarkEnd w:id="20"/>
      <w:bookmarkEnd w:id="21"/>
    </w:p>
    <w:p w:rsidR="00DA252E" w:rsidRDefault="00DA252E" w:rsidP="00DA252E">
      <w:pPr>
        <w:spacing w:after="0" w:line="240" w:lineRule="auto"/>
        <w:jc w:val="center"/>
        <w:rPr>
          <w:rFonts w:ascii="Verdana" w:hAnsi="Verdana"/>
          <w:b/>
          <w:sz w:val="24"/>
          <w:szCs w:val="24"/>
        </w:rPr>
      </w:pPr>
    </w:p>
    <w:p w:rsidR="00DA252E" w:rsidRPr="00F71B84" w:rsidRDefault="00DA252E" w:rsidP="00DA252E">
      <w:pPr>
        <w:spacing w:after="0" w:line="240" w:lineRule="auto"/>
        <w:jc w:val="center"/>
        <w:rPr>
          <w:rFonts w:ascii="Verdana" w:hAnsi="Verdana"/>
          <w:b/>
          <w:sz w:val="24"/>
          <w:szCs w:val="24"/>
        </w:rPr>
      </w:pPr>
    </w:p>
    <w:p w:rsidR="00DA252E" w:rsidRPr="00C23F75" w:rsidRDefault="00DA252E" w:rsidP="00DA252E">
      <w:pPr>
        <w:pStyle w:val="Ttulo3"/>
        <w:spacing w:before="0" w:after="0" w:line="240" w:lineRule="auto"/>
        <w:rPr>
          <w:rFonts w:ascii="Verdana" w:hAnsi="Verdana"/>
          <w:color w:val="548DD4" w:themeColor="text2" w:themeTint="99"/>
          <w:sz w:val="24"/>
          <w:szCs w:val="24"/>
          <w:u w:val="single"/>
        </w:rPr>
      </w:pPr>
      <w:bookmarkStart w:id="22" w:name="_Toc410035276"/>
      <w:bookmarkStart w:id="23" w:name="_Toc410111287"/>
      <w:bookmarkStart w:id="24" w:name="_Toc410376777"/>
      <w:r w:rsidRPr="00C23F75">
        <w:rPr>
          <w:rFonts w:ascii="Verdana" w:hAnsi="Verdana"/>
          <w:color w:val="548DD4" w:themeColor="text2" w:themeTint="99"/>
          <w:sz w:val="24"/>
          <w:szCs w:val="24"/>
          <w:u w:val="single"/>
        </w:rPr>
        <w:t xml:space="preserve"> RED DE SEGURIDAD ALIMENTARIA </w:t>
      </w:r>
      <w:bookmarkEnd w:id="22"/>
      <w:r w:rsidRPr="00C23F75">
        <w:rPr>
          <w:rFonts w:ascii="Verdana" w:hAnsi="Verdana"/>
          <w:color w:val="548DD4" w:themeColor="text2" w:themeTint="99"/>
          <w:sz w:val="24"/>
          <w:szCs w:val="24"/>
          <w:u w:val="single"/>
        </w:rPr>
        <w:t>- ReSA</w:t>
      </w:r>
      <w:bookmarkEnd w:id="23"/>
      <w:bookmarkEnd w:id="24"/>
    </w:p>
    <w:p w:rsidR="00DA252E" w:rsidRPr="00F71B84" w:rsidRDefault="00DA252E" w:rsidP="00DA252E">
      <w:pPr>
        <w:spacing w:after="0" w:line="240" w:lineRule="auto"/>
        <w:rPr>
          <w:rFonts w:ascii="Verdana" w:hAnsi="Verdana"/>
          <w:b/>
          <w:sz w:val="24"/>
          <w:szCs w:val="24"/>
        </w:rPr>
      </w:pPr>
    </w:p>
    <w:p w:rsidR="00DA252E" w:rsidRPr="00405354"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lastRenderedPageBreak/>
        <w:t>Objetivo</w:t>
      </w:r>
    </w:p>
    <w:p w:rsidR="00DA252E" w:rsidRPr="00F71B84" w:rsidRDefault="00DA252E" w:rsidP="00DA252E">
      <w:pPr>
        <w:pStyle w:val="Default"/>
        <w:rPr>
          <w:rFonts w:ascii="Verdana" w:hAnsi="Verdana"/>
        </w:rPr>
      </w:pPr>
    </w:p>
    <w:p w:rsidR="00DA252E" w:rsidRPr="00F71B84" w:rsidRDefault="00DA252E" w:rsidP="00DA252E">
      <w:pPr>
        <w:pStyle w:val="Default"/>
        <w:jc w:val="both"/>
        <w:rPr>
          <w:rFonts w:ascii="Verdana" w:hAnsi="Verdana" w:cs="Times New Roman"/>
          <w:color w:val="auto"/>
        </w:rPr>
      </w:pPr>
      <w:r w:rsidRPr="00F71B84">
        <w:rPr>
          <w:rFonts w:ascii="Verdana" w:hAnsi="Verdana" w:cs="Times New Roman"/>
          <w:color w:val="auto"/>
        </w:rPr>
        <w:t>Mejorar el acceso y el consumo de los alimentos de las familias objetivo del Sector Administrativo de Inclusión Social y Reconciliación mediante la producción de alimentos para el autoconsumo, la promoción de hábitos alimentarios saludables y el uso de alimentos y productos locales para contribuir con la disminución del hambre y el mejoramiento de la seguridad alimentaria en el país.</w:t>
      </w:r>
    </w:p>
    <w:p w:rsidR="00DA252E" w:rsidRPr="00405354" w:rsidRDefault="00DA252E" w:rsidP="00DA252E">
      <w:pPr>
        <w:spacing w:after="0" w:line="240" w:lineRule="auto"/>
        <w:jc w:val="both"/>
        <w:rPr>
          <w:rFonts w:ascii="Verdana" w:hAnsi="Verdana"/>
          <w:color w:val="548DD4" w:themeColor="text2" w:themeTint="99"/>
          <w:sz w:val="24"/>
          <w:szCs w:val="24"/>
        </w:rPr>
      </w:pPr>
    </w:p>
    <w:p w:rsidR="00DA252E"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Líneas de Acción</w:t>
      </w:r>
    </w:p>
    <w:p w:rsidR="00DA252E" w:rsidRPr="00405354" w:rsidRDefault="00DA252E" w:rsidP="00DA252E">
      <w:pPr>
        <w:spacing w:after="0" w:line="240" w:lineRule="auto"/>
        <w:rPr>
          <w:rFonts w:ascii="Verdana" w:hAnsi="Verdana"/>
          <w:b/>
          <w:color w:val="548DD4" w:themeColor="text2" w:themeTint="99"/>
          <w:sz w:val="24"/>
          <w:szCs w:val="24"/>
        </w:rPr>
      </w:pPr>
    </w:p>
    <w:p w:rsidR="00DA252E" w:rsidRPr="00B03526" w:rsidRDefault="00DA252E" w:rsidP="00FF784D">
      <w:pPr>
        <w:pStyle w:val="Prrafodelista"/>
        <w:numPr>
          <w:ilvl w:val="0"/>
          <w:numId w:val="6"/>
        </w:numPr>
        <w:autoSpaceDE w:val="0"/>
        <w:autoSpaceDN w:val="0"/>
        <w:adjustRightInd w:val="0"/>
        <w:spacing w:after="0" w:line="240" w:lineRule="auto"/>
        <w:ind w:left="851" w:hanging="284"/>
        <w:jc w:val="both"/>
        <w:rPr>
          <w:rFonts w:ascii="Verdana" w:hAnsi="Verdana"/>
          <w:i/>
          <w:sz w:val="24"/>
          <w:szCs w:val="24"/>
        </w:rPr>
      </w:pPr>
      <w:r w:rsidRPr="00B03526">
        <w:rPr>
          <w:rFonts w:ascii="Verdana" w:hAnsi="Verdana"/>
          <w:i/>
          <w:sz w:val="24"/>
          <w:szCs w:val="24"/>
        </w:rPr>
        <w:t xml:space="preserve">Implementar huertas de alimentos para el autoconsumo. </w:t>
      </w:r>
    </w:p>
    <w:p w:rsidR="00DA252E" w:rsidRPr="00B03526" w:rsidRDefault="00DA252E" w:rsidP="00FF784D">
      <w:pPr>
        <w:pStyle w:val="Prrafodelista"/>
        <w:numPr>
          <w:ilvl w:val="0"/>
          <w:numId w:val="6"/>
        </w:numPr>
        <w:autoSpaceDE w:val="0"/>
        <w:autoSpaceDN w:val="0"/>
        <w:adjustRightInd w:val="0"/>
        <w:spacing w:after="0" w:line="240" w:lineRule="auto"/>
        <w:ind w:left="851" w:hanging="284"/>
        <w:jc w:val="both"/>
        <w:rPr>
          <w:rFonts w:ascii="Verdana" w:hAnsi="Verdana"/>
          <w:i/>
          <w:sz w:val="24"/>
          <w:szCs w:val="24"/>
        </w:rPr>
      </w:pPr>
      <w:r w:rsidRPr="00B03526">
        <w:rPr>
          <w:rFonts w:ascii="Verdana" w:hAnsi="Verdana"/>
          <w:i/>
          <w:sz w:val="24"/>
          <w:szCs w:val="24"/>
        </w:rPr>
        <w:t xml:space="preserve">Fomentar hábitos y prácticas alimentarias saludables en el consumo. </w:t>
      </w:r>
    </w:p>
    <w:p w:rsidR="00DA252E" w:rsidRPr="00B03526" w:rsidRDefault="00DA252E" w:rsidP="00FF784D">
      <w:pPr>
        <w:pStyle w:val="Prrafodelista"/>
        <w:numPr>
          <w:ilvl w:val="0"/>
          <w:numId w:val="6"/>
        </w:numPr>
        <w:autoSpaceDE w:val="0"/>
        <w:autoSpaceDN w:val="0"/>
        <w:adjustRightInd w:val="0"/>
        <w:spacing w:after="0" w:line="240" w:lineRule="auto"/>
        <w:ind w:left="851" w:hanging="284"/>
        <w:jc w:val="both"/>
        <w:rPr>
          <w:rFonts w:ascii="Verdana" w:hAnsi="Verdana"/>
          <w:i/>
          <w:sz w:val="24"/>
          <w:szCs w:val="24"/>
        </w:rPr>
      </w:pPr>
      <w:r w:rsidRPr="00B03526">
        <w:rPr>
          <w:rFonts w:ascii="Verdana" w:hAnsi="Verdana"/>
          <w:i/>
          <w:sz w:val="24"/>
          <w:szCs w:val="24"/>
        </w:rPr>
        <w:t>Promover el uso de alimentos y productos locales.</w:t>
      </w:r>
    </w:p>
    <w:p w:rsidR="00DA252E" w:rsidRPr="00B03526" w:rsidRDefault="00DA252E" w:rsidP="00FF784D">
      <w:pPr>
        <w:pStyle w:val="Default"/>
        <w:numPr>
          <w:ilvl w:val="0"/>
          <w:numId w:val="6"/>
        </w:numPr>
        <w:ind w:left="851" w:hanging="284"/>
        <w:jc w:val="both"/>
        <w:rPr>
          <w:rFonts w:ascii="Verdana" w:hAnsi="Verdana" w:cs="Times New Roman"/>
          <w:i/>
          <w:color w:val="auto"/>
        </w:rPr>
      </w:pPr>
      <w:r w:rsidRPr="00B03526">
        <w:rPr>
          <w:rFonts w:ascii="Verdana" w:hAnsi="Verdana" w:cs="Times New Roman"/>
          <w:i/>
          <w:color w:val="auto"/>
        </w:rPr>
        <w:t xml:space="preserve">Brindar asistencia técnica a los territorios en temas relacionados con la Seguridad Alimentaria y Nutricional (SAN). </w:t>
      </w:r>
    </w:p>
    <w:p w:rsidR="00DA252E" w:rsidRPr="00B03526" w:rsidRDefault="00DA252E" w:rsidP="00FF784D">
      <w:pPr>
        <w:pStyle w:val="Default"/>
        <w:numPr>
          <w:ilvl w:val="0"/>
          <w:numId w:val="6"/>
        </w:numPr>
        <w:ind w:left="851" w:hanging="284"/>
        <w:jc w:val="both"/>
        <w:rPr>
          <w:rFonts w:ascii="Verdana" w:hAnsi="Verdana" w:cs="Times New Roman"/>
          <w:i/>
          <w:color w:val="auto"/>
        </w:rPr>
      </w:pPr>
      <w:r w:rsidRPr="00B03526">
        <w:rPr>
          <w:rFonts w:ascii="Verdana" w:hAnsi="Verdana" w:cs="Times New Roman"/>
          <w:i/>
          <w:color w:val="auto"/>
        </w:rPr>
        <w:t xml:space="preserve">Ofrecer herramientas conceptuales a las entidades territoriales, que favorezcan la formulación, implementación, evaluación y fortalecimiento de la Seguridad Alimentaria y Nutricional con enfoque territorial. </w:t>
      </w:r>
    </w:p>
    <w:p w:rsidR="00DA252E" w:rsidRPr="00B03526" w:rsidRDefault="00DA252E" w:rsidP="00FF784D">
      <w:pPr>
        <w:pStyle w:val="Default"/>
        <w:numPr>
          <w:ilvl w:val="0"/>
          <w:numId w:val="6"/>
        </w:numPr>
        <w:ind w:left="851" w:hanging="284"/>
        <w:jc w:val="both"/>
        <w:rPr>
          <w:rFonts w:ascii="Verdana" w:hAnsi="Verdana" w:cs="Times New Roman"/>
          <w:i/>
          <w:color w:val="auto"/>
        </w:rPr>
      </w:pPr>
      <w:r w:rsidRPr="00B03526">
        <w:rPr>
          <w:rFonts w:ascii="Verdana" w:hAnsi="Verdana" w:cs="Times New Roman"/>
          <w:i/>
          <w:color w:val="auto"/>
        </w:rPr>
        <w:t xml:space="preserve">Contribuir al seguimiento y la evaluación de las intervenciones en seguridad alimentaria y nutricional que se originen en el Departamento para la Prosperidad Social. </w:t>
      </w:r>
    </w:p>
    <w:p w:rsidR="00DA252E" w:rsidRDefault="00DA252E" w:rsidP="00DA252E">
      <w:pPr>
        <w:spacing w:after="0" w:line="240" w:lineRule="auto"/>
        <w:rPr>
          <w:rFonts w:ascii="Verdana" w:hAnsi="Verdana"/>
          <w:b/>
          <w:color w:val="548DD4" w:themeColor="text2" w:themeTint="99"/>
          <w:sz w:val="24"/>
          <w:szCs w:val="24"/>
        </w:rPr>
      </w:pPr>
    </w:p>
    <w:p w:rsidR="00DA252E" w:rsidRPr="00405354"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Cumplimiento Metas</w:t>
      </w:r>
    </w:p>
    <w:p w:rsidR="00DA252E" w:rsidRPr="00F71B84" w:rsidRDefault="00DA252E" w:rsidP="00DA252E">
      <w:pPr>
        <w:spacing w:after="0" w:line="240" w:lineRule="auto"/>
        <w:rPr>
          <w:rFonts w:ascii="Verdana" w:hAnsi="Verdana"/>
          <w:sz w:val="24"/>
          <w:szCs w:val="24"/>
        </w:rPr>
      </w:pPr>
    </w:p>
    <w:p w:rsidR="00DA252E" w:rsidRPr="00587738" w:rsidRDefault="00DA252E" w:rsidP="00DA252E">
      <w:pPr>
        <w:spacing w:after="0" w:line="240" w:lineRule="auto"/>
        <w:rPr>
          <w:rFonts w:ascii="Verdana" w:hAnsi="Verdana"/>
          <w:sz w:val="24"/>
          <w:szCs w:val="24"/>
        </w:rPr>
      </w:pPr>
      <w:r w:rsidRPr="00587738">
        <w:rPr>
          <w:rFonts w:ascii="Verdana" w:hAnsi="Verdana"/>
          <w:sz w:val="24"/>
          <w:szCs w:val="24"/>
        </w:rPr>
        <w:t>Meta 2014: 60.000 Familias</w:t>
      </w:r>
    </w:p>
    <w:p w:rsidR="00DA252E" w:rsidRPr="00587738" w:rsidRDefault="00DA252E" w:rsidP="00DA252E">
      <w:pPr>
        <w:spacing w:after="0" w:line="240" w:lineRule="auto"/>
        <w:jc w:val="both"/>
        <w:rPr>
          <w:rFonts w:ascii="Verdana" w:hAnsi="Verdana"/>
          <w:sz w:val="24"/>
          <w:szCs w:val="24"/>
        </w:rPr>
      </w:pPr>
      <w:r w:rsidRPr="00587738">
        <w:rPr>
          <w:rFonts w:ascii="Verdana" w:hAnsi="Verdana"/>
          <w:sz w:val="24"/>
          <w:szCs w:val="24"/>
        </w:rPr>
        <w:t>Avance Meta: 69.372 Familias</w:t>
      </w:r>
    </w:p>
    <w:p w:rsidR="00DA252E" w:rsidRPr="00F71B84" w:rsidRDefault="00DA252E" w:rsidP="00DA252E">
      <w:pPr>
        <w:spacing w:after="0" w:line="240" w:lineRule="auto"/>
        <w:rPr>
          <w:rFonts w:ascii="Verdana" w:hAnsi="Verdana"/>
          <w:sz w:val="24"/>
          <w:szCs w:val="24"/>
        </w:rPr>
      </w:pPr>
    </w:p>
    <w:p w:rsidR="00DA252E" w:rsidRPr="00F71B84" w:rsidRDefault="00DA252E" w:rsidP="00DA252E">
      <w:pPr>
        <w:spacing w:after="0" w:line="240" w:lineRule="auto"/>
        <w:rPr>
          <w:rFonts w:ascii="Verdana" w:hAnsi="Verdana"/>
          <w:sz w:val="24"/>
          <w:szCs w:val="24"/>
        </w:rPr>
      </w:pPr>
    </w:p>
    <w:p w:rsidR="00DA252E" w:rsidRPr="00F71B84" w:rsidRDefault="00DA252E" w:rsidP="00DA252E">
      <w:pPr>
        <w:spacing w:after="0" w:line="240" w:lineRule="auto"/>
        <w:rPr>
          <w:rFonts w:ascii="Verdana" w:hAnsi="Verdana"/>
          <w:sz w:val="24"/>
          <w:szCs w:val="24"/>
        </w:rPr>
      </w:pPr>
      <w:r w:rsidRPr="00F71B84">
        <w:rPr>
          <w:rFonts w:ascii="Verdana" w:hAnsi="Verdana"/>
          <w:sz w:val="24"/>
          <w:szCs w:val="24"/>
        </w:rPr>
        <w:t>De esta forma, para la vigencia 2014 con los Contratos y Convenios suscritos se logr</w:t>
      </w:r>
      <w:r>
        <w:rPr>
          <w:rFonts w:ascii="Verdana" w:hAnsi="Verdana"/>
          <w:sz w:val="24"/>
          <w:szCs w:val="24"/>
        </w:rPr>
        <w:t>ó</w:t>
      </w:r>
      <w:r w:rsidRPr="00F71B84">
        <w:rPr>
          <w:rFonts w:ascii="Verdana" w:hAnsi="Verdana"/>
          <w:sz w:val="24"/>
          <w:szCs w:val="24"/>
        </w:rPr>
        <w:t xml:space="preserve"> alcanzar una atención de </w:t>
      </w:r>
      <w:r w:rsidRPr="00305BE2">
        <w:rPr>
          <w:rFonts w:ascii="Verdana" w:hAnsi="Verdana"/>
          <w:sz w:val="24"/>
          <w:szCs w:val="24"/>
        </w:rPr>
        <w:t>69.372 familias</w:t>
      </w:r>
      <w:r w:rsidRPr="00F71B84">
        <w:rPr>
          <w:rFonts w:ascii="Verdana" w:hAnsi="Verdana"/>
          <w:sz w:val="24"/>
          <w:szCs w:val="24"/>
        </w:rPr>
        <w:t xml:space="preserve"> a nivel nacional.</w:t>
      </w:r>
    </w:p>
    <w:p w:rsidR="00DA252E" w:rsidRPr="00F71B84" w:rsidRDefault="00DA252E" w:rsidP="00DA252E">
      <w:pPr>
        <w:spacing w:after="0" w:line="240" w:lineRule="auto"/>
        <w:jc w:val="both"/>
        <w:rPr>
          <w:rFonts w:ascii="Verdana" w:hAnsi="Verdana"/>
          <w:sz w:val="24"/>
          <w:szCs w:val="24"/>
        </w:rPr>
      </w:pPr>
    </w:p>
    <w:p w:rsidR="00DA252E" w:rsidRPr="00F71B84" w:rsidRDefault="00DA252E" w:rsidP="00DA252E">
      <w:pPr>
        <w:spacing w:after="0" w:line="240" w:lineRule="auto"/>
        <w:jc w:val="both"/>
        <w:rPr>
          <w:rFonts w:ascii="Verdana" w:hAnsi="Verdana"/>
          <w:sz w:val="24"/>
          <w:szCs w:val="24"/>
        </w:rPr>
      </w:pPr>
      <w:r w:rsidRPr="00F71B84">
        <w:rPr>
          <w:rFonts w:ascii="Verdana" w:hAnsi="Verdana"/>
          <w:sz w:val="24"/>
          <w:szCs w:val="24"/>
        </w:rPr>
        <w:t xml:space="preserve">Sobre este total, se atendieron un total </w:t>
      </w:r>
      <w:r w:rsidRPr="00521FB7">
        <w:rPr>
          <w:rFonts w:ascii="Verdana" w:hAnsi="Verdana"/>
          <w:sz w:val="24"/>
          <w:szCs w:val="24"/>
        </w:rPr>
        <w:t>de 29.801</w:t>
      </w:r>
      <w:r w:rsidRPr="00F71B84">
        <w:rPr>
          <w:rFonts w:ascii="Verdana" w:hAnsi="Verdana"/>
          <w:sz w:val="24"/>
          <w:szCs w:val="24"/>
        </w:rPr>
        <w:t xml:space="preserve"> Familias Unidos a nivel nacional superando la meta establecida en forma considerable.</w:t>
      </w:r>
    </w:p>
    <w:p w:rsidR="00DA252E" w:rsidRPr="00F71B84" w:rsidRDefault="00DA252E" w:rsidP="00DA252E">
      <w:pPr>
        <w:spacing w:after="0" w:line="240" w:lineRule="auto"/>
        <w:rPr>
          <w:rFonts w:ascii="Verdana" w:hAnsi="Verdana"/>
          <w:sz w:val="24"/>
          <w:szCs w:val="24"/>
        </w:rPr>
      </w:pPr>
    </w:p>
    <w:p w:rsidR="00DA252E" w:rsidRPr="00F71B84" w:rsidRDefault="00DA252E" w:rsidP="00DA252E">
      <w:pPr>
        <w:spacing w:after="0" w:line="240" w:lineRule="auto"/>
        <w:rPr>
          <w:rFonts w:ascii="Verdana" w:hAnsi="Verdana"/>
          <w:sz w:val="24"/>
          <w:szCs w:val="24"/>
        </w:rPr>
      </w:pPr>
      <w:r w:rsidRPr="00F71B84">
        <w:rPr>
          <w:rFonts w:ascii="Verdana" w:hAnsi="Verdana"/>
          <w:sz w:val="24"/>
          <w:szCs w:val="24"/>
        </w:rPr>
        <w:t>Frente a las líneas de intervención, el programa ReSA realizó la siguiente atención a nivel nacional:</w:t>
      </w:r>
    </w:p>
    <w:p w:rsidR="00DA252E" w:rsidRPr="00F71B84" w:rsidRDefault="00DA252E" w:rsidP="00DA252E">
      <w:pPr>
        <w:spacing w:after="0" w:line="240" w:lineRule="auto"/>
        <w:rPr>
          <w:rFonts w:ascii="Verdana" w:hAnsi="Verdana"/>
          <w:sz w:val="24"/>
          <w:szCs w:val="24"/>
        </w:rPr>
      </w:pPr>
    </w:p>
    <w:p w:rsidR="00DA252E" w:rsidRPr="00F71B84" w:rsidRDefault="00DA252E" w:rsidP="00DA252E">
      <w:pPr>
        <w:spacing w:after="0" w:line="240" w:lineRule="auto"/>
        <w:rPr>
          <w:rFonts w:ascii="Verdana" w:hAnsi="Verdana"/>
          <w:sz w:val="24"/>
          <w:szCs w:val="24"/>
        </w:rPr>
      </w:pPr>
      <w:r w:rsidRPr="00F71B84">
        <w:rPr>
          <w:rFonts w:ascii="Verdana" w:hAnsi="Verdana"/>
          <w:sz w:val="24"/>
          <w:szCs w:val="24"/>
        </w:rPr>
        <w:t>Cuadro relacionado con la información reportada:</w:t>
      </w:r>
    </w:p>
    <w:p w:rsidR="00DA252E" w:rsidRDefault="00DA252E" w:rsidP="00DA252E">
      <w:pPr>
        <w:spacing w:after="0" w:line="240" w:lineRule="auto"/>
        <w:rPr>
          <w:rFonts w:ascii="Verdana" w:hAnsi="Verdana"/>
          <w:sz w:val="24"/>
          <w:szCs w:val="24"/>
        </w:rPr>
      </w:pPr>
    </w:p>
    <w:tbl>
      <w:tblPr>
        <w:tblW w:w="5000" w:type="pct"/>
        <w:tblCellMar>
          <w:left w:w="70" w:type="dxa"/>
          <w:right w:w="70" w:type="dxa"/>
        </w:tblCellMar>
        <w:tblLook w:val="04A0"/>
      </w:tblPr>
      <w:tblGrid>
        <w:gridCol w:w="6296"/>
        <w:gridCol w:w="3816"/>
      </w:tblGrid>
      <w:tr w:rsidR="00ED5BC1" w:rsidRPr="00ED5BC1" w:rsidTr="00ED5BC1">
        <w:trPr>
          <w:trHeight w:val="315"/>
          <w:tblHeader/>
        </w:trPr>
        <w:tc>
          <w:tcPr>
            <w:tcW w:w="3113" w:type="pct"/>
            <w:tcBorders>
              <w:top w:val="single" w:sz="8" w:space="0" w:color="FFFFFF"/>
              <w:left w:val="single" w:sz="8" w:space="0" w:color="FFFFFF"/>
              <w:bottom w:val="single" w:sz="8" w:space="0" w:color="FFFFFF"/>
              <w:right w:val="single" w:sz="8" w:space="0" w:color="FFFFFF"/>
            </w:tcBorders>
            <w:shd w:val="clear" w:color="000000" w:fill="548DD4"/>
            <w:noWrap/>
            <w:hideMark/>
          </w:tcPr>
          <w:p w:rsidR="00ED5BC1" w:rsidRPr="00ED5BC1" w:rsidRDefault="00ED5BC1" w:rsidP="00ED5BC1">
            <w:pPr>
              <w:spacing w:after="0" w:line="240" w:lineRule="auto"/>
              <w:rPr>
                <w:rFonts w:ascii="Verdana" w:eastAsia="Times New Roman" w:hAnsi="Verdana" w:cs="Times New Roman"/>
                <w:b/>
                <w:bCs/>
                <w:color w:val="FFFFFF"/>
                <w:sz w:val="20"/>
                <w:szCs w:val="20"/>
                <w:lang w:eastAsia="es-CO"/>
              </w:rPr>
            </w:pPr>
            <w:r w:rsidRPr="00ED5BC1">
              <w:rPr>
                <w:rFonts w:ascii="Verdana" w:eastAsia="Times New Roman" w:hAnsi="Verdana" w:cs="Times New Roman"/>
                <w:b/>
                <w:bCs/>
                <w:color w:val="FFFFFF"/>
                <w:sz w:val="20"/>
                <w:szCs w:val="20"/>
                <w:lang w:eastAsia="es-CO"/>
              </w:rPr>
              <w:lastRenderedPageBreak/>
              <w:t xml:space="preserve">LINEAS DE INTERVENCIÓN </w:t>
            </w:r>
          </w:p>
        </w:tc>
        <w:tc>
          <w:tcPr>
            <w:tcW w:w="1887" w:type="pct"/>
            <w:tcBorders>
              <w:top w:val="single" w:sz="8" w:space="0" w:color="FFFFFF"/>
              <w:left w:val="nil"/>
              <w:bottom w:val="single" w:sz="8" w:space="0" w:color="FFFFFF"/>
              <w:right w:val="single" w:sz="8" w:space="0" w:color="FFFFFF"/>
            </w:tcBorders>
            <w:shd w:val="clear" w:color="000000" w:fill="548DD4"/>
            <w:noWrap/>
            <w:hideMark/>
          </w:tcPr>
          <w:p w:rsidR="00ED5BC1" w:rsidRPr="00ED5BC1" w:rsidRDefault="00ED5BC1" w:rsidP="00ED5BC1">
            <w:pPr>
              <w:spacing w:after="0" w:line="240" w:lineRule="auto"/>
              <w:rPr>
                <w:rFonts w:ascii="Verdana" w:eastAsia="Times New Roman" w:hAnsi="Verdana" w:cs="Times New Roman"/>
                <w:b/>
                <w:bCs/>
                <w:color w:val="FFFFFF"/>
                <w:sz w:val="20"/>
                <w:szCs w:val="20"/>
                <w:lang w:eastAsia="es-CO"/>
              </w:rPr>
            </w:pPr>
            <w:r w:rsidRPr="00ED5BC1">
              <w:rPr>
                <w:rFonts w:ascii="Verdana" w:eastAsia="Times New Roman" w:hAnsi="Verdana" w:cs="Times New Roman"/>
                <w:b/>
                <w:bCs/>
                <w:color w:val="FFFFFF"/>
                <w:sz w:val="20"/>
                <w:szCs w:val="20"/>
                <w:lang w:eastAsia="es-CO"/>
              </w:rPr>
              <w:t xml:space="preserve"> FAMILIAS ATENDIDAS </w:t>
            </w:r>
          </w:p>
        </w:tc>
      </w:tr>
      <w:tr w:rsidR="00ED5BC1" w:rsidRPr="00ED5BC1" w:rsidTr="00ED5BC1">
        <w:trPr>
          <w:trHeight w:val="315"/>
        </w:trPr>
        <w:tc>
          <w:tcPr>
            <w:tcW w:w="3113" w:type="pct"/>
            <w:tcBorders>
              <w:top w:val="nil"/>
              <w:left w:val="single" w:sz="8" w:space="0" w:color="FFFFFF"/>
              <w:bottom w:val="single" w:sz="8" w:space="0" w:color="FFFFFF"/>
              <w:right w:val="single" w:sz="8" w:space="0" w:color="FFFFFF"/>
            </w:tcBorders>
            <w:shd w:val="clear" w:color="B8CCE4" w:fill="B8CCE4"/>
            <w:noWrap/>
            <w:hideMark/>
          </w:tcPr>
          <w:p w:rsidR="00ED5BC1" w:rsidRDefault="00ED5BC1" w:rsidP="00ED5BC1">
            <w:pPr>
              <w:spacing w:after="0" w:line="240" w:lineRule="auto"/>
              <w:rPr>
                <w:rFonts w:ascii="Verdana" w:eastAsia="Times New Roman" w:hAnsi="Verdana" w:cs="Times New Roman"/>
                <w:color w:val="000000"/>
                <w:lang w:eastAsia="es-CO"/>
              </w:rPr>
            </w:pPr>
            <w:r w:rsidRPr="00ED5BC1">
              <w:rPr>
                <w:rFonts w:ascii="Verdana" w:eastAsia="Times New Roman" w:hAnsi="Verdana" w:cs="Times New Roman"/>
                <w:color w:val="000000"/>
                <w:lang w:eastAsia="es-CO"/>
              </w:rPr>
              <w:t>Huertas con productos líder Fase II</w:t>
            </w:r>
          </w:p>
          <w:p w:rsidR="00ED5BC1" w:rsidRPr="00ED5BC1" w:rsidRDefault="00ED5BC1" w:rsidP="00ED5BC1">
            <w:pPr>
              <w:spacing w:after="0" w:line="240" w:lineRule="auto"/>
              <w:rPr>
                <w:rFonts w:ascii="Verdana" w:eastAsia="Times New Roman" w:hAnsi="Verdana" w:cs="Times New Roman"/>
                <w:color w:val="000000"/>
                <w:lang w:eastAsia="es-CO"/>
              </w:rPr>
            </w:pPr>
          </w:p>
        </w:tc>
        <w:tc>
          <w:tcPr>
            <w:tcW w:w="1887" w:type="pct"/>
            <w:tcBorders>
              <w:top w:val="nil"/>
              <w:left w:val="nil"/>
              <w:bottom w:val="single" w:sz="8" w:space="0" w:color="FFFFFF"/>
              <w:right w:val="single" w:sz="8" w:space="0" w:color="FFFFFF"/>
            </w:tcBorders>
            <w:shd w:val="clear" w:color="B8CCE4" w:fill="B8CCE4"/>
            <w:noWrap/>
            <w:hideMark/>
          </w:tcPr>
          <w:p w:rsidR="00ED5BC1" w:rsidRPr="00ED5BC1" w:rsidRDefault="00ED5BC1" w:rsidP="00ED5BC1">
            <w:pPr>
              <w:spacing w:after="0" w:line="240" w:lineRule="auto"/>
              <w:jc w:val="right"/>
              <w:rPr>
                <w:rFonts w:ascii="Verdana" w:eastAsia="Times New Roman" w:hAnsi="Verdana" w:cs="Times New Roman"/>
                <w:color w:val="000000"/>
                <w:lang w:eastAsia="es-CO"/>
              </w:rPr>
            </w:pPr>
            <w:r w:rsidRPr="00ED5BC1">
              <w:rPr>
                <w:rFonts w:ascii="Verdana" w:eastAsia="Times New Roman" w:hAnsi="Verdana" w:cs="Times New Roman"/>
                <w:color w:val="000000"/>
                <w:lang w:eastAsia="es-CO"/>
              </w:rPr>
              <w:t>1.260</w:t>
            </w:r>
          </w:p>
        </w:tc>
      </w:tr>
      <w:tr w:rsidR="00ED5BC1" w:rsidRPr="00ED5BC1" w:rsidTr="00ED5BC1">
        <w:trPr>
          <w:trHeight w:val="315"/>
        </w:trPr>
        <w:tc>
          <w:tcPr>
            <w:tcW w:w="3113" w:type="pct"/>
            <w:tcBorders>
              <w:top w:val="nil"/>
              <w:left w:val="single" w:sz="8" w:space="0" w:color="FFFFFF"/>
              <w:bottom w:val="single" w:sz="8" w:space="0" w:color="FFFFFF"/>
              <w:right w:val="single" w:sz="8" w:space="0" w:color="FFFFFF"/>
            </w:tcBorders>
            <w:shd w:val="clear" w:color="DBE5F1" w:fill="DBE5F1"/>
            <w:noWrap/>
            <w:hideMark/>
          </w:tcPr>
          <w:p w:rsidR="00ED5BC1" w:rsidRDefault="00ED5BC1" w:rsidP="00ED5BC1">
            <w:pPr>
              <w:spacing w:after="0" w:line="240" w:lineRule="auto"/>
              <w:rPr>
                <w:rFonts w:ascii="Verdana" w:eastAsia="Times New Roman" w:hAnsi="Verdana" w:cs="Times New Roman"/>
                <w:color w:val="000000"/>
                <w:lang w:eastAsia="es-CO"/>
              </w:rPr>
            </w:pPr>
            <w:r w:rsidRPr="00ED5BC1">
              <w:rPr>
                <w:rFonts w:ascii="Verdana" w:eastAsia="Times New Roman" w:hAnsi="Verdana" w:cs="Times New Roman"/>
                <w:color w:val="000000"/>
                <w:lang w:eastAsia="es-CO"/>
              </w:rPr>
              <w:t>ReSA Agricultura Familiar</w:t>
            </w:r>
          </w:p>
          <w:p w:rsidR="00ED5BC1" w:rsidRPr="00ED5BC1" w:rsidRDefault="00ED5BC1" w:rsidP="00ED5BC1">
            <w:pPr>
              <w:spacing w:after="0" w:line="240" w:lineRule="auto"/>
              <w:rPr>
                <w:rFonts w:ascii="Verdana" w:eastAsia="Times New Roman" w:hAnsi="Verdana" w:cs="Times New Roman"/>
                <w:color w:val="000000"/>
                <w:lang w:eastAsia="es-CO"/>
              </w:rPr>
            </w:pPr>
          </w:p>
        </w:tc>
        <w:tc>
          <w:tcPr>
            <w:tcW w:w="1887" w:type="pct"/>
            <w:tcBorders>
              <w:top w:val="nil"/>
              <w:left w:val="nil"/>
              <w:bottom w:val="single" w:sz="8" w:space="0" w:color="FFFFFF"/>
              <w:right w:val="single" w:sz="8" w:space="0" w:color="FFFFFF"/>
            </w:tcBorders>
            <w:shd w:val="clear" w:color="DBE5F1" w:fill="DBE5F1"/>
            <w:noWrap/>
            <w:hideMark/>
          </w:tcPr>
          <w:p w:rsidR="00ED5BC1" w:rsidRPr="00ED5BC1" w:rsidRDefault="00ED5BC1" w:rsidP="00ED5BC1">
            <w:pPr>
              <w:spacing w:after="0" w:line="240" w:lineRule="auto"/>
              <w:jc w:val="right"/>
              <w:rPr>
                <w:rFonts w:ascii="Verdana" w:eastAsia="Times New Roman" w:hAnsi="Verdana" w:cs="Times New Roman"/>
                <w:color w:val="000000"/>
                <w:lang w:eastAsia="es-CO"/>
              </w:rPr>
            </w:pPr>
            <w:r w:rsidRPr="00ED5BC1">
              <w:rPr>
                <w:rFonts w:ascii="Verdana" w:eastAsia="Times New Roman" w:hAnsi="Verdana" w:cs="Times New Roman"/>
                <w:color w:val="000000"/>
                <w:lang w:eastAsia="es-CO"/>
              </w:rPr>
              <w:t>810</w:t>
            </w:r>
          </w:p>
        </w:tc>
      </w:tr>
      <w:tr w:rsidR="00ED5BC1" w:rsidRPr="00ED5BC1" w:rsidTr="00ED5BC1">
        <w:trPr>
          <w:trHeight w:val="315"/>
        </w:trPr>
        <w:tc>
          <w:tcPr>
            <w:tcW w:w="3113" w:type="pct"/>
            <w:tcBorders>
              <w:top w:val="nil"/>
              <w:left w:val="single" w:sz="8" w:space="0" w:color="FFFFFF"/>
              <w:bottom w:val="single" w:sz="8" w:space="0" w:color="FFFFFF"/>
              <w:right w:val="single" w:sz="8" w:space="0" w:color="FFFFFF"/>
            </w:tcBorders>
            <w:shd w:val="clear" w:color="B8CCE4" w:fill="B8CCE4"/>
            <w:noWrap/>
            <w:hideMark/>
          </w:tcPr>
          <w:p w:rsidR="00ED5BC1" w:rsidRDefault="00ED5BC1" w:rsidP="00ED5BC1">
            <w:pPr>
              <w:spacing w:after="0" w:line="240" w:lineRule="auto"/>
              <w:rPr>
                <w:rFonts w:ascii="Verdana" w:eastAsia="Times New Roman" w:hAnsi="Verdana" w:cs="Times New Roman"/>
                <w:color w:val="000000"/>
                <w:lang w:eastAsia="es-CO"/>
              </w:rPr>
            </w:pPr>
            <w:r w:rsidRPr="00ED5BC1">
              <w:rPr>
                <w:rFonts w:ascii="Verdana" w:eastAsia="Times New Roman" w:hAnsi="Verdana" w:cs="Times New Roman"/>
                <w:color w:val="000000"/>
                <w:lang w:eastAsia="es-CO"/>
              </w:rPr>
              <w:t>ReSA Cuna</w:t>
            </w:r>
          </w:p>
          <w:p w:rsidR="00ED5BC1" w:rsidRPr="00ED5BC1" w:rsidRDefault="00ED5BC1" w:rsidP="00ED5BC1">
            <w:pPr>
              <w:spacing w:after="0" w:line="240" w:lineRule="auto"/>
              <w:rPr>
                <w:rFonts w:ascii="Verdana" w:eastAsia="Times New Roman" w:hAnsi="Verdana" w:cs="Times New Roman"/>
                <w:color w:val="000000"/>
                <w:lang w:eastAsia="es-CO"/>
              </w:rPr>
            </w:pPr>
          </w:p>
        </w:tc>
        <w:tc>
          <w:tcPr>
            <w:tcW w:w="1887" w:type="pct"/>
            <w:tcBorders>
              <w:top w:val="nil"/>
              <w:left w:val="nil"/>
              <w:bottom w:val="single" w:sz="8" w:space="0" w:color="FFFFFF"/>
              <w:right w:val="single" w:sz="8" w:space="0" w:color="FFFFFF"/>
            </w:tcBorders>
            <w:shd w:val="clear" w:color="B8CCE4" w:fill="B8CCE4"/>
            <w:noWrap/>
            <w:hideMark/>
          </w:tcPr>
          <w:p w:rsidR="00ED5BC1" w:rsidRPr="00ED5BC1" w:rsidRDefault="00ED5BC1" w:rsidP="00ED5BC1">
            <w:pPr>
              <w:spacing w:after="0" w:line="240" w:lineRule="auto"/>
              <w:jc w:val="right"/>
              <w:rPr>
                <w:rFonts w:ascii="Verdana" w:eastAsia="Times New Roman" w:hAnsi="Verdana" w:cs="Times New Roman"/>
                <w:color w:val="000000"/>
                <w:lang w:eastAsia="es-CO"/>
              </w:rPr>
            </w:pPr>
            <w:r w:rsidRPr="00ED5BC1">
              <w:rPr>
                <w:rFonts w:ascii="Verdana" w:eastAsia="Times New Roman" w:hAnsi="Verdana" w:cs="Times New Roman"/>
                <w:color w:val="000000"/>
                <w:lang w:eastAsia="es-CO"/>
              </w:rPr>
              <w:t>11.700</w:t>
            </w:r>
          </w:p>
        </w:tc>
      </w:tr>
      <w:tr w:rsidR="00ED5BC1" w:rsidRPr="00ED5BC1" w:rsidTr="00ED5BC1">
        <w:trPr>
          <w:trHeight w:val="315"/>
        </w:trPr>
        <w:tc>
          <w:tcPr>
            <w:tcW w:w="3113" w:type="pct"/>
            <w:tcBorders>
              <w:top w:val="nil"/>
              <w:left w:val="single" w:sz="8" w:space="0" w:color="FFFFFF"/>
              <w:bottom w:val="single" w:sz="8" w:space="0" w:color="FFFFFF"/>
              <w:right w:val="single" w:sz="8" w:space="0" w:color="FFFFFF"/>
            </w:tcBorders>
            <w:shd w:val="clear" w:color="DBE5F1" w:fill="DBE5F1"/>
            <w:noWrap/>
            <w:hideMark/>
          </w:tcPr>
          <w:p w:rsidR="00ED5BC1" w:rsidRDefault="00ED5BC1" w:rsidP="00ED5BC1">
            <w:pPr>
              <w:spacing w:after="0" w:line="240" w:lineRule="auto"/>
              <w:rPr>
                <w:rFonts w:ascii="Verdana" w:eastAsia="Times New Roman" w:hAnsi="Verdana" w:cs="Times New Roman"/>
                <w:color w:val="000000"/>
                <w:lang w:eastAsia="es-CO"/>
              </w:rPr>
            </w:pPr>
            <w:r w:rsidRPr="00ED5BC1">
              <w:rPr>
                <w:rFonts w:ascii="Verdana" w:eastAsia="Times New Roman" w:hAnsi="Verdana" w:cs="Times New Roman"/>
                <w:color w:val="000000"/>
                <w:lang w:eastAsia="es-CO"/>
              </w:rPr>
              <w:t>ReSA Enfoque Diferencial</w:t>
            </w:r>
          </w:p>
          <w:p w:rsidR="00ED5BC1" w:rsidRPr="00ED5BC1" w:rsidRDefault="00ED5BC1" w:rsidP="00ED5BC1">
            <w:pPr>
              <w:spacing w:after="0" w:line="240" w:lineRule="auto"/>
              <w:rPr>
                <w:rFonts w:ascii="Verdana" w:eastAsia="Times New Roman" w:hAnsi="Verdana" w:cs="Times New Roman"/>
                <w:color w:val="000000"/>
                <w:lang w:eastAsia="es-CO"/>
              </w:rPr>
            </w:pPr>
          </w:p>
        </w:tc>
        <w:tc>
          <w:tcPr>
            <w:tcW w:w="1887" w:type="pct"/>
            <w:tcBorders>
              <w:top w:val="nil"/>
              <w:left w:val="nil"/>
              <w:bottom w:val="single" w:sz="8" w:space="0" w:color="FFFFFF"/>
              <w:right w:val="single" w:sz="8" w:space="0" w:color="FFFFFF"/>
            </w:tcBorders>
            <w:shd w:val="clear" w:color="DBE5F1" w:fill="DBE5F1"/>
            <w:noWrap/>
            <w:hideMark/>
          </w:tcPr>
          <w:p w:rsidR="00ED5BC1" w:rsidRPr="00ED5BC1" w:rsidRDefault="00ED5BC1" w:rsidP="00ED5BC1">
            <w:pPr>
              <w:spacing w:after="0" w:line="240" w:lineRule="auto"/>
              <w:jc w:val="right"/>
              <w:rPr>
                <w:rFonts w:ascii="Verdana" w:eastAsia="Times New Roman" w:hAnsi="Verdana" w:cs="Times New Roman"/>
                <w:color w:val="000000"/>
                <w:lang w:eastAsia="es-CO"/>
              </w:rPr>
            </w:pPr>
            <w:r w:rsidRPr="00ED5BC1">
              <w:rPr>
                <w:rFonts w:ascii="Verdana" w:eastAsia="Times New Roman" w:hAnsi="Verdana" w:cs="Times New Roman"/>
                <w:color w:val="000000"/>
                <w:lang w:eastAsia="es-CO"/>
              </w:rPr>
              <w:t>3.600</w:t>
            </w:r>
          </w:p>
        </w:tc>
      </w:tr>
      <w:tr w:rsidR="00ED5BC1" w:rsidRPr="00ED5BC1" w:rsidTr="00ED5BC1">
        <w:trPr>
          <w:trHeight w:val="315"/>
        </w:trPr>
        <w:tc>
          <w:tcPr>
            <w:tcW w:w="3113" w:type="pct"/>
            <w:tcBorders>
              <w:top w:val="nil"/>
              <w:left w:val="single" w:sz="8" w:space="0" w:color="FFFFFF"/>
              <w:bottom w:val="single" w:sz="8" w:space="0" w:color="FFFFFF"/>
              <w:right w:val="single" w:sz="8" w:space="0" w:color="FFFFFF"/>
            </w:tcBorders>
            <w:shd w:val="clear" w:color="B8CCE4" w:fill="B8CCE4"/>
            <w:noWrap/>
            <w:hideMark/>
          </w:tcPr>
          <w:p w:rsidR="00ED5BC1" w:rsidRDefault="00ED5BC1" w:rsidP="00ED5BC1">
            <w:pPr>
              <w:spacing w:after="0" w:line="240" w:lineRule="auto"/>
              <w:rPr>
                <w:rFonts w:ascii="Verdana" w:eastAsia="Times New Roman" w:hAnsi="Verdana" w:cs="Times New Roman"/>
                <w:color w:val="000000"/>
                <w:lang w:eastAsia="es-CO"/>
              </w:rPr>
            </w:pPr>
            <w:r w:rsidRPr="00ED5BC1">
              <w:rPr>
                <w:rFonts w:ascii="Verdana" w:eastAsia="Times New Roman" w:hAnsi="Verdana" w:cs="Times New Roman"/>
                <w:color w:val="000000"/>
                <w:lang w:eastAsia="es-CO"/>
              </w:rPr>
              <w:t>ReSA Especial</w:t>
            </w:r>
          </w:p>
          <w:p w:rsidR="00ED5BC1" w:rsidRPr="00ED5BC1" w:rsidRDefault="00ED5BC1" w:rsidP="00ED5BC1">
            <w:pPr>
              <w:spacing w:after="0" w:line="240" w:lineRule="auto"/>
              <w:rPr>
                <w:rFonts w:ascii="Verdana" w:eastAsia="Times New Roman" w:hAnsi="Verdana" w:cs="Times New Roman"/>
                <w:color w:val="000000"/>
                <w:lang w:eastAsia="es-CO"/>
              </w:rPr>
            </w:pPr>
          </w:p>
        </w:tc>
        <w:tc>
          <w:tcPr>
            <w:tcW w:w="1887" w:type="pct"/>
            <w:tcBorders>
              <w:top w:val="nil"/>
              <w:left w:val="nil"/>
              <w:bottom w:val="single" w:sz="8" w:space="0" w:color="FFFFFF"/>
              <w:right w:val="single" w:sz="8" w:space="0" w:color="FFFFFF"/>
            </w:tcBorders>
            <w:shd w:val="clear" w:color="B8CCE4" w:fill="B8CCE4"/>
            <w:noWrap/>
            <w:hideMark/>
          </w:tcPr>
          <w:p w:rsidR="00ED5BC1" w:rsidRPr="00ED5BC1" w:rsidRDefault="00ED5BC1" w:rsidP="00ED5BC1">
            <w:pPr>
              <w:spacing w:after="0" w:line="240" w:lineRule="auto"/>
              <w:jc w:val="right"/>
              <w:rPr>
                <w:rFonts w:ascii="Verdana" w:eastAsia="Times New Roman" w:hAnsi="Verdana" w:cs="Times New Roman"/>
                <w:color w:val="000000"/>
                <w:lang w:eastAsia="es-CO"/>
              </w:rPr>
            </w:pPr>
            <w:r w:rsidRPr="00ED5BC1">
              <w:rPr>
                <w:rFonts w:ascii="Verdana" w:eastAsia="Times New Roman" w:hAnsi="Verdana" w:cs="Times New Roman"/>
                <w:color w:val="000000"/>
                <w:lang w:eastAsia="es-CO"/>
              </w:rPr>
              <w:t>550</w:t>
            </w:r>
          </w:p>
        </w:tc>
      </w:tr>
      <w:tr w:rsidR="00ED5BC1" w:rsidRPr="00ED5BC1" w:rsidTr="00ED5BC1">
        <w:trPr>
          <w:trHeight w:val="315"/>
        </w:trPr>
        <w:tc>
          <w:tcPr>
            <w:tcW w:w="3113" w:type="pct"/>
            <w:tcBorders>
              <w:top w:val="nil"/>
              <w:left w:val="single" w:sz="8" w:space="0" w:color="FFFFFF"/>
              <w:bottom w:val="single" w:sz="8" w:space="0" w:color="FFFFFF"/>
              <w:right w:val="single" w:sz="8" w:space="0" w:color="FFFFFF"/>
            </w:tcBorders>
            <w:shd w:val="clear" w:color="DBE5F1" w:fill="DBE5F1"/>
            <w:noWrap/>
            <w:hideMark/>
          </w:tcPr>
          <w:p w:rsidR="00ED5BC1" w:rsidRDefault="00ED5BC1" w:rsidP="00ED5BC1">
            <w:pPr>
              <w:spacing w:after="0" w:line="240" w:lineRule="auto"/>
              <w:rPr>
                <w:rFonts w:ascii="Verdana" w:eastAsia="Times New Roman" w:hAnsi="Verdana" w:cs="Times New Roman"/>
                <w:color w:val="000000"/>
                <w:lang w:eastAsia="es-CO"/>
              </w:rPr>
            </w:pPr>
            <w:r w:rsidRPr="00ED5BC1">
              <w:rPr>
                <w:rFonts w:ascii="Verdana" w:eastAsia="Times New Roman" w:hAnsi="Verdana" w:cs="Times New Roman"/>
                <w:color w:val="000000"/>
                <w:lang w:eastAsia="es-CO"/>
              </w:rPr>
              <w:t>ReSA Rural</w:t>
            </w:r>
          </w:p>
          <w:p w:rsidR="00ED5BC1" w:rsidRPr="00ED5BC1" w:rsidRDefault="00ED5BC1" w:rsidP="00ED5BC1">
            <w:pPr>
              <w:spacing w:after="0" w:line="240" w:lineRule="auto"/>
              <w:rPr>
                <w:rFonts w:ascii="Verdana" w:eastAsia="Times New Roman" w:hAnsi="Verdana" w:cs="Times New Roman"/>
                <w:color w:val="000000"/>
                <w:lang w:eastAsia="es-CO"/>
              </w:rPr>
            </w:pPr>
          </w:p>
        </w:tc>
        <w:tc>
          <w:tcPr>
            <w:tcW w:w="1887" w:type="pct"/>
            <w:tcBorders>
              <w:top w:val="nil"/>
              <w:left w:val="nil"/>
              <w:bottom w:val="single" w:sz="8" w:space="0" w:color="FFFFFF"/>
              <w:right w:val="single" w:sz="8" w:space="0" w:color="FFFFFF"/>
            </w:tcBorders>
            <w:shd w:val="clear" w:color="DBE5F1" w:fill="DBE5F1"/>
            <w:noWrap/>
            <w:hideMark/>
          </w:tcPr>
          <w:p w:rsidR="00ED5BC1" w:rsidRPr="00ED5BC1" w:rsidRDefault="00ED5BC1" w:rsidP="00ED5BC1">
            <w:pPr>
              <w:spacing w:after="0" w:line="240" w:lineRule="auto"/>
              <w:jc w:val="right"/>
              <w:rPr>
                <w:rFonts w:ascii="Verdana" w:eastAsia="Times New Roman" w:hAnsi="Verdana" w:cs="Times New Roman"/>
                <w:color w:val="000000"/>
                <w:lang w:eastAsia="es-CO"/>
              </w:rPr>
            </w:pPr>
            <w:r w:rsidRPr="00ED5BC1">
              <w:rPr>
                <w:rFonts w:ascii="Verdana" w:eastAsia="Times New Roman" w:hAnsi="Verdana" w:cs="Times New Roman"/>
                <w:color w:val="000000"/>
                <w:lang w:eastAsia="es-CO"/>
              </w:rPr>
              <w:t>38.372</w:t>
            </w:r>
          </w:p>
        </w:tc>
      </w:tr>
      <w:tr w:rsidR="00ED5BC1" w:rsidRPr="00ED5BC1" w:rsidTr="00ED5BC1">
        <w:trPr>
          <w:trHeight w:val="315"/>
        </w:trPr>
        <w:tc>
          <w:tcPr>
            <w:tcW w:w="3113" w:type="pct"/>
            <w:tcBorders>
              <w:top w:val="nil"/>
              <w:left w:val="single" w:sz="8" w:space="0" w:color="FFFFFF"/>
              <w:bottom w:val="single" w:sz="8" w:space="0" w:color="FFFFFF"/>
              <w:right w:val="single" w:sz="8" w:space="0" w:color="FFFFFF"/>
            </w:tcBorders>
            <w:shd w:val="clear" w:color="B8CCE4" w:fill="B8CCE4"/>
            <w:noWrap/>
            <w:hideMark/>
          </w:tcPr>
          <w:p w:rsidR="00ED5BC1" w:rsidRDefault="00ED5BC1" w:rsidP="00ED5BC1">
            <w:pPr>
              <w:spacing w:after="0" w:line="240" w:lineRule="auto"/>
              <w:rPr>
                <w:rFonts w:ascii="Verdana" w:eastAsia="Times New Roman" w:hAnsi="Verdana" w:cs="Times New Roman"/>
                <w:color w:val="000000"/>
                <w:lang w:eastAsia="es-CO"/>
              </w:rPr>
            </w:pPr>
            <w:r w:rsidRPr="00ED5BC1">
              <w:rPr>
                <w:rFonts w:ascii="Verdana" w:eastAsia="Times New Roman" w:hAnsi="Verdana" w:cs="Times New Roman"/>
                <w:color w:val="000000"/>
                <w:lang w:eastAsia="es-CO"/>
              </w:rPr>
              <w:t>ReSA Seguridad Alimentaria Comunitaria</w:t>
            </w:r>
          </w:p>
          <w:p w:rsidR="00ED5BC1" w:rsidRPr="00ED5BC1" w:rsidRDefault="00ED5BC1" w:rsidP="00ED5BC1">
            <w:pPr>
              <w:spacing w:after="0" w:line="240" w:lineRule="auto"/>
              <w:rPr>
                <w:rFonts w:ascii="Verdana" w:eastAsia="Times New Roman" w:hAnsi="Verdana" w:cs="Times New Roman"/>
                <w:color w:val="000000"/>
                <w:lang w:eastAsia="es-CO"/>
              </w:rPr>
            </w:pPr>
          </w:p>
        </w:tc>
        <w:tc>
          <w:tcPr>
            <w:tcW w:w="1887" w:type="pct"/>
            <w:tcBorders>
              <w:top w:val="nil"/>
              <w:left w:val="nil"/>
              <w:bottom w:val="single" w:sz="8" w:space="0" w:color="FFFFFF"/>
              <w:right w:val="single" w:sz="8" w:space="0" w:color="FFFFFF"/>
            </w:tcBorders>
            <w:shd w:val="clear" w:color="B8CCE4" w:fill="B8CCE4"/>
            <w:noWrap/>
            <w:hideMark/>
          </w:tcPr>
          <w:p w:rsidR="00ED5BC1" w:rsidRPr="00ED5BC1" w:rsidRDefault="00ED5BC1" w:rsidP="00ED5BC1">
            <w:pPr>
              <w:spacing w:after="0" w:line="240" w:lineRule="auto"/>
              <w:jc w:val="right"/>
              <w:rPr>
                <w:rFonts w:ascii="Verdana" w:eastAsia="Times New Roman" w:hAnsi="Verdana" w:cs="Times New Roman"/>
                <w:color w:val="000000"/>
                <w:lang w:eastAsia="es-CO"/>
              </w:rPr>
            </w:pPr>
            <w:r w:rsidRPr="00ED5BC1">
              <w:rPr>
                <w:rFonts w:ascii="Verdana" w:eastAsia="Times New Roman" w:hAnsi="Verdana" w:cs="Times New Roman"/>
                <w:color w:val="000000"/>
                <w:lang w:eastAsia="es-CO"/>
              </w:rPr>
              <w:t>1.800</w:t>
            </w:r>
          </w:p>
        </w:tc>
      </w:tr>
      <w:tr w:rsidR="00ED5BC1" w:rsidRPr="00ED5BC1" w:rsidTr="00ED5BC1">
        <w:trPr>
          <w:trHeight w:val="315"/>
        </w:trPr>
        <w:tc>
          <w:tcPr>
            <w:tcW w:w="3113" w:type="pct"/>
            <w:tcBorders>
              <w:top w:val="nil"/>
              <w:left w:val="single" w:sz="8" w:space="0" w:color="FFFFFF"/>
              <w:bottom w:val="single" w:sz="8" w:space="0" w:color="FFFFFF"/>
              <w:right w:val="single" w:sz="8" w:space="0" w:color="FFFFFF"/>
            </w:tcBorders>
            <w:shd w:val="clear" w:color="DBE5F1" w:fill="DBE5F1"/>
            <w:noWrap/>
            <w:hideMark/>
          </w:tcPr>
          <w:p w:rsidR="00ED5BC1" w:rsidRDefault="00ED5BC1" w:rsidP="00ED5BC1">
            <w:pPr>
              <w:spacing w:after="0" w:line="240" w:lineRule="auto"/>
              <w:rPr>
                <w:rFonts w:ascii="Verdana" w:eastAsia="Times New Roman" w:hAnsi="Verdana" w:cs="Times New Roman"/>
                <w:color w:val="000000"/>
                <w:lang w:eastAsia="es-CO"/>
              </w:rPr>
            </w:pPr>
            <w:r w:rsidRPr="00ED5BC1">
              <w:rPr>
                <w:rFonts w:ascii="Verdana" w:eastAsia="Times New Roman" w:hAnsi="Verdana" w:cs="Times New Roman"/>
                <w:color w:val="000000"/>
                <w:lang w:eastAsia="es-CO"/>
              </w:rPr>
              <w:t>ReSA Urbano</w:t>
            </w:r>
          </w:p>
          <w:p w:rsidR="00ED5BC1" w:rsidRPr="00ED5BC1" w:rsidRDefault="00ED5BC1" w:rsidP="00ED5BC1">
            <w:pPr>
              <w:spacing w:after="0" w:line="240" w:lineRule="auto"/>
              <w:rPr>
                <w:rFonts w:ascii="Verdana" w:eastAsia="Times New Roman" w:hAnsi="Verdana" w:cs="Times New Roman"/>
                <w:color w:val="000000"/>
                <w:lang w:eastAsia="es-CO"/>
              </w:rPr>
            </w:pPr>
          </w:p>
        </w:tc>
        <w:tc>
          <w:tcPr>
            <w:tcW w:w="1887" w:type="pct"/>
            <w:tcBorders>
              <w:top w:val="nil"/>
              <w:left w:val="nil"/>
              <w:bottom w:val="single" w:sz="8" w:space="0" w:color="FFFFFF"/>
              <w:right w:val="single" w:sz="8" w:space="0" w:color="FFFFFF"/>
            </w:tcBorders>
            <w:shd w:val="clear" w:color="DBE5F1" w:fill="DBE5F1"/>
            <w:noWrap/>
            <w:hideMark/>
          </w:tcPr>
          <w:p w:rsidR="00ED5BC1" w:rsidRPr="00ED5BC1" w:rsidRDefault="00ED5BC1" w:rsidP="00ED5BC1">
            <w:pPr>
              <w:spacing w:after="0" w:line="240" w:lineRule="auto"/>
              <w:jc w:val="right"/>
              <w:rPr>
                <w:rFonts w:ascii="Verdana" w:eastAsia="Times New Roman" w:hAnsi="Verdana" w:cs="Times New Roman"/>
                <w:color w:val="000000"/>
                <w:lang w:eastAsia="es-CO"/>
              </w:rPr>
            </w:pPr>
            <w:r w:rsidRPr="00ED5BC1">
              <w:rPr>
                <w:rFonts w:ascii="Verdana" w:eastAsia="Times New Roman" w:hAnsi="Verdana" w:cs="Times New Roman"/>
                <w:color w:val="000000"/>
                <w:lang w:eastAsia="es-CO"/>
              </w:rPr>
              <w:t>11280</w:t>
            </w:r>
          </w:p>
        </w:tc>
      </w:tr>
      <w:tr w:rsidR="00ED5BC1" w:rsidRPr="00ED5BC1" w:rsidTr="00ED5BC1">
        <w:trPr>
          <w:trHeight w:val="315"/>
        </w:trPr>
        <w:tc>
          <w:tcPr>
            <w:tcW w:w="3113" w:type="pct"/>
            <w:tcBorders>
              <w:top w:val="nil"/>
              <w:left w:val="single" w:sz="8" w:space="0" w:color="FFFFFF"/>
              <w:bottom w:val="single" w:sz="8" w:space="0" w:color="FFFFFF"/>
              <w:right w:val="single" w:sz="8" w:space="0" w:color="FFFFFF"/>
            </w:tcBorders>
            <w:shd w:val="clear" w:color="B8CCE4" w:fill="B8CCE4"/>
            <w:noWrap/>
            <w:hideMark/>
          </w:tcPr>
          <w:p w:rsidR="00ED5BC1" w:rsidRPr="00ED5BC1" w:rsidRDefault="00ED5BC1" w:rsidP="00ED5BC1">
            <w:pPr>
              <w:spacing w:after="0" w:line="240" w:lineRule="auto"/>
              <w:rPr>
                <w:rFonts w:ascii="Verdana" w:eastAsia="Times New Roman" w:hAnsi="Verdana" w:cs="Times New Roman"/>
                <w:color w:val="000000"/>
                <w:lang w:eastAsia="es-CO"/>
              </w:rPr>
            </w:pPr>
            <w:r w:rsidRPr="00ED5BC1">
              <w:rPr>
                <w:rFonts w:ascii="Verdana" w:eastAsia="Times New Roman" w:hAnsi="Verdana" w:cs="Times New Roman"/>
                <w:color w:val="000000"/>
                <w:lang w:eastAsia="es-CO"/>
              </w:rPr>
              <w:t xml:space="preserve">TOTAL GENERAL </w:t>
            </w:r>
          </w:p>
        </w:tc>
        <w:tc>
          <w:tcPr>
            <w:tcW w:w="1887" w:type="pct"/>
            <w:tcBorders>
              <w:top w:val="nil"/>
              <w:left w:val="nil"/>
              <w:bottom w:val="single" w:sz="8" w:space="0" w:color="FFFFFF"/>
              <w:right w:val="single" w:sz="8" w:space="0" w:color="FFFFFF"/>
            </w:tcBorders>
            <w:shd w:val="clear" w:color="B8CCE4" w:fill="B8CCE4"/>
            <w:noWrap/>
            <w:hideMark/>
          </w:tcPr>
          <w:p w:rsidR="00ED5BC1" w:rsidRPr="00ED5BC1" w:rsidRDefault="00ED5BC1" w:rsidP="00ED5BC1">
            <w:pPr>
              <w:spacing w:after="0" w:line="240" w:lineRule="auto"/>
              <w:jc w:val="right"/>
              <w:rPr>
                <w:rFonts w:ascii="Verdana" w:eastAsia="Times New Roman" w:hAnsi="Verdana" w:cs="Times New Roman"/>
                <w:color w:val="000000"/>
                <w:lang w:eastAsia="es-CO"/>
              </w:rPr>
            </w:pPr>
            <w:r w:rsidRPr="00ED5BC1">
              <w:rPr>
                <w:rFonts w:ascii="Verdana" w:eastAsia="Times New Roman" w:hAnsi="Verdana" w:cs="Times New Roman"/>
                <w:color w:val="000000"/>
                <w:lang w:eastAsia="es-CO"/>
              </w:rPr>
              <w:t>69.372</w:t>
            </w:r>
          </w:p>
        </w:tc>
      </w:tr>
    </w:tbl>
    <w:p w:rsidR="00ED5BC1" w:rsidRDefault="00ED5BC1" w:rsidP="00DA252E">
      <w:pPr>
        <w:spacing w:after="0" w:line="240" w:lineRule="auto"/>
        <w:rPr>
          <w:rFonts w:ascii="Verdana" w:hAnsi="Verdana"/>
          <w:b/>
          <w:color w:val="548DD4" w:themeColor="text2" w:themeTint="99"/>
          <w:sz w:val="24"/>
          <w:szCs w:val="24"/>
        </w:rPr>
      </w:pPr>
    </w:p>
    <w:p w:rsidR="00ED5BC1" w:rsidRDefault="00ED5BC1" w:rsidP="00DA252E">
      <w:pPr>
        <w:spacing w:after="0" w:line="240" w:lineRule="auto"/>
        <w:rPr>
          <w:rFonts w:ascii="Verdana" w:hAnsi="Verdana"/>
          <w:b/>
          <w:color w:val="548DD4" w:themeColor="text2" w:themeTint="99"/>
          <w:sz w:val="24"/>
          <w:szCs w:val="24"/>
        </w:rPr>
      </w:pPr>
    </w:p>
    <w:p w:rsidR="00DA252E"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 xml:space="preserve">Logros </w:t>
      </w:r>
    </w:p>
    <w:p w:rsidR="00DA252E" w:rsidRPr="00405354" w:rsidRDefault="00DA252E" w:rsidP="00DA252E">
      <w:pPr>
        <w:spacing w:after="0" w:line="240" w:lineRule="auto"/>
        <w:rPr>
          <w:rFonts w:ascii="Verdana" w:hAnsi="Verdana"/>
          <w:b/>
          <w:color w:val="548DD4" w:themeColor="text2" w:themeTint="99"/>
          <w:sz w:val="24"/>
          <w:szCs w:val="24"/>
        </w:rPr>
      </w:pPr>
    </w:p>
    <w:p w:rsidR="00DA252E" w:rsidRPr="00255AE9" w:rsidRDefault="00DA252E" w:rsidP="00FF784D">
      <w:pPr>
        <w:pStyle w:val="Prrafodelista"/>
        <w:numPr>
          <w:ilvl w:val="0"/>
          <w:numId w:val="6"/>
        </w:numPr>
        <w:autoSpaceDE w:val="0"/>
        <w:autoSpaceDN w:val="0"/>
        <w:adjustRightInd w:val="0"/>
        <w:spacing w:after="0" w:line="240" w:lineRule="auto"/>
        <w:ind w:left="709" w:hanging="283"/>
        <w:jc w:val="both"/>
        <w:rPr>
          <w:rFonts w:ascii="Verdana" w:hAnsi="Verdana"/>
          <w:i/>
          <w:sz w:val="24"/>
          <w:szCs w:val="24"/>
        </w:rPr>
      </w:pPr>
      <w:r w:rsidRPr="00255AE9">
        <w:rPr>
          <w:rFonts w:ascii="Verdana" w:hAnsi="Verdana"/>
          <w:i/>
          <w:sz w:val="24"/>
          <w:szCs w:val="24"/>
        </w:rPr>
        <w:t>Se logró la atención de 69.372 familias con la suscripción de 5 Contratos de Prestación de Servicios (Adjudicados por medio de Convocatoria Pública) para la atención de 44.430 Familias y 25 Convenios de Asociación para la atención de 24.942 Familias a nivel nacional en 2</w:t>
      </w:r>
      <w:r w:rsidR="00045A66">
        <w:rPr>
          <w:rFonts w:ascii="Verdana" w:hAnsi="Verdana"/>
          <w:i/>
          <w:sz w:val="24"/>
          <w:szCs w:val="24"/>
        </w:rPr>
        <w:t>4</w:t>
      </w:r>
      <w:r w:rsidRPr="00255AE9">
        <w:rPr>
          <w:rFonts w:ascii="Verdana" w:hAnsi="Verdana"/>
          <w:i/>
          <w:sz w:val="24"/>
          <w:szCs w:val="24"/>
        </w:rPr>
        <w:t>4 municipios.</w:t>
      </w:r>
    </w:p>
    <w:p w:rsidR="00DA252E" w:rsidRPr="00255AE9" w:rsidRDefault="00DA252E" w:rsidP="00FF784D">
      <w:pPr>
        <w:pStyle w:val="Prrafodelista"/>
        <w:numPr>
          <w:ilvl w:val="0"/>
          <w:numId w:val="6"/>
        </w:numPr>
        <w:autoSpaceDE w:val="0"/>
        <w:autoSpaceDN w:val="0"/>
        <w:adjustRightInd w:val="0"/>
        <w:spacing w:after="0" w:line="240" w:lineRule="auto"/>
        <w:ind w:left="709" w:hanging="283"/>
        <w:jc w:val="both"/>
        <w:rPr>
          <w:rFonts w:ascii="Verdana" w:hAnsi="Verdana"/>
          <w:i/>
          <w:sz w:val="24"/>
          <w:szCs w:val="24"/>
        </w:rPr>
      </w:pPr>
      <w:r w:rsidRPr="00255AE9">
        <w:rPr>
          <w:rFonts w:ascii="Verdana" w:hAnsi="Verdana"/>
          <w:i/>
          <w:sz w:val="24"/>
          <w:szCs w:val="24"/>
        </w:rPr>
        <w:t>Construcción y puesta en marcha de un proyecto ReSA Rural Especial para 550 familias indígenas en el Departamento de Vaupés, en los corregimientos departamentales de Yavaraté, Papunaua y Pacoa con una inversión de $ 1.383 Millones de Pesos.</w:t>
      </w:r>
    </w:p>
    <w:p w:rsidR="00DA252E" w:rsidRPr="00255AE9" w:rsidRDefault="00DA252E" w:rsidP="00FF784D">
      <w:pPr>
        <w:pStyle w:val="Prrafodelista"/>
        <w:numPr>
          <w:ilvl w:val="0"/>
          <w:numId w:val="6"/>
        </w:numPr>
        <w:autoSpaceDE w:val="0"/>
        <w:autoSpaceDN w:val="0"/>
        <w:adjustRightInd w:val="0"/>
        <w:spacing w:after="0" w:line="240" w:lineRule="auto"/>
        <w:ind w:left="709" w:hanging="283"/>
        <w:jc w:val="both"/>
        <w:rPr>
          <w:rFonts w:ascii="Verdana" w:hAnsi="Verdana"/>
          <w:i/>
          <w:sz w:val="24"/>
          <w:szCs w:val="24"/>
        </w:rPr>
      </w:pPr>
      <w:r w:rsidRPr="00255AE9">
        <w:rPr>
          <w:rFonts w:ascii="Verdana" w:hAnsi="Verdana"/>
          <w:i/>
          <w:sz w:val="24"/>
          <w:szCs w:val="24"/>
        </w:rPr>
        <w:t>Cofinanciación por parte de los Entes Territoriales de $ 4.201 millones que apalancaron la atención en 4.000 familias frente a la meta establecida.</w:t>
      </w:r>
    </w:p>
    <w:p w:rsidR="00DA252E" w:rsidRPr="00255AE9" w:rsidRDefault="00DA252E" w:rsidP="00FF784D">
      <w:pPr>
        <w:pStyle w:val="Prrafodelista"/>
        <w:numPr>
          <w:ilvl w:val="0"/>
          <w:numId w:val="6"/>
        </w:numPr>
        <w:autoSpaceDE w:val="0"/>
        <w:autoSpaceDN w:val="0"/>
        <w:adjustRightInd w:val="0"/>
        <w:spacing w:after="0" w:line="240" w:lineRule="auto"/>
        <w:ind w:left="709" w:hanging="283"/>
        <w:jc w:val="both"/>
        <w:rPr>
          <w:rFonts w:ascii="Verdana" w:hAnsi="Verdana"/>
          <w:i/>
          <w:sz w:val="24"/>
          <w:szCs w:val="24"/>
        </w:rPr>
      </w:pPr>
      <w:r w:rsidRPr="00255AE9">
        <w:rPr>
          <w:rFonts w:ascii="Verdana" w:hAnsi="Verdana"/>
          <w:i/>
          <w:sz w:val="24"/>
          <w:szCs w:val="24"/>
        </w:rPr>
        <w:t xml:space="preserve">Frente a la totalidad de municipios (96) con el IPM más alto a nivel nacional, el programa ReSA tuvo intervención en 32 municipios. </w:t>
      </w:r>
    </w:p>
    <w:p w:rsidR="00DA252E" w:rsidRPr="00255AE9" w:rsidRDefault="00DA252E" w:rsidP="00FF784D">
      <w:pPr>
        <w:pStyle w:val="Prrafodelista"/>
        <w:numPr>
          <w:ilvl w:val="0"/>
          <w:numId w:val="6"/>
        </w:numPr>
        <w:autoSpaceDE w:val="0"/>
        <w:autoSpaceDN w:val="0"/>
        <w:adjustRightInd w:val="0"/>
        <w:spacing w:after="0" w:line="240" w:lineRule="auto"/>
        <w:ind w:left="709" w:hanging="283"/>
        <w:jc w:val="both"/>
        <w:rPr>
          <w:rFonts w:ascii="Verdana" w:hAnsi="Verdana"/>
          <w:i/>
          <w:sz w:val="24"/>
          <w:szCs w:val="24"/>
        </w:rPr>
      </w:pPr>
      <w:r w:rsidRPr="00255AE9">
        <w:rPr>
          <w:rFonts w:ascii="Verdana" w:hAnsi="Verdana"/>
          <w:i/>
          <w:sz w:val="24"/>
          <w:szCs w:val="24"/>
        </w:rPr>
        <w:t>Se realizó el fortalecimiento técnico en seguridad alimentaria y nutricional a 9 departamentos del país (Putumayo, Meta, Valle del Cauca, Norte de Santander, Nariño, Huila, Cauca, Caquetá y Casanare), cuyo resultado principal es el diagnóstico de las principales problemáticas de SAN por departamento y sus alternativas de solución, así como el mapa de actores departamentales que tienen acciones en SAN.</w:t>
      </w:r>
    </w:p>
    <w:p w:rsidR="00DA252E" w:rsidRPr="00255AE9" w:rsidRDefault="00DA252E" w:rsidP="00FF784D">
      <w:pPr>
        <w:pStyle w:val="Prrafodelista"/>
        <w:numPr>
          <w:ilvl w:val="0"/>
          <w:numId w:val="6"/>
        </w:numPr>
        <w:autoSpaceDE w:val="0"/>
        <w:autoSpaceDN w:val="0"/>
        <w:adjustRightInd w:val="0"/>
        <w:spacing w:after="0" w:line="240" w:lineRule="auto"/>
        <w:ind w:left="709" w:hanging="283"/>
        <w:jc w:val="both"/>
        <w:rPr>
          <w:rFonts w:ascii="Verdana" w:hAnsi="Verdana"/>
          <w:i/>
          <w:sz w:val="24"/>
          <w:szCs w:val="24"/>
        </w:rPr>
      </w:pPr>
      <w:r w:rsidRPr="00255AE9">
        <w:rPr>
          <w:rFonts w:ascii="Verdana" w:hAnsi="Verdana"/>
          <w:i/>
          <w:sz w:val="24"/>
          <w:szCs w:val="24"/>
        </w:rPr>
        <w:lastRenderedPageBreak/>
        <w:t>Durante estas jornadas de fortalecimiento participaron 186 municipios de los departamentos focalizados, con una asistencia de 64% de los municipios convocados.</w:t>
      </w:r>
    </w:p>
    <w:p w:rsidR="00DA252E" w:rsidRPr="00255AE9" w:rsidRDefault="00DA252E" w:rsidP="00FF784D">
      <w:pPr>
        <w:pStyle w:val="Prrafodelista"/>
        <w:numPr>
          <w:ilvl w:val="0"/>
          <w:numId w:val="6"/>
        </w:numPr>
        <w:autoSpaceDE w:val="0"/>
        <w:autoSpaceDN w:val="0"/>
        <w:adjustRightInd w:val="0"/>
        <w:spacing w:after="0" w:line="240" w:lineRule="auto"/>
        <w:ind w:left="709" w:hanging="283"/>
        <w:jc w:val="both"/>
        <w:rPr>
          <w:rFonts w:ascii="Verdana" w:hAnsi="Verdana"/>
          <w:i/>
          <w:sz w:val="24"/>
          <w:szCs w:val="24"/>
        </w:rPr>
      </w:pPr>
      <w:r w:rsidRPr="00255AE9">
        <w:rPr>
          <w:rFonts w:ascii="Verdana" w:hAnsi="Verdana"/>
          <w:i/>
          <w:sz w:val="24"/>
          <w:szCs w:val="24"/>
        </w:rPr>
        <w:t xml:space="preserve">Consolidación y seguimiento a las acciones en SAN para la atención en el departamento de La Guajira, por las entidades miembro de la Comisión Intersectorial de Seguridad Alimentaria y Nutricional </w:t>
      </w:r>
      <w:r>
        <w:rPr>
          <w:rFonts w:ascii="Verdana" w:hAnsi="Verdana"/>
          <w:i/>
          <w:sz w:val="24"/>
          <w:szCs w:val="24"/>
        </w:rPr>
        <w:t>–</w:t>
      </w:r>
      <w:r w:rsidRPr="00255AE9">
        <w:rPr>
          <w:rFonts w:ascii="Verdana" w:hAnsi="Verdana"/>
          <w:i/>
          <w:sz w:val="24"/>
          <w:szCs w:val="24"/>
        </w:rPr>
        <w:t xml:space="preserve"> CISAN</w:t>
      </w:r>
      <w:r>
        <w:rPr>
          <w:rFonts w:ascii="Verdana" w:hAnsi="Verdana"/>
          <w:i/>
          <w:sz w:val="24"/>
          <w:szCs w:val="24"/>
        </w:rPr>
        <w:t>.</w:t>
      </w:r>
    </w:p>
    <w:p w:rsidR="00DA252E" w:rsidRPr="00F71B84" w:rsidRDefault="00DA252E" w:rsidP="00DA252E">
      <w:pPr>
        <w:spacing w:after="0" w:line="240" w:lineRule="auto"/>
        <w:rPr>
          <w:rFonts w:ascii="Verdana" w:hAnsi="Verdana"/>
          <w:b/>
          <w:sz w:val="24"/>
          <w:szCs w:val="24"/>
        </w:rPr>
      </w:pPr>
    </w:p>
    <w:p w:rsidR="009970B9" w:rsidRDefault="009970B9" w:rsidP="00DA252E">
      <w:pPr>
        <w:spacing w:after="0" w:line="240" w:lineRule="auto"/>
        <w:rPr>
          <w:rFonts w:ascii="Verdana" w:hAnsi="Verdana"/>
          <w:b/>
          <w:color w:val="548DD4" w:themeColor="text2" w:themeTint="99"/>
          <w:sz w:val="24"/>
          <w:szCs w:val="24"/>
        </w:rPr>
      </w:pPr>
    </w:p>
    <w:p w:rsidR="009970B9" w:rsidRDefault="009970B9" w:rsidP="00DA252E">
      <w:pPr>
        <w:spacing w:after="0" w:line="240" w:lineRule="auto"/>
        <w:rPr>
          <w:rFonts w:ascii="Verdana" w:hAnsi="Verdana"/>
          <w:b/>
          <w:color w:val="548DD4" w:themeColor="text2" w:themeTint="99"/>
          <w:sz w:val="24"/>
          <w:szCs w:val="24"/>
        </w:rPr>
      </w:pPr>
    </w:p>
    <w:p w:rsidR="00DA252E"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 xml:space="preserve">Retos 2015 </w:t>
      </w:r>
    </w:p>
    <w:p w:rsidR="00DA252E" w:rsidRPr="00405354" w:rsidRDefault="00DA252E" w:rsidP="00DA252E">
      <w:pPr>
        <w:spacing w:after="0" w:line="240" w:lineRule="auto"/>
        <w:rPr>
          <w:rFonts w:ascii="Verdana" w:hAnsi="Verdana"/>
          <w:b/>
          <w:color w:val="548DD4" w:themeColor="text2" w:themeTint="99"/>
          <w:sz w:val="24"/>
          <w:szCs w:val="24"/>
        </w:rPr>
      </w:pPr>
    </w:p>
    <w:p w:rsidR="00DA252E" w:rsidRPr="00B03526" w:rsidRDefault="00DA252E" w:rsidP="00FF784D">
      <w:pPr>
        <w:pStyle w:val="Prrafodelista"/>
        <w:numPr>
          <w:ilvl w:val="0"/>
          <w:numId w:val="6"/>
        </w:numPr>
        <w:autoSpaceDE w:val="0"/>
        <w:autoSpaceDN w:val="0"/>
        <w:adjustRightInd w:val="0"/>
        <w:spacing w:after="0" w:line="240" w:lineRule="auto"/>
        <w:ind w:left="709" w:hanging="284"/>
        <w:jc w:val="both"/>
        <w:rPr>
          <w:rFonts w:ascii="Verdana" w:hAnsi="Verdana"/>
          <w:i/>
          <w:sz w:val="24"/>
          <w:szCs w:val="24"/>
        </w:rPr>
      </w:pPr>
      <w:r w:rsidRPr="00B03526">
        <w:rPr>
          <w:rFonts w:ascii="Verdana" w:hAnsi="Verdana"/>
          <w:i/>
          <w:sz w:val="24"/>
          <w:szCs w:val="24"/>
        </w:rPr>
        <w:t>Orientar la oferta institucional hacia las zonas con mayores brechas de i</w:t>
      </w:r>
      <w:r>
        <w:rPr>
          <w:rFonts w:ascii="Verdana" w:hAnsi="Verdana"/>
          <w:i/>
          <w:sz w:val="24"/>
          <w:szCs w:val="24"/>
        </w:rPr>
        <w:t>nseguridad alimentaria e incidencia de pobreza</w:t>
      </w:r>
      <w:r w:rsidRPr="00B03526">
        <w:rPr>
          <w:rFonts w:ascii="Verdana" w:hAnsi="Verdana"/>
          <w:i/>
          <w:sz w:val="24"/>
          <w:szCs w:val="24"/>
        </w:rPr>
        <w:t xml:space="preserve">. </w:t>
      </w:r>
    </w:p>
    <w:p w:rsidR="00DA252E" w:rsidRPr="00B03526" w:rsidRDefault="00DA252E" w:rsidP="00FF784D">
      <w:pPr>
        <w:pStyle w:val="Prrafodelista"/>
        <w:numPr>
          <w:ilvl w:val="0"/>
          <w:numId w:val="6"/>
        </w:numPr>
        <w:autoSpaceDE w:val="0"/>
        <w:autoSpaceDN w:val="0"/>
        <w:adjustRightInd w:val="0"/>
        <w:spacing w:after="0" w:line="240" w:lineRule="auto"/>
        <w:ind w:left="709" w:hanging="284"/>
        <w:jc w:val="both"/>
        <w:rPr>
          <w:rFonts w:ascii="Verdana" w:hAnsi="Verdana"/>
          <w:i/>
          <w:sz w:val="24"/>
          <w:szCs w:val="24"/>
        </w:rPr>
      </w:pPr>
      <w:r w:rsidRPr="00B03526">
        <w:rPr>
          <w:rFonts w:ascii="Verdana" w:hAnsi="Verdana"/>
          <w:i/>
          <w:sz w:val="24"/>
          <w:szCs w:val="24"/>
        </w:rPr>
        <w:t>Lograr que el programa ReSA se convierta en un puente entre la inclusión social y productiva a través de la articulación con el Ministerio de Agricultura mediante los proyectos de la línea ReSA Agricultura Familiar.</w:t>
      </w:r>
    </w:p>
    <w:p w:rsidR="00DA252E" w:rsidRDefault="00DA252E" w:rsidP="00FF784D">
      <w:pPr>
        <w:pStyle w:val="Prrafodelista"/>
        <w:numPr>
          <w:ilvl w:val="0"/>
          <w:numId w:val="6"/>
        </w:numPr>
        <w:autoSpaceDE w:val="0"/>
        <w:autoSpaceDN w:val="0"/>
        <w:adjustRightInd w:val="0"/>
        <w:spacing w:after="0" w:line="240" w:lineRule="auto"/>
        <w:ind w:left="709" w:hanging="284"/>
        <w:jc w:val="both"/>
        <w:rPr>
          <w:rFonts w:ascii="Verdana" w:hAnsi="Verdana"/>
          <w:i/>
          <w:sz w:val="24"/>
          <w:szCs w:val="24"/>
        </w:rPr>
      </w:pPr>
      <w:r w:rsidRPr="006F7E8C">
        <w:rPr>
          <w:rFonts w:ascii="Verdana" w:hAnsi="Verdana"/>
          <w:i/>
          <w:sz w:val="24"/>
          <w:szCs w:val="24"/>
        </w:rPr>
        <w:t>Con el incremento progresivo en el presupuesto se espera atender a más de 70.000 familias a nivel nacional articulando acciones para fomentar la calidad de la nutrición con el programa Más Familias en Acción</w:t>
      </w:r>
      <w:r>
        <w:rPr>
          <w:rFonts w:ascii="Verdana" w:hAnsi="Verdana"/>
          <w:i/>
          <w:sz w:val="24"/>
          <w:szCs w:val="24"/>
        </w:rPr>
        <w:t>.</w:t>
      </w:r>
    </w:p>
    <w:p w:rsidR="00DA252E" w:rsidRPr="006F7E8C" w:rsidRDefault="00DA252E" w:rsidP="00FF784D">
      <w:pPr>
        <w:pStyle w:val="Prrafodelista"/>
        <w:numPr>
          <w:ilvl w:val="0"/>
          <w:numId w:val="6"/>
        </w:numPr>
        <w:autoSpaceDE w:val="0"/>
        <w:autoSpaceDN w:val="0"/>
        <w:adjustRightInd w:val="0"/>
        <w:spacing w:after="0" w:line="240" w:lineRule="auto"/>
        <w:ind w:left="709" w:hanging="284"/>
        <w:jc w:val="both"/>
        <w:rPr>
          <w:rFonts w:ascii="Verdana" w:hAnsi="Verdana"/>
          <w:i/>
          <w:sz w:val="24"/>
          <w:szCs w:val="24"/>
        </w:rPr>
      </w:pPr>
      <w:r w:rsidRPr="006F7E8C">
        <w:rPr>
          <w:rFonts w:ascii="Verdana" w:hAnsi="Verdana"/>
          <w:i/>
          <w:sz w:val="24"/>
          <w:szCs w:val="24"/>
        </w:rPr>
        <w:t>De igual manera, ampliar la cobertura de atención en los proyectos de Vivienda Gratuita impulsados por el Gobierno Nacional.</w:t>
      </w:r>
    </w:p>
    <w:p w:rsidR="00DA252E" w:rsidRPr="00B03526" w:rsidRDefault="00DA252E" w:rsidP="00FF784D">
      <w:pPr>
        <w:pStyle w:val="Prrafodelista"/>
        <w:numPr>
          <w:ilvl w:val="0"/>
          <w:numId w:val="6"/>
        </w:numPr>
        <w:autoSpaceDE w:val="0"/>
        <w:autoSpaceDN w:val="0"/>
        <w:adjustRightInd w:val="0"/>
        <w:spacing w:after="0" w:line="240" w:lineRule="auto"/>
        <w:ind w:left="709" w:hanging="284"/>
        <w:jc w:val="both"/>
        <w:rPr>
          <w:rFonts w:ascii="Verdana" w:hAnsi="Verdana"/>
          <w:i/>
          <w:sz w:val="24"/>
          <w:szCs w:val="24"/>
        </w:rPr>
      </w:pPr>
      <w:r w:rsidRPr="00B03526">
        <w:rPr>
          <w:rFonts w:ascii="Verdana" w:hAnsi="Verdana"/>
          <w:i/>
          <w:sz w:val="24"/>
          <w:szCs w:val="24"/>
        </w:rPr>
        <w:t>Realizar el seguimiento a las acciones establecidas en el Plan Nacional de Seguridad Alimentaria y Nutricional, 2012 -2019.</w:t>
      </w:r>
    </w:p>
    <w:p w:rsidR="00DA252E" w:rsidRPr="00B03526" w:rsidRDefault="00DA252E" w:rsidP="00FF784D">
      <w:pPr>
        <w:pStyle w:val="Prrafodelista"/>
        <w:numPr>
          <w:ilvl w:val="0"/>
          <w:numId w:val="6"/>
        </w:numPr>
        <w:autoSpaceDE w:val="0"/>
        <w:autoSpaceDN w:val="0"/>
        <w:adjustRightInd w:val="0"/>
        <w:spacing w:after="0" w:line="240" w:lineRule="auto"/>
        <w:ind w:left="709" w:hanging="284"/>
        <w:jc w:val="both"/>
        <w:rPr>
          <w:rFonts w:ascii="Verdana" w:hAnsi="Verdana"/>
          <w:i/>
          <w:sz w:val="24"/>
          <w:szCs w:val="24"/>
        </w:rPr>
      </w:pPr>
      <w:r w:rsidRPr="00B03526">
        <w:rPr>
          <w:rFonts w:ascii="Verdana" w:hAnsi="Verdana"/>
          <w:i/>
          <w:sz w:val="24"/>
          <w:szCs w:val="24"/>
        </w:rPr>
        <w:t xml:space="preserve">Liderar el rediseño de la política de seguridad alimentaria y nutricional de acuerdo a la revisión del CONPES 113. </w:t>
      </w:r>
    </w:p>
    <w:p w:rsidR="00DA252E" w:rsidRDefault="00DA252E" w:rsidP="00FF784D">
      <w:pPr>
        <w:pStyle w:val="Prrafodelista"/>
        <w:numPr>
          <w:ilvl w:val="0"/>
          <w:numId w:val="6"/>
        </w:numPr>
        <w:autoSpaceDE w:val="0"/>
        <w:autoSpaceDN w:val="0"/>
        <w:adjustRightInd w:val="0"/>
        <w:spacing w:after="0" w:line="240" w:lineRule="auto"/>
        <w:ind w:left="709" w:hanging="284"/>
        <w:jc w:val="both"/>
        <w:rPr>
          <w:rFonts w:ascii="Verdana" w:hAnsi="Verdana"/>
          <w:i/>
          <w:sz w:val="24"/>
          <w:szCs w:val="24"/>
        </w:rPr>
      </w:pPr>
      <w:r w:rsidRPr="00B03526">
        <w:rPr>
          <w:rFonts w:ascii="Verdana" w:hAnsi="Verdana"/>
          <w:i/>
          <w:sz w:val="24"/>
          <w:szCs w:val="24"/>
        </w:rPr>
        <w:t>Brindar asistencia técnica en seguridad alimentaria y nutricional a los territorios con el fin de que se incluyan acciones en SAN en los Planes de Desarrollo departamentales.</w:t>
      </w:r>
    </w:p>
    <w:p w:rsidR="00DA252E" w:rsidRDefault="00DA252E" w:rsidP="00DA252E">
      <w:pPr>
        <w:spacing w:after="0" w:line="240" w:lineRule="auto"/>
        <w:rPr>
          <w:rFonts w:ascii="Verdana" w:hAnsi="Verdana"/>
          <w:b/>
          <w:i/>
          <w:sz w:val="24"/>
          <w:szCs w:val="24"/>
        </w:rPr>
      </w:pPr>
    </w:p>
    <w:p w:rsidR="00DA252E" w:rsidRDefault="00DA252E" w:rsidP="00DA252E">
      <w:pPr>
        <w:spacing w:after="0" w:line="240" w:lineRule="auto"/>
        <w:rPr>
          <w:rFonts w:ascii="Verdana" w:hAnsi="Verdana"/>
          <w:b/>
          <w:i/>
          <w:sz w:val="24"/>
          <w:szCs w:val="24"/>
        </w:rPr>
      </w:pPr>
    </w:p>
    <w:p w:rsidR="00DA252E" w:rsidRPr="00334E15" w:rsidRDefault="00DA252E" w:rsidP="009970B9">
      <w:pPr>
        <w:pStyle w:val="Ttulo3"/>
        <w:spacing w:before="0" w:after="0" w:line="240" w:lineRule="auto"/>
        <w:rPr>
          <w:rFonts w:ascii="Verdana" w:hAnsi="Verdana"/>
          <w:color w:val="548DD4" w:themeColor="text2" w:themeTint="99"/>
          <w:sz w:val="24"/>
          <w:szCs w:val="24"/>
          <w:u w:val="single"/>
        </w:rPr>
      </w:pPr>
      <w:bookmarkStart w:id="25" w:name="_Toc410376778"/>
      <w:r w:rsidRPr="00334E15">
        <w:rPr>
          <w:rFonts w:ascii="Verdana" w:hAnsi="Verdana"/>
          <w:color w:val="548DD4" w:themeColor="text2" w:themeTint="99"/>
          <w:sz w:val="24"/>
          <w:szCs w:val="24"/>
          <w:u w:val="single"/>
        </w:rPr>
        <w:t>GRUPO DE APOYO MISIONAL</w:t>
      </w:r>
      <w:bookmarkEnd w:id="25"/>
    </w:p>
    <w:p w:rsidR="00DA252E" w:rsidRDefault="00DA252E" w:rsidP="00DA252E">
      <w:pPr>
        <w:spacing w:after="0" w:line="240" w:lineRule="auto"/>
        <w:rPr>
          <w:rFonts w:ascii="Verdana" w:hAnsi="Verdana"/>
          <w:b/>
          <w:sz w:val="24"/>
          <w:szCs w:val="24"/>
        </w:rPr>
      </w:pPr>
      <w:bookmarkStart w:id="26" w:name="_Toc410035277"/>
    </w:p>
    <w:p w:rsidR="00DA252E" w:rsidRPr="00387E62" w:rsidRDefault="00DA252E" w:rsidP="00DA252E">
      <w:pPr>
        <w:spacing w:after="0" w:line="240" w:lineRule="auto"/>
        <w:rPr>
          <w:rFonts w:ascii="Verdana" w:hAnsi="Verdana"/>
          <w:b/>
          <w:color w:val="4F81BD" w:themeColor="accent1"/>
          <w:sz w:val="24"/>
          <w:szCs w:val="24"/>
        </w:rPr>
      </w:pPr>
      <w:r w:rsidRPr="00387E62">
        <w:rPr>
          <w:rFonts w:ascii="Verdana" w:hAnsi="Verdana"/>
          <w:b/>
          <w:color w:val="4F81BD" w:themeColor="accent1"/>
          <w:sz w:val="24"/>
          <w:szCs w:val="24"/>
        </w:rPr>
        <w:t>Objetivo</w:t>
      </w:r>
    </w:p>
    <w:p w:rsidR="00DA252E" w:rsidRPr="00BE2692" w:rsidRDefault="00DA252E" w:rsidP="00DA252E">
      <w:pPr>
        <w:spacing w:after="0" w:line="240" w:lineRule="auto"/>
        <w:jc w:val="both"/>
        <w:rPr>
          <w:rFonts w:ascii="Verdana" w:hAnsi="Verdana"/>
          <w:bCs/>
          <w:sz w:val="24"/>
          <w:szCs w:val="24"/>
        </w:rPr>
      </w:pPr>
    </w:p>
    <w:p w:rsidR="00DA252E" w:rsidRPr="00BE2692" w:rsidRDefault="00DA252E" w:rsidP="00DA252E">
      <w:pPr>
        <w:spacing w:after="0" w:line="240" w:lineRule="auto"/>
        <w:jc w:val="both"/>
        <w:rPr>
          <w:rFonts w:ascii="Verdana" w:hAnsi="Verdana"/>
          <w:sz w:val="24"/>
          <w:szCs w:val="24"/>
        </w:rPr>
      </w:pPr>
      <w:r w:rsidRPr="00BE2692">
        <w:rPr>
          <w:rFonts w:ascii="Verdana" w:hAnsi="Verdana"/>
          <w:bCs/>
          <w:sz w:val="24"/>
          <w:szCs w:val="24"/>
        </w:rPr>
        <w:t>Coordina</w:t>
      </w:r>
      <w:r>
        <w:rPr>
          <w:rFonts w:ascii="Verdana" w:hAnsi="Verdana"/>
          <w:bCs/>
          <w:sz w:val="24"/>
          <w:szCs w:val="24"/>
        </w:rPr>
        <w:t>r</w:t>
      </w:r>
      <w:r w:rsidRPr="00BE2692">
        <w:rPr>
          <w:rFonts w:ascii="Verdana" w:hAnsi="Verdana"/>
          <w:bCs/>
          <w:sz w:val="24"/>
          <w:szCs w:val="24"/>
        </w:rPr>
        <w:t>, gestiona</w:t>
      </w:r>
      <w:r>
        <w:rPr>
          <w:rFonts w:ascii="Verdana" w:hAnsi="Verdana"/>
          <w:bCs/>
          <w:sz w:val="24"/>
          <w:szCs w:val="24"/>
        </w:rPr>
        <w:t>r</w:t>
      </w:r>
      <w:r w:rsidRPr="00BE2692">
        <w:rPr>
          <w:rFonts w:ascii="Verdana" w:hAnsi="Verdana"/>
          <w:bCs/>
          <w:sz w:val="24"/>
          <w:szCs w:val="24"/>
        </w:rPr>
        <w:t xml:space="preserve"> y articula</w:t>
      </w:r>
      <w:r>
        <w:rPr>
          <w:rFonts w:ascii="Verdana" w:hAnsi="Verdana"/>
          <w:bCs/>
          <w:sz w:val="24"/>
          <w:szCs w:val="24"/>
        </w:rPr>
        <w:t>r</w:t>
      </w:r>
      <w:r w:rsidRPr="00BE2692">
        <w:rPr>
          <w:rFonts w:ascii="Verdana" w:hAnsi="Verdana"/>
          <w:bCs/>
          <w:sz w:val="24"/>
          <w:szCs w:val="24"/>
        </w:rPr>
        <w:t xml:space="preserve"> estrategias en temas coyunturales ocasionados por situaciones de emergencia humanitaria manifiesta que afecten a la población participante del </w:t>
      </w:r>
      <w:r>
        <w:rPr>
          <w:rFonts w:ascii="Verdana" w:hAnsi="Verdana"/>
          <w:bCs/>
          <w:sz w:val="24"/>
          <w:szCs w:val="24"/>
        </w:rPr>
        <w:t>S</w:t>
      </w:r>
      <w:r w:rsidRPr="00BE2692">
        <w:rPr>
          <w:rFonts w:ascii="Verdana" w:hAnsi="Verdana"/>
          <w:bCs/>
          <w:sz w:val="24"/>
          <w:szCs w:val="24"/>
        </w:rPr>
        <w:t>ector, como también coordina</w:t>
      </w:r>
      <w:r>
        <w:rPr>
          <w:rFonts w:ascii="Verdana" w:hAnsi="Verdana"/>
          <w:bCs/>
          <w:sz w:val="24"/>
          <w:szCs w:val="24"/>
        </w:rPr>
        <w:t>r</w:t>
      </w:r>
      <w:r w:rsidRPr="00BE2692">
        <w:rPr>
          <w:rFonts w:ascii="Verdana" w:hAnsi="Verdana"/>
          <w:bCs/>
          <w:sz w:val="24"/>
          <w:szCs w:val="24"/>
        </w:rPr>
        <w:t xml:space="preserve"> </w:t>
      </w:r>
      <w:r>
        <w:rPr>
          <w:rFonts w:ascii="Verdana" w:hAnsi="Verdana"/>
          <w:bCs/>
          <w:sz w:val="24"/>
          <w:szCs w:val="24"/>
        </w:rPr>
        <w:t>las</w:t>
      </w:r>
      <w:r w:rsidRPr="00BE2692">
        <w:rPr>
          <w:rFonts w:ascii="Verdana" w:hAnsi="Verdana"/>
          <w:bCs/>
          <w:sz w:val="24"/>
          <w:szCs w:val="24"/>
        </w:rPr>
        <w:t xml:space="preserve"> estrategias de restablecimiento de medios de subsistencia.</w:t>
      </w:r>
    </w:p>
    <w:p w:rsidR="00DA252E" w:rsidRDefault="00DA252E" w:rsidP="00DA252E">
      <w:pPr>
        <w:spacing w:after="0" w:line="240" w:lineRule="auto"/>
        <w:jc w:val="both"/>
        <w:rPr>
          <w:rFonts w:ascii="Verdana" w:hAnsi="Verdana"/>
          <w:sz w:val="24"/>
          <w:szCs w:val="24"/>
        </w:rPr>
      </w:pPr>
    </w:p>
    <w:p w:rsidR="00DA252E" w:rsidRDefault="00DA252E" w:rsidP="00DA252E">
      <w:pPr>
        <w:spacing w:after="0" w:line="240" w:lineRule="auto"/>
        <w:rPr>
          <w:rFonts w:ascii="Verdana" w:hAnsi="Verdana"/>
          <w:b/>
          <w:color w:val="4F81BD" w:themeColor="accent1"/>
          <w:sz w:val="24"/>
          <w:szCs w:val="24"/>
        </w:rPr>
      </w:pPr>
      <w:r>
        <w:rPr>
          <w:rFonts w:ascii="Verdana" w:hAnsi="Verdana"/>
          <w:b/>
          <w:color w:val="4F81BD" w:themeColor="accent1"/>
          <w:sz w:val="24"/>
          <w:szCs w:val="24"/>
        </w:rPr>
        <w:lastRenderedPageBreak/>
        <w:t>Líneas de Acción</w:t>
      </w:r>
    </w:p>
    <w:p w:rsidR="00DA252E" w:rsidRPr="00387E62" w:rsidRDefault="00DA252E" w:rsidP="00DA252E">
      <w:pPr>
        <w:spacing w:after="0" w:line="240" w:lineRule="auto"/>
        <w:rPr>
          <w:rFonts w:ascii="Verdana" w:hAnsi="Verdana"/>
          <w:b/>
          <w:color w:val="4F81BD" w:themeColor="accent1"/>
          <w:sz w:val="24"/>
          <w:szCs w:val="24"/>
        </w:rPr>
      </w:pPr>
    </w:p>
    <w:p w:rsidR="00DA252E" w:rsidRPr="00BD4C94" w:rsidRDefault="00DA252E" w:rsidP="00FF784D">
      <w:pPr>
        <w:numPr>
          <w:ilvl w:val="0"/>
          <w:numId w:val="41"/>
        </w:numPr>
        <w:tabs>
          <w:tab w:val="left" w:pos="709"/>
        </w:tabs>
        <w:spacing w:after="0" w:line="240" w:lineRule="auto"/>
        <w:ind w:left="709" w:hanging="283"/>
        <w:jc w:val="both"/>
        <w:rPr>
          <w:rFonts w:ascii="Verdana" w:hAnsi="Verdana"/>
          <w:sz w:val="24"/>
          <w:szCs w:val="24"/>
        </w:rPr>
      </w:pPr>
      <w:r w:rsidRPr="00BD4C94">
        <w:rPr>
          <w:rFonts w:ascii="Verdana" w:hAnsi="Verdana"/>
          <w:bCs/>
          <w:sz w:val="24"/>
          <w:szCs w:val="24"/>
        </w:rPr>
        <w:t>Coordinar y gestionar la articulación estratégica en temas coyunturales ocasionados por situaciones de emergencia humanitaria manifiesta, que afecten a la población participante del Sector.</w:t>
      </w:r>
    </w:p>
    <w:p w:rsidR="00DA252E" w:rsidRPr="00BD4C94" w:rsidRDefault="00DA252E" w:rsidP="00FF784D">
      <w:pPr>
        <w:numPr>
          <w:ilvl w:val="0"/>
          <w:numId w:val="41"/>
        </w:numPr>
        <w:tabs>
          <w:tab w:val="left" w:pos="709"/>
        </w:tabs>
        <w:spacing w:after="0" w:line="240" w:lineRule="auto"/>
        <w:ind w:left="709" w:hanging="283"/>
        <w:jc w:val="both"/>
        <w:rPr>
          <w:rFonts w:ascii="Verdana" w:hAnsi="Verdana"/>
          <w:sz w:val="24"/>
          <w:szCs w:val="24"/>
        </w:rPr>
      </w:pPr>
      <w:r w:rsidRPr="00BD4C94">
        <w:rPr>
          <w:rFonts w:ascii="Verdana" w:hAnsi="Verdana"/>
          <w:bCs/>
          <w:sz w:val="24"/>
          <w:szCs w:val="24"/>
        </w:rPr>
        <w:t>Efectuar la coordinación de estrategias de restablecimiento de medios de subsistencia en el marco de la alianza estratégica denominada Operación Prolongada de Socorro y Recuperación (OPSR).</w:t>
      </w:r>
    </w:p>
    <w:p w:rsidR="00DA252E" w:rsidRPr="00BD4C94" w:rsidRDefault="00DA252E" w:rsidP="00FF784D">
      <w:pPr>
        <w:numPr>
          <w:ilvl w:val="0"/>
          <w:numId w:val="41"/>
        </w:numPr>
        <w:tabs>
          <w:tab w:val="left" w:pos="709"/>
        </w:tabs>
        <w:spacing w:after="0" w:line="240" w:lineRule="auto"/>
        <w:ind w:left="709" w:hanging="283"/>
        <w:jc w:val="both"/>
        <w:rPr>
          <w:rFonts w:ascii="Verdana" w:hAnsi="Verdana"/>
          <w:sz w:val="24"/>
          <w:szCs w:val="24"/>
        </w:rPr>
      </w:pPr>
      <w:r w:rsidRPr="00BD4C94">
        <w:rPr>
          <w:rFonts w:ascii="Verdana" w:hAnsi="Verdana"/>
          <w:bCs/>
          <w:sz w:val="24"/>
          <w:szCs w:val="24"/>
        </w:rPr>
        <w:t>Evaluar el cumplimiento de los objetivos,  metas, criterios de focalización y enfoque diferencial.</w:t>
      </w:r>
    </w:p>
    <w:p w:rsidR="00DA252E" w:rsidRPr="00BD4C94" w:rsidRDefault="00DA252E" w:rsidP="00FF784D">
      <w:pPr>
        <w:numPr>
          <w:ilvl w:val="0"/>
          <w:numId w:val="41"/>
        </w:numPr>
        <w:tabs>
          <w:tab w:val="left" w:pos="709"/>
        </w:tabs>
        <w:spacing w:after="0" w:line="240" w:lineRule="auto"/>
        <w:ind w:left="709" w:hanging="283"/>
        <w:jc w:val="both"/>
        <w:rPr>
          <w:rFonts w:ascii="Verdana" w:hAnsi="Verdana"/>
          <w:sz w:val="24"/>
          <w:szCs w:val="24"/>
        </w:rPr>
      </w:pPr>
      <w:r w:rsidRPr="00BD4C94">
        <w:rPr>
          <w:rFonts w:ascii="Verdana" w:hAnsi="Verdana"/>
          <w:bCs/>
          <w:sz w:val="24"/>
          <w:szCs w:val="24"/>
        </w:rPr>
        <w:t>Promover la participación de alianzas público privadas.</w:t>
      </w:r>
    </w:p>
    <w:p w:rsidR="00DA252E" w:rsidRPr="00BD4C94" w:rsidRDefault="00DA252E" w:rsidP="00FF784D">
      <w:pPr>
        <w:numPr>
          <w:ilvl w:val="0"/>
          <w:numId w:val="41"/>
        </w:numPr>
        <w:tabs>
          <w:tab w:val="left" w:pos="709"/>
        </w:tabs>
        <w:spacing w:after="0" w:line="240" w:lineRule="auto"/>
        <w:ind w:left="709" w:hanging="283"/>
        <w:jc w:val="both"/>
        <w:rPr>
          <w:rFonts w:ascii="Verdana" w:hAnsi="Verdana"/>
          <w:sz w:val="24"/>
          <w:szCs w:val="24"/>
        </w:rPr>
      </w:pPr>
      <w:r w:rsidRPr="00BD4C94">
        <w:rPr>
          <w:rFonts w:ascii="Verdana" w:hAnsi="Verdana"/>
          <w:sz w:val="24"/>
          <w:szCs w:val="24"/>
        </w:rPr>
        <w:t>Promover la participación de las comunidades en las intervenciones.</w:t>
      </w:r>
    </w:p>
    <w:p w:rsidR="00DA252E" w:rsidRPr="00BD4C94" w:rsidRDefault="00DA252E" w:rsidP="00FF784D">
      <w:pPr>
        <w:numPr>
          <w:ilvl w:val="0"/>
          <w:numId w:val="41"/>
        </w:numPr>
        <w:tabs>
          <w:tab w:val="left" w:pos="709"/>
        </w:tabs>
        <w:spacing w:after="0" w:line="240" w:lineRule="auto"/>
        <w:ind w:left="709" w:hanging="283"/>
        <w:jc w:val="both"/>
        <w:rPr>
          <w:rFonts w:ascii="Verdana" w:hAnsi="Verdana"/>
          <w:sz w:val="24"/>
          <w:szCs w:val="24"/>
        </w:rPr>
      </w:pPr>
      <w:r w:rsidRPr="00BD4C94">
        <w:rPr>
          <w:rFonts w:ascii="Verdana" w:hAnsi="Verdana"/>
          <w:sz w:val="24"/>
          <w:szCs w:val="24"/>
        </w:rPr>
        <w:t>Coordinar con las entidades territoriales el desarrollo de las intervenciones y su sostenibilidad.</w:t>
      </w:r>
    </w:p>
    <w:p w:rsidR="00DA252E" w:rsidRPr="00BD4C94" w:rsidRDefault="00DA252E" w:rsidP="00FF784D">
      <w:pPr>
        <w:numPr>
          <w:ilvl w:val="0"/>
          <w:numId w:val="41"/>
        </w:numPr>
        <w:tabs>
          <w:tab w:val="left" w:pos="709"/>
        </w:tabs>
        <w:spacing w:after="0" w:line="240" w:lineRule="auto"/>
        <w:ind w:left="709" w:hanging="283"/>
        <w:jc w:val="both"/>
        <w:rPr>
          <w:rFonts w:ascii="Verdana" w:hAnsi="Verdana"/>
          <w:sz w:val="24"/>
          <w:szCs w:val="24"/>
        </w:rPr>
      </w:pPr>
      <w:r w:rsidRPr="00BD4C94">
        <w:rPr>
          <w:rFonts w:ascii="Verdana" w:hAnsi="Verdana"/>
          <w:sz w:val="24"/>
          <w:szCs w:val="24"/>
        </w:rPr>
        <w:t>Coordinar con las Direcciones Regionales la programación y supervisión de las intervenciones.</w:t>
      </w:r>
    </w:p>
    <w:p w:rsidR="00DA252E" w:rsidRPr="00BD4C94" w:rsidRDefault="00DA252E" w:rsidP="00FF784D">
      <w:pPr>
        <w:numPr>
          <w:ilvl w:val="0"/>
          <w:numId w:val="41"/>
        </w:numPr>
        <w:tabs>
          <w:tab w:val="left" w:pos="709"/>
        </w:tabs>
        <w:spacing w:after="0" w:line="240" w:lineRule="auto"/>
        <w:ind w:left="709" w:hanging="283"/>
        <w:jc w:val="both"/>
        <w:rPr>
          <w:rFonts w:ascii="Verdana" w:hAnsi="Verdana"/>
          <w:sz w:val="24"/>
          <w:szCs w:val="24"/>
        </w:rPr>
      </w:pPr>
      <w:r w:rsidRPr="00BD4C94">
        <w:rPr>
          <w:rFonts w:ascii="Verdana" w:hAnsi="Verdana"/>
          <w:sz w:val="24"/>
          <w:szCs w:val="24"/>
        </w:rPr>
        <w:t>Promover la Innovación como herramienta fundamental en el proceso  de mejora continua.</w:t>
      </w:r>
    </w:p>
    <w:p w:rsidR="00DA252E" w:rsidRPr="00BE2692" w:rsidRDefault="00DA252E" w:rsidP="00DA252E">
      <w:pPr>
        <w:spacing w:after="0" w:line="240" w:lineRule="auto"/>
        <w:jc w:val="both"/>
        <w:rPr>
          <w:rFonts w:ascii="Verdana" w:hAnsi="Verdana"/>
          <w:sz w:val="24"/>
          <w:szCs w:val="24"/>
        </w:rPr>
      </w:pPr>
    </w:p>
    <w:p w:rsidR="00DA252E" w:rsidRDefault="00DA252E" w:rsidP="00DA252E">
      <w:pPr>
        <w:spacing w:after="0" w:line="240" w:lineRule="auto"/>
        <w:rPr>
          <w:rFonts w:ascii="Verdana" w:hAnsi="Verdana"/>
          <w:b/>
          <w:color w:val="4F81BD" w:themeColor="accent1"/>
          <w:sz w:val="24"/>
          <w:szCs w:val="24"/>
        </w:rPr>
      </w:pPr>
      <w:r w:rsidRPr="00387E62">
        <w:rPr>
          <w:rFonts w:ascii="Verdana" w:hAnsi="Verdana"/>
          <w:b/>
          <w:color w:val="4F81BD" w:themeColor="accent1"/>
          <w:sz w:val="24"/>
          <w:szCs w:val="24"/>
        </w:rPr>
        <w:t>Cumplimiento Metas</w:t>
      </w:r>
    </w:p>
    <w:p w:rsidR="00DA252E" w:rsidRDefault="00DA252E" w:rsidP="00DA252E">
      <w:pPr>
        <w:spacing w:after="0" w:line="240" w:lineRule="auto"/>
        <w:rPr>
          <w:rFonts w:ascii="Verdana" w:hAnsi="Verdana"/>
          <w:b/>
          <w:color w:val="4F81BD" w:themeColor="accent1"/>
          <w:sz w:val="24"/>
          <w:szCs w:val="24"/>
        </w:rPr>
      </w:pPr>
    </w:p>
    <w:p w:rsidR="00DA252E" w:rsidRPr="00587738" w:rsidRDefault="00DA252E" w:rsidP="00DA252E">
      <w:pPr>
        <w:spacing w:after="0" w:line="240" w:lineRule="auto"/>
        <w:rPr>
          <w:rFonts w:ascii="Verdana" w:hAnsi="Verdana"/>
          <w:sz w:val="24"/>
          <w:szCs w:val="24"/>
        </w:rPr>
      </w:pPr>
      <w:r w:rsidRPr="00587738">
        <w:rPr>
          <w:rFonts w:ascii="Verdana" w:hAnsi="Verdana"/>
          <w:sz w:val="24"/>
          <w:szCs w:val="24"/>
        </w:rPr>
        <w:t xml:space="preserve">Meta 2014: 285.000 Personas Atendidas. </w:t>
      </w:r>
    </w:p>
    <w:p w:rsidR="00DA252E" w:rsidRPr="00587738" w:rsidRDefault="00DA252E" w:rsidP="00DA252E">
      <w:pPr>
        <w:spacing w:after="0" w:line="240" w:lineRule="auto"/>
        <w:jc w:val="both"/>
        <w:rPr>
          <w:rFonts w:ascii="Verdana" w:hAnsi="Verdana"/>
          <w:sz w:val="24"/>
          <w:szCs w:val="24"/>
        </w:rPr>
      </w:pPr>
      <w:r w:rsidRPr="00587738">
        <w:rPr>
          <w:rFonts w:ascii="Verdana" w:hAnsi="Verdana"/>
          <w:sz w:val="24"/>
          <w:szCs w:val="24"/>
        </w:rPr>
        <w:t>Avance Meta: 733.083 Personas Atendidas</w:t>
      </w:r>
    </w:p>
    <w:p w:rsidR="00DA252E" w:rsidRDefault="00DA252E" w:rsidP="00DA252E">
      <w:pPr>
        <w:spacing w:after="0" w:line="240" w:lineRule="auto"/>
        <w:rPr>
          <w:rFonts w:ascii="Verdana" w:hAnsi="Verdana"/>
          <w:sz w:val="24"/>
          <w:szCs w:val="24"/>
        </w:rPr>
      </w:pPr>
    </w:p>
    <w:p w:rsidR="00DA252E" w:rsidRPr="00BE2692" w:rsidRDefault="00DA252E" w:rsidP="00DA252E">
      <w:pPr>
        <w:spacing w:after="0" w:line="240" w:lineRule="auto"/>
        <w:jc w:val="both"/>
        <w:rPr>
          <w:rFonts w:ascii="Verdana" w:hAnsi="Verdana"/>
          <w:sz w:val="24"/>
          <w:szCs w:val="24"/>
        </w:rPr>
      </w:pPr>
      <w:r>
        <w:rPr>
          <w:rFonts w:ascii="Verdana" w:hAnsi="Verdana"/>
          <w:sz w:val="24"/>
          <w:szCs w:val="24"/>
        </w:rPr>
        <w:t xml:space="preserve">A continuación </w:t>
      </w:r>
      <w:r w:rsidRPr="00BE2692">
        <w:rPr>
          <w:rFonts w:ascii="Verdana" w:hAnsi="Verdana"/>
          <w:sz w:val="24"/>
          <w:szCs w:val="24"/>
        </w:rPr>
        <w:t xml:space="preserve">el cumplimiento de metas al cierre </w:t>
      </w:r>
      <w:r>
        <w:rPr>
          <w:rFonts w:ascii="Verdana" w:hAnsi="Verdana"/>
          <w:sz w:val="24"/>
          <w:szCs w:val="24"/>
        </w:rPr>
        <w:t xml:space="preserve">de </w:t>
      </w:r>
      <w:r w:rsidRPr="00BE2692">
        <w:rPr>
          <w:rFonts w:ascii="Verdana" w:hAnsi="Verdana"/>
          <w:sz w:val="24"/>
          <w:szCs w:val="24"/>
        </w:rPr>
        <w:t>2014 de acuerdo con el plan de acción</w:t>
      </w:r>
      <w:r>
        <w:rPr>
          <w:rFonts w:ascii="Verdana" w:hAnsi="Verdana"/>
          <w:sz w:val="24"/>
          <w:szCs w:val="24"/>
        </w:rPr>
        <w:t>:</w:t>
      </w:r>
      <w:r w:rsidRPr="00BE2692">
        <w:rPr>
          <w:rFonts w:ascii="Verdana" w:hAnsi="Verdana"/>
          <w:sz w:val="24"/>
          <w:szCs w:val="24"/>
        </w:rPr>
        <w:t xml:space="preserve"> </w:t>
      </w:r>
    </w:p>
    <w:p w:rsidR="00DA252E" w:rsidRPr="00BE2692" w:rsidRDefault="00DA252E" w:rsidP="00DA252E">
      <w:pPr>
        <w:spacing w:after="0" w:line="240" w:lineRule="auto"/>
        <w:jc w:val="both"/>
        <w:rPr>
          <w:rFonts w:ascii="Verdana" w:hAnsi="Verdana"/>
          <w:sz w:val="24"/>
          <w:szCs w:val="24"/>
        </w:rPr>
      </w:pPr>
    </w:p>
    <w:tbl>
      <w:tblPr>
        <w:tblW w:w="5000" w:type="pct"/>
        <w:tblCellMar>
          <w:left w:w="70" w:type="dxa"/>
          <w:right w:w="70" w:type="dxa"/>
        </w:tblCellMar>
        <w:tblLook w:val="04A0"/>
      </w:tblPr>
      <w:tblGrid>
        <w:gridCol w:w="3849"/>
        <w:gridCol w:w="2257"/>
        <w:gridCol w:w="1253"/>
        <w:gridCol w:w="1080"/>
        <w:gridCol w:w="1673"/>
      </w:tblGrid>
      <w:tr w:rsidR="00856632" w:rsidRPr="00856632" w:rsidTr="00856632">
        <w:trPr>
          <w:trHeight w:val="315"/>
        </w:trPr>
        <w:tc>
          <w:tcPr>
            <w:tcW w:w="1997" w:type="pct"/>
            <w:vMerge w:val="restart"/>
            <w:tcBorders>
              <w:top w:val="single" w:sz="8" w:space="0" w:color="FFFFFF"/>
              <w:left w:val="single" w:sz="8" w:space="0" w:color="FFFFFF"/>
              <w:bottom w:val="single" w:sz="12" w:space="0" w:color="FFFFFF"/>
              <w:right w:val="single" w:sz="8" w:space="0" w:color="FFFFFF"/>
            </w:tcBorders>
            <w:shd w:val="clear" w:color="000000" w:fill="548DD4"/>
            <w:vAlign w:val="center"/>
            <w:hideMark/>
          </w:tcPr>
          <w:p w:rsidR="00856632" w:rsidRPr="00856632" w:rsidRDefault="00856632" w:rsidP="00856632">
            <w:pPr>
              <w:spacing w:after="0" w:line="240" w:lineRule="auto"/>
              <w:jc w:val="center"/>
              <w:rPr>
                <w:rFonts w:ascii="Verdana" w:eastAsia="Times New Roman" w:hAnsi="Verdana" w:cs="Times New Roman"/>
                <w:b/>
                <w:bCs/>
                <w:color w:val="FFFFFF"/>
                <w:sz w:val="20"/>
                <w:szCs w:val="20"/>
                <w:lang w:eastAsia="es-CO"/>
              </w:rPr>
            </w:pPr>
            <w:r w:rsidRPr="00856632">
              <w:rPr>
                <w:rFonts w:ascii="Verdana" w:eastAsia="Times New Roman" w:hAnsi="Verdana" w:cs="Times New Roman"/>
                <w:b/>
                <w:bCs/>
                <w:color w:val="FFFFFF"/>
                <w:sz w:val="20"/>
                <w:szCs w:val="20"/>
                <w:lang w:eastAsia="es-CO"/>
              </w:rPr>
              <w:t>Objetivo estratégico</w:t>
            </w:r>
          </w:p>
        </w:tc>
        <w:tc>
          <w:tcPr>
            <w:tcW w:w="1210" w:type="pct"/>
            <w:vMerge w:val="restart"/>
            <w:tcBorders>
              <w:top w:val="single" w:sz="8" w:space="0" w:color="FFFFFF"/>
              <w:left w:val="single" w:sz="8" w:space="0" w:color="FFFFFF"/>
              <w:bottom w:val="single" w:sz="12" w:space="0" w:color="FFFFFF"/>
              <w:right w:val="single" w:sz="8" w:space="0" w:color="FFFFFF"/>
            </w:tcBorders>
            <w:shd w:val="clear" w:color="000000" w:fill="548DD4"/>
            <w:vAlign w:val="center"/>
            <w:hideMark/>
          </w:tcPr>
          <w:p w:rsidR="00856632" w:rsidRPr="00856632" w:rsidRDefault="00856632" w:rsidP="00856632">
            <w:pPr>
              <w:spacing w:after="0" w:line="240" w:lineRule="auto"/>
              <w:jc w:val="center"/>
              <w:rPr>
                <w:rFonts w:ascii="Verdana" w:eastAsia="Times New Roman" w:hAnsi="Verdana" w:cs="Times New Roman"/>
                <w:b/>
                <w:bCs/>
                <w:color w:val="FFFFFF"/>
                <w:sz w:val="20"/>
                <w:szCs w:val="20"/>
                <w:lang w:eastAsia="es-CO"/>
              </w:rPr>
            </w:pPr>
            <w:r w:rsidRPr="00856632">
              <w:rPr>
                <w:rFonts w:ascii="Verdana" w:eastAsia="Times New Roman" w:hAnsi="Verdana" w:cs="Times New Roman"/>
                <w:b/>
                <w:bCs/>
                <w:color w:val="FFFFFF"/>
                <w:sz w:val="20"/>
                <w:szCs w:val="20"/>
                <w:lang w:eastAsia="es-CO"/>
              </w:rPr>
              <w:t>Indicador</w:t>
            </w:r>
          </w:p>
        </w:tc>
        <w:tc>
          <w:tcPr>
            <w:tcW w:w="1066" w:type="pct"/>
            <w:gridSpan w:val="2"/>
            <w:tcBorders>
              <w:top w:val="single" w:sz="8" w:space="0" w:color="FFFFFF"/>
              <w:left w:val="single" w:sz="8" w:space="0" w:color="FFFFFF"/>
              <w:bottom w:val="single" w:sz="8" w:space="0" w:color="FFFFFF"/>
              <w:right w:val="single" w:sz="4" w:space="0" w:color="FFFFFF"/>
            </w:tcBorders>
            <w:shd w:val="clear" w:color="000000" w:fill="548DD4"/>
            <w:vAlign w:val="bottom"/>
            <w:hideMark/>
          </w:tcPr>
          <w:p w:rsidR="00856632" w:rsidRPr="00856632" w:rsidRDefault="00856632" w:rsidP="00856632">
            <w:pPr>
              <w:spacing w:after="0" w:line="240" w:lineRule="auto"/>
              <w:jc w:val="center"/>
              <w:rPr>
                <w:rFonts w:ascii="Verdana" w:eastAsia="Times New Roman" w:hAnsi="Verdana" w:cs="Times New Roman"/>
                <w:b/>
                <w:bCs/>
                <w:color w:val="FFFFFF"/>
                <w:sz w:val="20"/>
                <w:szCs w:val="20"/>
                <w:lang w:eastAsia="es-CO"/>
              </w:rPr>
            </w:pPr>
            <w:r w:rsidRPr="00856632">
              <w:rPr>
                <w:rFonts w:ascii="Verdana" w:eastAsia="Times New Roman" w:hAnsi="Verdana" w:cs="Times New Roman"/>
                <w:b/>
                <w:bCs/>
                <w:color w:val="FFFFFF"/>
                <w:sz w:val="20"/>
                <w:szCs w:val="20"/>
                <w:lang w:eastAsia="es-CO"/>
              </w:rPr>
              <w:t>Meta</w:t>
            </w:r>
          </w:p>
        </w:tc>
        <w:tc>
          <w:tcPr>
            <w:tcW w:w="728" w:type="pct"/>
            <w:vMerge w:val="restart"/>
            <w:tcBorders>
              <w:top w:val="single" w:sz="8" w:space="0" w:color="FFFFFF"/>
              <w:left w:val="single" w:sz="8" w:space="0" w:color="FFFFFF"/>
              <w:bottom w:val="single" w:sz="12" w:space="0" w:color="FFFFFF"/>
              <w:right w:val="single" w:sz="8" w:space="0" w:color="FFFFFF"/>
            </w:tcBorders>
            <w:shd w:val="clear" w:color="000000" w:fill="548DD4"/>
            <w:vAlign w:val="bottom"/>
            <w:hideMark/>
          </w:tcPr>
          <w:p w:rsidR="00856632" w:rsidRPr="00856632" w:rsidRDefault="00856632" w:rsidP="00856632">
            <w:pPr>
              <w:spacing w:after="0" w:line="240" w:lineRule="auto"/>
              <w:jc w:val="center"/>
              <w:rPr>
                <w:rFonts w:ascii="Verdana" w:eastAsia="Times New Roman" w:hAnsi="Verdana" w:cs="Times New Roman"/>
                <w:b/>
                <w:bCs/>
                <w:color w:val="FFFFFF"/>
                <w:sz w:val="20"/>
                <w:szCs w:val="20"/>
                <w:lang w:eastAsia="es-CO"/>
              </w:rPr>
            </w:pPr>
            <w:r w:rsidRPr="00856632">
              <w:rPr>
                <w:rFonts w:ascii="Verdana" w:eastAsia="Times New Roman" w:hAnsi="Verdana" w:cs="Times New Roman"/>
                <w:b/>
                <w:bCs/>
                <w:color w:val="FFFFFF"/>
                <w:sz w:val="20"/>
                <w:szCs w:val="20"/>
                <w:lang w:eastAsia="es-CO"/>
              </w:rPr>
              <w:t>Porcentaje de cumplimiento (%)</w:t>
            </w:r>
          </w:p>
        </w:tc>
      </w:tr>
      <w:tr w:rsidR="00856632" w:rsidRPr="00856632" w:rsidTr="00856632">
        <w:trPr>
          <w:trHeight w:val="630"/>
        </w:trPr>
        <w:tc>
          <w:tcPr>
            <w:tcW w:w="1997" w:type="pct"/>
            <w:vMerge/>
            <w:tcBorders>
              <w:top w:val="single" w:sz="8" w:space="0" w:color="FFFFFF"/>
              <w:left w:val="single" w:sz="8" w:space="0" w:color="FFFFFF"/>
              <w:bottom w:val="single" w:sz="12" w:space="0" w:color="FFFFFF"/>
              <w:right w:val="single" w:sz="8" w:space="0" w:color="FFFFFF"/>
            </w:tcBorders>
            <w:vAlign w:val="center"/>
            <w:hideMark/>
          </w:tcPr>
          <w:p w:rsidR="00856632" w:rsidRPr="00856632" w:rsidRDefault="00856632" w:rsidP="00856632">
            <w:pPr>
              <w:spacing w:after="0" w:line="240" w:lineRule="auto"/>
              <w:rPr>
                <w:rFonts w:ascii="Verdana" w:eastAsia="Times New Roman" w:hAnsi="Verdana" w:cs="Times New Roman"/>
                <w:b/>
                <w:bCs/>
                <w:color w:val="FFFFFF"/>
                <w:sz w:val="20"/>
                <w:szCs w:val="20"/>
                <w:lang w:eastAsia="es-CO"/>
              </w:rPr>
            </w:pPr>
          </w:p>
        </w:tc>
        <w:tc>
          <w:tcPr>
            <w:tcW w:w="1210" w:type="pct"/>
            <w:vMerge/>
            <w:tcBorders>
              <w:top w:val="single" w:sz="8" w:space="0" w:color="FFFFFF"/>
              <w:left w:val="single" w:sz="8" w:space="0" w:color="FFFFFF"/>
              <w:bottom w:val="single" w:sz="12" w:space="0" w:color="FFFFFF"/>
              <w:right w:val="single" w:sz="8" w:space="0" w:color="FFFFFF"/>
            </w:tcBorders>
            <w:vAlign w:val="center"/>
            <w:hideMark/>
          </w:tcPr>
          <w:p w:rsidR="00856632" w:rsidRPr="00856632" w:rsidRDefault="00856632" w:rsidP="00856632">
            <w:pPr>
              <w:spacing w:after="0" w:line="240" w:lineRule="auto"/>
              <w:rPr>
                <w:rFonts w:ascii="Verdana" w:eastAsia="Times New Roman" w:hAnsi="Verdana" w:cs="Times New Roman"/>
                <w:b/>
                <w:bCs/>
                <w:color w:val="FFFFFF"/>
                <w:sz w:val="20"/>
                <w:szCs w:val="20"/>
                <w:lang w:eastAsia="es-CO"/>
              </w:rPr>
            </w:pPr>
          </w:p>
        </w:tc>
        <w:tc>
          <w:tcPr>
            <w:tcW w:w="533" w:type="pct"/>
            <w:tcBorders>
              <w:top w:val="nil"/>
              <w:left w:val="nil"/>
              <w:bottom w:val="single" w:sz="8" w:space="0" w:color="FFFFFF"/>
              <w:right w:val="single" w:sz="8" w:space="0" w:color="FFFFFF"/>
            </w:tcBorders>
            <w:shd w:val="clear" w:color="000000" w:fill="548DD4"/>
            <w:vAlign w:val="center"/>
            <w:hideMark/>
          </w:tcPr>
          <w:p w:rsidR="00856632" w:rsidRPr="00856632" w:rsidRDefault="00856632" w:rsidP="00856632">
            <w:pPr>
              <w:spacing w:after="0" w:line="240" w:lineRule="auto"/>
              <w:jc w:val="center"/>
              <w:rPr>
                <w:rFonts w:ascii="Verdana" w:eastAsia="Times New Roman" w:hAnsi="Verdana" w:cs="Times New Roman"/>
                <w:color w:val="FFFFFF"/>
                <w:sz w:val="20"/>
                <w:szCs w:val="20"/>
                <w:lang w:eastAsia="es-CO"/>
              </w:rPr>
            </w:pPr>
            <w:r w:rsidRPr="00856632">
              <w:rPr>
                <w:rFonts w:ascii="Verdana" w:eastAsia="Times New Roman" w:hAnsi="Verdana" w:cs="Times New Roman"/>
                <w:color w:val="FFFFFF"/>
                <w:sz w:val="20"/>
                <w:szCs w:val="20"/>
                <w:lang w:eastAsia="es-CO"/>
              </w:rPr>
              <w:t>Proyectada</w:t>
            </w:r>
          </w:p>
        </w:tc>
        <w:tc>
          <w:tcPr>
            <w:tcW w:w="533" w:type="pct"/>
            <w:tcBorders>
              <w:top w:val="nil"/>
              <w:left w:val="nil"/>
              <w:bottom w:val="single" w:sz="8" w:space="0" w:color="FFFFFF"/>
              <w:right w:val="single" w:sz="8" w:space="0" w:color="FFFFFF"/>
            </w:tcBorders>
            <w:shd w:val="clear" w:color="000000" w:fill="548DD4"/>
            <w:vAlign w:val="center"/>
            <w:hideMark/>
          </w:tcPr>
          <w:p w:rsidR="00856632" w:rsidRPr="00856632" w:rsidRDefault="00856632" w:rsidP="00856632">
            <w:pPr>
              <w:spacing w:after="0" w:line="240" w:lineRule="auto"/>
              <w:jc w:val="center"/>
              <w:rPr>
                <w:rFonts w:ascii="Verdana" w:eastAsia="Times New Roman" w:hAnsi="Verdana" w:cs="Times New Roman"/>
                <w:color w:val="FFFFFF"/>
                <w:sz w:val="20"/>
                <w:szCs w:val="20"/>
                <w:lang w:eastAsia="es-CO"/>
              </w:rPr>
            </w:pPr>
            <w:r w:rsidRPr="00856632">
              <w:rPr>
                <w:rFonts w:ascii="Verdana" w:eastAsia="Times New Roman" w:hAnsi="Verdana" w:cs="Times New Roman"/>
                <w:color w:val="FFFFFF"/>
                <w:sz w:val="20"/>
                <w:szCs w:val="20"/>
                <w:lang w:eastAsia="es-CO"/>
              </w:rPr>
              <w:t>Cumplida</w:t>
            </w:r>
          </w:p>
        </w:tc>
        <w:tc>
          <w:tcPr>
            <w:tcW w:w="728" w:type="pct"/>
            <w:vMerge/>
            <w:tcBorders>
              <w:top w:val="single" w:sz="8" w:space="0" w:color="FFFFFF"/>
              <w:left w:val="single" w:sz="8" w:space="0" w:color="FFFFFF"/>
              <w:bottom w:val="single" w:sz="12" w:space="0" w:color="FFFFFF"/>
              <w:right w:val="single" w:sz="8" w:space="0" w:color="FFFFFF"/>
            </w:tcBorders>
            <w:vAlign w:val="center"/>
            <w:hideMark/>
          </w:tcPr>
          <w:p w:rsidR="00856632" w:rsidRPr="00856632" w:rsidRDefault="00856632" w:rsidP="00856632">
            <w:pPr>
              <w:spacing w:after="0" w:line="240" w:lineRule="auto"/>
              <w:rPr>
                <w:rFonts w:ascii="Verdana" w:eastAsia="Times New Roman" w:hAnsi="Verdana" w:cs="Times New Roman"/>
                <w:b/>
                <w:bCs/>
                <w:color w:val="FFFFFF"/>
                <w:sz w:val="20"/>
                <w:szCs w:val="20"/>
                <w:lang w:eastAsia="es-CO"/>
              </w:rPr>
            </w:pPr>
          </w:p>
        </w:tc>
      </w:tr>
      <w:tr w:rsidR="00856632" w:rsidRPr="00856632" w:rsidTr="00856632">
        <w:trPr>
          <w:trHeight w:val="1035"/>
        </w:trPr>
        <w:tc>
          <w:tcPr>
            <w:tcW w:w="1997" w:type="pct"/>
            <w:tcBorders>
              <w:top w:val="nil"/>
              <w:left w:val="single" w:sz="8" w:space="0" w:color="FFFFFF"/>
              <w:bottom w:val="single" w:sz="8" w:space="0" w:color="FFFFFF"/>
              <w:right w:val="single" w:sz="8" w:space="0" w:color="FFFFFF"/>
            </w:tcBorders>
            <w:shd w:val="clear" w:color="DBE5F1" w:fill="DBE5F1"/>
            <w:hideMark/>
          </w:tcPr>
          <w:p w:rsidR="00856632" w:rsidRPr="00856632" w:rsidRDefault="00856632" w:rsidP="00856632">
            <w:pPr>
              <w:spacing w:after="0" w:line="240" w:lineRule="auto"/>
              <w:rPr>
                <w:rFonts w:ascii="Verdana" w:eastAsia="Times New Roman" w:hAnsi="Verdana" w:cs="Times New Roman"/>
                <w:color w:val="000000"/>
                <w:sz w:val="20"/>
                <w:szCs w:val="20"/>
                <w:lang w:eastAsia="es-CO"/>
              </w:rPr>
            </w:pPr>
            <w:r w:rsidRPr="00856632">
              <w:rPr>
                <w:rFonts w:ascii="Verdana" w:eastAsia="Times New Roman" w:hAnsi="Verdana" w:cs="Times New Roman"/>
                <w:color w:val="000000"/>
                <w:sz w:val="20"/>
                <w:szCs w:val="24"/>
                <w:lang w:eastAsia="es-CO"/>
              </w:rPr>
              <w:t>Coordinar y ejecutar acciones para generación de capacidades, oportunidades y acceso a activos de la población pobre y pobre extrema</w:t>
            </w:r>
          </w:p>
        </w:tc>
        <w:tc>
          <w:tcPr>
            <w:tcW w:w="1210" w:type="pct"/>
            <w:tcBorders>
              <w:top w:val="nil"/>
              <w:left w:val="nil"/>
              <w:bottom w:val="single" w:sz="8" w:space="0" w:color="FFFFFF"/>
              <w:right w:val="single" w:sz="8" w:space="0" w:color="FFFFFF"/>
            </w:tcBorders>
            <w:shd w:val="clear" w:color="DBE5F1" w:fill="DBE5F1"/>
            <w:hideMark/>
          </w:tcPr>
          <w:p w:rsidR="00856632" w:rsidRPr="00856632" w:rsidRDefault="00856632" w:rsidP="00856632">
            <w:pPr>
              <w:spacing w:after="0" w:line="240" w:lineRule="auto"/>
              <w:rPr>
                <w:rFonts w:ascii="Verdana" w:eastAsia="Times New Roman" w:hAnsi="Verdana" w:cs="Times New Roman"/>
                <w:color w:val="000000"/>
                <w:sz w:val="20"/>
                <w:szCs w:val="20"/>
                <w:lang w:eastAsia="es-CO"/>
              </w:rPr>
            </w:pPr>
            <w:r w:rsidRPr="00856632">
              <w:rPr>
                <w:rFonts w:ascii="Verdana" w:eastAsia="Times New Roman" w:hAnsi="Verdana" w:cs="Times New Roman"/>
                <w:color w:val="000000"/>
                <w:sz w:val="20"/>
                <w:szCs w:val="24"/>
                <w:lang w:eastAsia="es-CO"/>
              </w:rPr>
              <w:t>Personas atendidas con la OPSR (ANSPE)</w:t>
            </w:r>
          </w:p>
        </w:tc>
        <w:tc>
          <w:tcPr>
            <w:tcW w:w="533" w:type="pct"/>
            <w:tcBorders>
              <w:top w:val="nil"/>
              <w:left w:val="nil"/>
              <w:bottom w:val="single" w:sz="8" w:space="0" w:color="FFFFFF"/>
              <w:right w:val="single" w:sz="8" w:space="0" w:color="FFFFFF"/>
            </w:tcBorders>
            <w:shd w:val="clear" w:color="DBE5F1" w:fill="DBE5F1"/>
            <w:hideMark/>
          </w:tcPr>
          <w:p w:rsidR="00856632" w:rsidRPr="00856632" w:rsidRDefault="00856632" w:rsidP="00856632">
            <w:pPr>
              <w:spacing w:after="0" w:line="240" w:lineRule="auto"/>
              <w:jc w:val="right"/>
              <w:rPr>
                <w:rFonts w:ascii="Verdana" w:eastAsia="Times New Roman" w:hAnsi="Verdana" w:cs="Times New Roman"/>
                <w:color w:val="000000"/>
                <w:sz w:val="20"/>
                <w:szCs w:val="20"/>
                <w:lang w:eastAsia="es-CO"/>
              </w:rPr>
            </w:pPr>
            <w:r w:rsidRPr="00856632">
              <w:rPr>
                <w:rFonts w:ascii="Verdana" w:eastAsia="Times New Roman" w:hAnsi="Verdana" w:cs="Times New Roman"/>
                <w:color w:val="000000"/>
                <w:sz w:val="20"/>
                <w:lang w:eastAsia="es-CO"/>
              </w:rPr>
              <w:t>21.000</w:t>
            </w:r>
          </w:p>
        </w:tc>
        <w:tc>
          <w:tcPr>
            <w:tcW w:w="533" w:type="pct"/>
            <w:tcBorders>
              <w:top w:val="nil"/>
              <w:left w:val="nil"/>
              <w:bottom w:val="single" w:sz="8" w:space="0" w:color="FFFFFF"/>
              <w:right w:val="single" w:sz="8" w:space="0" w:color="FFFFFF"/>
            </w:tcBorders>
            <w:shd w:val="clear" w:color="DBE5F1" w:fill="DBE5F1"/>
            <w:hideMark/>
          </w:tcPr>
          <w:p w:rsidR="00856632" w:rsidRPr="00856632" w:rsidRDefault="00856632" w:rsidP="00856632">
            <w:pPr>
              <w:spacing w:after="0" w:line="240" w:lineRule="auto"/>
              <w:jc w:val="right"/>
              <w:rPr>
                <w:rFonts w:ascii="Verdana" w:eastAsia="Times New Roman" w:hAnsi="Verdana" w:cs="Times New Roman"/>
                <w:color w:val="000000"/>
                <w:sz w:val="20"/>
                <w:szCs w:val="20"/>
                <w:lang w:eastAsia="es-CO"/>
              </w:rPr>
            </w:pPr>
            <w:r w:rsidRPr="00856632">
              <w:rPr>
                <w:rFonts w:ascii="Verdana" w:eastAsia="Times New Roman" w:hAnsi="Verdana" w:cs="Times New Roman"/>
                <w:color w:val="000000"/>
                <w:sz w:val="20"/>
                <w:lang w:eastAsia="es-CO"/>
              </w:rPr>
              <w:t>95.290</w:t>
            </w:r>
          </w:p>
        </w:tc>
        <w:tc>
          <w:tcPr>
            <w:tcW w:w="728" w:type="pct"/>
            <w:tcBorders>
              <w:top w:val="nil"/>
              <w:left w:val="nil"/>
              <w:bottom w:val="single" w:sz="8" w:space="0" w:color="FFFFFF"/>
              <w:right w:val="single" w:sz="8" w:space="0" w:color="FFFFFF"/>
            </w:tcBorders>
            <w:shd w:val="clear" w:color="DBE5F1" w:fill="DBE5F1"/>
            <w:hideMark/>
          </w:tcPr>
          <w:p w:rsidR="00856632" w:rsidRPr="00856632" w:rsidRDefault="00856632" w:rsidP="00856632">
            <w:pPr>
              <w:spacing w:after="0" w:line="240" w:lineRule="auto"/>
              <w:jc w:val="right"/>
              <w:rPr>
                <w:rFonts w:ascii="Verdana" w:eastAsia="Times New Roman" w:hAnsi="Verdana" w:cs="Times New Roman"/>
                <w:color w:val="000000"/>
                <w:sz w:val="20"/>
                <w:szCs w:val="20"/>
                <w:lang w:eastAsia="es-CO"/>
              </w:rPr>
            </w:pPr>
            <w:r w:rsidRPr="00856632">
              <w:rPr>
                <w:rFonts w:ascii="Verdana" w:eastAsia="Times New Roman" w:hAnsi="Verdana" w:cs="Times New Roman"/>
                <w:color w:val="000000"/>
                <w:sz w:val="20"/>
                <w:lang w:eastAsia="es-CO"/>
              </w:rPr>
              <w:t>454</w:t>
            </w:r>
          </w:p>
        </w:tc>
      </w:tr>
      <w:tr w:rsidR="00856632" w:rsidRPr="00856632" w:rsidTr="00856632">
        <w:trPr>
          <w:trHeight w:val="1035"/>
        </w:trPr>
        <w:tc>
          <w:tcPr>
            <w:tcW w:w="1997" w:type="pct"/>
            <w:tcBorders>
              <w:top w:val="nil"/>
              <w:left w:val="single" w:sz="8" w:space="0" w:color="FFFFFF"/>
              <w:bottom w:val="single" w:sz="8" w:space="0" w:color="FFFFFF"/>
              <w:right w:val="single" w:sz="8" w:space="0" w:color="FFFFFF"/>
            </w:tcBorders>
            <w:shd w:val="clear" w:color="B8CCE4" w:fill="B8CCE4"/>
            <w:hideMark/>
          </w:tcPr>
          <w:p w:rsidR="00856632" w:rsidRPr="00856632" w:rsidRDefault="00856632" w:rsidP="00856632">
            <w:pPr>
              <w:spacing w:after="0" w:line="240" w:lineRule="auto"/>
              <w:rPr>
                <w:rFonts w:ascii="Verdana" w:eastAsia="Times New Roman" w:hAnsi="Verdana" w:cs="Times New Roman"/>
                <w:color w:val="000000"/>
                <w:sz w:val="20"/>
                <w:szCs w:val="20"/>
                <w:lang w:eastAsia="es-CO"/>
              </w:rPr>
            </w:pPr>
            <w:r w:rsidRPr="00856632">
              <w:rPr>
                <w:rFonts w:ascii="Verdana" w:eastAsia="Times New Roman" w:hAnsi="Verdana" w:cs="Times New Roman"/>
                <w:color w:val="000000"/>
                <w:sz w:val="20"/>
                <w:szCs w:val="24"/>
                <w:lang w:eastAsia="es-CO"/>
              </w:rPr>
              <w:t>Coordinar y ejecutar acciones para generación de capacidades, oportunidades y acceso a activos de la población pobre y pobre extrema</w:t>
            </w:r>
          </w:p>
        </w:tc>
        <w:tc>
          <w:tcPr>
            <w:tcW w:w="1210" w:type="pct"/>
            <w:tcBorders>
              <w:top w:val="nil"/>
              <w:left w:val="nil"/>
              <w:bottom w:val="single" w:sz="8" w:space="0" w:color="FFFFFF"/>
              <w:right w:val="single" w:sz="8" w:space="0" w:color="FFFFFF"/>
            </w:tcBorders>
            <w:shd w:val="clear" w:color="B8CCE4" w:fill="B8CCE4"/>
            <w:hideMark/>
          </w:tcPr>
          <w:p w:rsidR="00856632" w:rsidRPr="00856632" w:rsidRDefault="00856632" w:rsidP="00856632">
            <w:pPr>
              <w:spacing w:after="0" w:line="240" w:lineRule="auto"/>
              <w:rPr>
                <w:rFonts w:ascii="Verdana" w:eastAsia="Times New Roman" w:hAnsi="Verdana" w:cs="Times New Roman"/>
                <w:color w:val="000000"/>
                <w:sz w:val="20"/>
                <w:szCs w:val="20"/>
                <w:lang w:eastAsia="es-CO"/>
              </w:rPr>
            </w:pPr>
            <w:r w:rsidRPr="00856632">
              <w:rPr>
                <w:rFonts w:ascii="Verdana" w:eastAsia="Times New Roman" w:hAnsi="Verdana" w:cs="Times New Roman"/>
                <w:color w:val="000000"/>
                <w:sz w:val="20"/>
                <w:szCs w:val="24"/>
                <w:lang w:eastAsia="es-CO"/>
              </w:rPr>
              <w:t>Personas vulnerables atendidas con la OPSR (población Vulnerable)</w:t>
            </w:r>
          </w:p>
        </w:tc>
        <w:tc>
          <w:tcPr>
            <w:tcW w:w="533" w:type="pct"/>
            <w:tcBorders>
              <w:top w:val="nil"/>
              <w:left w:val="nil"/>
              <w:bottom w:val="single" w:sz="8" w:space="0" w:color="FFFFFF"/>
              <w:right w:val="single" w:sz="8" w:space="0" w:color="FFFFFF"/>
            </w:tcBorders>
            <w:shd w:val="clear" w:color="B8CCE4" w:fill="B8CCE4"/>
            <w:hideMark/>
          </w:tcPr>
          <w:p w:rsidR="00856632" w:rsidRPr="00856632" w:rsidRDefault="00856632" w:rsidP="00856632">
            <w:pPr>
              <w:spacing w:after="0" w:line="240" w:lineRule="auto"/>
              <w:jc w:val="right"/>
              <w:rPr>
                <w:rFonts w:ascii="Verdana" w:eastAsia="Times New Roman" w:hAnsi="Verdana" w:cs="Times New Roman"/>
                <w:color w:val="000000"/>
                <w:sz w:val="20"/>
                <w:szCs w:val="20"/>
                <w:lang w:eastAsia="es-CO"/>
              </w:rPr>
            </w:pPr>
            <w:r w:rsidRPr="00856632">
              <w:rPr>
                <w:rFonts w:ascii="Verdana" w:eastAsia="Times New Roman" w:hAnsi="Verdana" w:cs="Times New Roman"/>
                <w:color w:val="000000"/>
                <w:sz w:val="20"/>
                <w:lang w:eastAsia="es-CO"/>
              </w:rPr>
              <w:t>112.350</w:t>
            </w:r>
          </w:p>
        </w:tc>
        <w:tc>
          <w:tcPr>
            <w:tcW w:w="533" w:type="pct"/>
            <w:tcBorders>
              <w:top w:val="nil"/>
              <w:left w:val="nil"/>
              <w:bottom w:val="single" w:sz="8" w:space="0" w:color="FFFFFF"/>
              <w:right w:val="single" w:sz="8" w:space="0" w:color="FFFFFF"/>
            </w:tcBorders>
            <w:shd w:val="clear" w:color="B8CCE4" w:fill="B8CCE4"/>
            <w:hideMark/>
          </w:tcPr>
          <w:p w:rsidR="00856632" w:rsidRPr="00856632" w:rsidRDefault="00856632" w:rsidP="00856632">
            <w:pPr>
              <w:spacing w:after="0" w:line="240" w:lineRule="auto"/>
              <w:jc w:val="right"/>
              <w:rPr>
                <w:rFonts w:ascii="Verdana" w:eastAsia="Times New Roman" w:hAnsi="Verdana" w:cs="Times New Roman"/>
                <w:color w:val="000000"/>
                <w:sz w:val="20"/>
                <w:szCs w:val="20"/>
                <w:lang w:eastAsia="es-CO"/>
              </w:rPr>
            </w:pPr>
            <w:r w:rsidRPr="00856632">
              <w:rPr>
                <w:rFonts w:ascii="Verdana" w:eastAsia="Times New Roman" w:hAnsi="Verdana" w:cs="Times New Roman"/>
                <w:color w:val="000000"/>
                <w:sz w:val="20"/>
                <w:lang w:eastAsia="es-CO"/>
              </w:rPr>
              <w:t>414.304</w:t>
            </w:r>
          </w:p>
        </w:tc>
        <w:tc>
          <w:tcPr>
            <w:tcW w:w="728" w:type="pct"/>
            <w:tcBorders>
              <w:top w:val="nil"/>
              <w:left w:val="nil"/>
              <w:bottom w:val="single" w:sz="8" w:space="0" w:color="FFFFFF"/>
              <w:right w:val="single" w:sz="8" w:space="0" w:color="FFFFFF"/>
            </w:tcBorders>
            <w:shd w:val="clear" w:color="B8CCE4" w:fill="B8CCE4"/>
            <w:hideMark/>
          </w:tcPr>
          <w:p w:rsidR="00856632" w:rsidRPr="00856632" w:rsidRDefault="00856632" w:rsidP="00856632">
            <w:pPr>
              <w:spacing w:after="0" w:line="240" w:lineRule="auto"/>
              <w:jc w:val="right"/>
              <w:rPr>
                <w:rFonts w:ascii="Verdana" w:eastAsia="Times New Roman" w:hAnsi="Verdana" w:cs="Times New Roman"/>
                <w:color w:val="000000"/>
                <w:sz w:val="20"/>
                <w:szCs w:val="20"/>
                <w:lang w:eastAsia="es-CO"/>
              </w:rPr>
            </w:pPr>
            <w:r w:rsidRPr="00856632">
              <w:rPr>
                <w:rFonts w:ascii="Verdana" w:eastAsia="Times New Roman" w:hAnsi="Verdana" w:cs="Times New Roman"/>
                <w:color w:val="000000"/>
                <w:sz w:val="20"/>
                <w:lang w:eastAsia="es-CO"/>
              </w:rPr>
              <w:t>369</w:t>
            </w:r>
          </w:p>
        </w:tc>
      </w:tr>
      <w:tr w:rsidR="00856632" w:rsidRPr="00856632" w:rsidTr="00856632">
        <w:trPr>
          <w:trHeight w:val="1035"/>
        </w:trPr>
        <w:tc>
          <w:tcPr>
            <w:tcW w:w="1997" w:type="pct"/>
            <w:tcBorders>
              <w:top w:val="nil"/>
              <w:left w:val="single" w:sz="8" w:space="0" w:color="FFFFFF"/>
              <w:bottom w:val="single" w:sz="8" w:space="0" w:color="FFFFFF"/>
              <w:right w:val="single" w:sz="8" w:space="0" w:color="FFFFFF"/>
            </w:tcBorders>
            <w:shd w:val="clear" w:color="DBE5F1" w:fill="DBE5F1"/>
            <w:hideMark/>
          </w:tcPr>
          <w:p w:rsidR="00856632" w:rsidRPr="00856632" w:rsidRDefault="00856632" w:rsidP="00856632">
            <w:pPr>
              <w:spacing w:after="0" w:line="240" w:lineRule="auto"/>
              <w:rPr>
                <w:rFonts w:ascii="Verdana" w:eastAsia="Times New Roman" w:hAnsi="Verdana" w:cs="Times New Roman"/>
                <w:color w:val="000000"/>
                <w:sz w:val="20"/>
                <w:szCs w:val="20"/>
                <w:lang w:eastAsia="es-CO"/>
              </w:rPr>
            </w:pPr>
            <w:r w:rsidRPr="00856632">
              <w:rPr>
                <w:rFonts w:ascii="Verdana" w:eastAsia="Times New Roman" w:hAnsi="Verdana" w:cs="Times New Roman"/>
                <w:color w:val="000000"/>
                <w:sz w:val="20"/>
                <w:szCs w:val="24"/>
                <w:lang w:eastAsia="es-CO"/>
              </w:rPr>
              <w:lastRenderedPageBreak/>
              <w:t>Coordinar y ejecutar acciones para la atención y reparación integral de las víctimas de la violencia y la reconciliación de los colombianos</w:t>
            </w:r>
          </w:p>
        </w:tc>
        <w:tc>
          <w:tcPr>
            <w:tcW w:w="1210" w:type="pct"/>
            <w:tcBorders>
              <w:top w:val="nil"/>
              <w:left w:val="nil"/>
              <w:bottom w:val="single" w:sz="8" w:space="0" w:color="FFFFFF"/>
              <w:right w:val="single" w:sz="8" w:space="0" w:color="FFFFFF"/>
            </w:tcBorders>
            <w:shd w:val="clear" w:color="DBE5F1" w:fill="DBE5F1"/>
            <w:hideMark/>
          </w:tcPr>
          <w:p w:rsidR="00856632" w:rsidRPr="00856632" w:rsidRDefault="00856632" w:rsidP="00856632">
            <w:pPr>
              <w:spacing w:after="0" w:line="240" w:lineRule="auto"/>
              <w:rPr>
                <w:rFonts w:ascii="Verdana" w:eastAsia="Times New Roman" w:hAnsi="Verdana" w:cs="Times New Roman"/>
                <w:color w:val="000000"/>
                <w:sz w:val="20"/>
                <w:szCs w:val="20"/>
                <w:lang w:eastAsia="es-CO"/>
              </w:rPr>
            </w:pPr>
            <w:r w:rsidRPr="00856632">
              <w:rPr>
                <w:rFonts w:ascii="Verdana" w:eastAsia="Times New Roman" w:hAnsi="Verdana" w:cs="Times New Roman"/>
                <w:color w:val="000000"/>
                <w:sz w:val="20"/>
                <w:lang w:eastAsia="es-CO"/>
              </w:rPr>
              <w:t>Personas atendidas con la OPSR (UARIV)</w:t>
            </w:r>
          </w:p>
        </w:tc>
        <w:tc>
          <w:tcPr>
            <w:tcW w:w="533" w:type="pct"/>
            <w:tcBorders>
              <w:top w:val="nil"/>
              <w:left w:val="nil"/>
              <w:bottom w:val="single" w:sz="8" w:space="0" w:color="FFFFFF"/>
              <w:right w:val="single" w:sz="8" w:space="0" w:color="FFFFFF"/>
            </w:tcBorders>
            <w:shd w:val="clear" w:color="DBE5F1" w:fill="DBE5F1"/>
            <w:hideMark/>
          </w:tcPr>
          <w:p w:rsidR="00856632" w:rsidRPr="00856632" w:rsidRDefault="00856632" w:rsidP="00856632">
            <w:pPr>
              <w:spacing w:after="0" w:line="240" w:lineRule="auto"/>
              <w:jc w:val="right"/>
              <w:rPr>
                <w:rFonts w:ascii="Verdana" w:eastAsia="Times New Roman" w:hAnsi="Verdana" w:cs="Times New Roman"/>
                <w:color w:val="000000"/>
                <w:sz w:val="20"/>
                <w:szCs w:val="20"/>
                <w:lang w:eastAsia="es-CO"/>
              </w:rPr>
            </w:pPr>
            <w:r w:rsidRPr="00856632">
              <w:rPr>
                <w:rFonts w:ascii="Verdana" w:eastAsia="Times New Roman" w:hAnsi="Verdana" w:cs="Times New Roman"/>
                <w:color w:val="000000"/>
                <w:sz w:val="20"/>
                <w:lang w:eastAsia="es-CO"/>
              </w:rPr>
              <w:t>139.650</w:t>
            </w:r>
          </w:p>
        </w:tc>
        <w:tc>
          <w:tcPr>
            <w:tcW w:w="533" w:type="pct"/>
            <w:tcBorders>
              <w:top w:val="nil"/>
              <w:left w:val="nil"/>
              <w:bottom w:val="single" w:sz="8" w:space="0" w:color="FFFFFF"/>
              <w:right w:val="single" w:sz="8" w:space="0" w:color="FFFFFF"/>
            </w:tcBorders>
            <w:shd w:val="clear" w:color="DBE5F1" w:fill="DBE5F1"/>
            <w:hideMark/>
          </w:tcPr>
          <w:p w:rsidR="00856632" w:rsidRPr="00856632" w:rsidRDefault="00856632" w:rsidP="00856632">
            <w:pPr>
              <w:spacing w:after="0" w:line="240" w:lineRule="auto"/>
              <w:jc w:val="right"/>
              <w:rPr>
                <w:rFonts w:ascii="Verdana" w:eastAsia="Times New Roman" w:hAnsi="Verdana" w:cs="Times New Roman"/>
                <w:color w:val="000000"/>
                <w:sz w:val="20"/>
                <w:szCs w:val="20"/>
                <w:lang w:eastAsia="es-CO"/>
              </w:rPr>
            </w:pPr>
            <w:r w:rsidRPr="00856632">
              <w:rPr>
                <w:rFonts w:ascii="Verdana" w:eastAsia="Times New Roman" w:hAnsi="Verdana" w:cs="Times New Roman"/>
                <w:color w:val="000000"/>
                <w:sz w:val="20"/>
                <w:lang w:eastAsia="es-CO"/>
              </w:rPr>
              <w:t>113.105</w:t>
            </w:r>
          </w:p>
        </w:tc>
        <w:tc>
          <w:tcPr>
            <w:tcW w:w="728" w:type="pct"/>
            <w:tcBorders>
              <w:top w:val="nil"/>
              <w:left w:val="nil"/>
              <w:bottom w:val="single" w:sz="8" w:space="0" w:color="FFFFFF"/>
              <w:right w:val="single" w:sz="8" w:space="0" w:color="FFFFFF"/>
            </w:tcBorders>
            <w:shd w:val="clear" w:color="DBE5F1" w:fill="DBE5F1"/>
            <w:hideMark/>
          </w:tcPr>
          <w:p w:rsidR="00856632" w:rsidRPr="00856632" w:rsidRDefault="00856632" w:rsidP="00856632">
            <w:pPr>
              <w:spacing w:after="0" w:line="240" w:lineRule="auto"/>
              <w:jc w:val="right"/>
              <w:rPr>
                <w:rFonts w:ascii="Verdana" w:eastAsia="Times New Roman" w:hAnsi="Verdana" w:cs="Times New Roman"/>
                <w:color w:val="000000"/>
                <w:sz w:val="20"/>
                <w:szCs w:val="20"/>
                <w:lang w:eastAsia="es-CO"/>
              </w:rPr>
            </w:pPr>
            <w:r w:rsidRPr="00856632">
              <w:rPr>
                <w:rFonts w:ascii="Verdana" w:eastAsia="Times New Roman" w:hAnsi="Verdana" w:cs="Times New Roman"/>
                <w:color w:val="000000"/>
                <w:sz w:val="20"/>
                <w:lang w:eastAsia="es-CO"/>
              </w:rPr>
              <w:t>81</w:t>
            </w:r>
          </w:p>
        </w:tc>
      </w:tr>
      <w:tr w:rsidR="00856632" w:rsidRPr="00856632" w:rsidTr="00856632">
        <w:trPr>
          <w:trHeight w:val="525"/>
        </w:trPr>
        <w:tc>
          <w:tcPr>
            <w:tcW w:w="1997" w:type="pct"/>
            <w:tcBorders>
              <w:top w:val="nil"/>
              <w:left w:val="single" w:sz="8" w:space="0" w:color="FFFFFF"/>
              <w:bottom w:val="single" w:sz="8" w:space="0" w:color="FFFFFF"/>
              <w:right w:val="single" w:sz="8" w:space="0" w:color="FFFFFF"/>
            </w:tcBorders>
            <w:shd w:val="clear" w:color="B8CCE4" w:fill="B8CCE4"/>
            <w:hideMark/>
          </w:tcPr>
          <w:p w:rsidR="00856632" w:rsidRPr="00856632" w:rsidRDefault="00856632" w:rsidP="00856632">
            <w:pPr>
              <w:spacing w:after="0" w:line="240" w:lineRule="auto"/>
              <w:rPr>
                <w:rFonts w:ascii="Verdana" w:eastAsia="Times New Roman" w:hAnsi="Verdana" w:cs="Times New Roman"/>
                <w:color w:val="000000"/>
                <w:sz w:val="20"/>
                <w:szCs w:val="20"/>
                <w:lang w:eastAsia="es-CO"/>
              </w:rPr>
            </w:pPr>
            <w:r w:rsidRPr="00856632">
              <w:rPr>
                <w:rFonts w:ascii="Verdana" w:eastAsia="Times New Roman" w:hAnsi="Verdana" w:cs="Times New Roman"/>
                <w:color w:val="000000"/>
                <w:sz w:val="20"/>
                <w:szCs w:val="24"/>
                <w:lang w:eastAsia="es-CO"/>
              </w:rPr>
              <w:t>Garantizar el enfoque diferencial en la atención del Sector</w:t>
            </w:r>
          </w:p>
        </w:tc>
        <w:tc>
          <w:tcPr>
            <w:tcW w:w="1210" w:type="pct"/>
            <w:tcBorders>
              <w:top w:val="nil"/>
              <w:left w:val="nil"/>
              <w:bottom w:val="single" w:sz="8" w:space="0" w:color="FFFFFF"/>
              <w:right w:val="single" w:sz="8" w:space="0" w:color="FFFFFF"/>
            </w:tcBorders>
            <w:shd w:val="clear" w:color="B8CCE4" w:fill="B8CCE4"/>
            <w:hideMark/>
          </w:tcPr>
          <w:p w:rsidR="00856632" w:rsidRPr="00856632" w:rsidRDefault="00856632" w:rsidP="00856632">
            <w:pPr>
              <w:spacing w:after="0" w:line="240" w:lineRule="auto"/>
              <w:rPr>
                <w:rFonts w:ascii="Verdana" w:eastAsia="Times New Roman" w:hAnsi="Verdana" w:cs="Times New Roman"/>
                <w:color w:val="000000"/>
                <w:sz w:val="20"/>
                <w:szCs w:val="20"/>
                <w:lang w:eastAsia="es-CO"/>
              </w:rPr>
            </w:pPr>
            <w:r w:rsidRPr="00856632">
              <w:rPr>
                <w:rFonts w:ascii="Verdana" w:eastAsia="Times New Roman" w:hAnsi="Verdana" w:cs="Times New Roman"/>
                <w:color w:val="000000"/>
                <w:sz w:val="20"/>
                <w:lang w:eastAsia="es-CO"/>
              </w:rPr>
              <w:t>Personas atendidas con OPSR (indígenas)</w:t>
            </w:r>
          </w:p>
        </w:tc>
        <w:tc>
          <w:tcPr>
            <w:tcW w:w="533" w:type="pct"/>
            <w:tcBorders>
              <w:top w:val="nil"/>
              <w:left w:val="nil"/>
              <w:bottom w:val="single" w:sz="8" w:space="0" w:color="FFFFFF"/>
              <w:right w:val="single" w:sz="8" w:space="0" w:color="FFFFFF"/>
            </w:tcBorders>
            <w:shd w:val="clear" w:color="B8CCE4" w:fill="B8CCE4"/>
            <w:hideMark/>
          </w:tcPr>
          <w:p w:rsidR="00856632" w:rsidRPr="00856632" w:rsidRDefault="00856632" w:rsidP="00856632">
            <w:pPr>
              <w:spacing w:after="0" w:line="240" w:lineRule="auto"/>
              <w:jc w:val="right"/>
              <w:rPr>
                <w:rFonts w:ascii="Verdana" w:eastAsia="Times New Roman" w:hAnsi="Verdana" w:cs="Times New Roman"/>
                <w:color w:val="000000"/>
                <w:sz w:val="20"/>
                <w:szCs w:val="20"/>
                <w:lang w:eastAsia="es-CO"/>
              </w:rPr>
            </w:pPr>
            <w:r w:rsidRPr="00856632">
              <w:rPr>
                <w:rFonts w:ascii="Verdana" w:eastAsia="Times New Roman" w:hAnsi="Verdana" w:cs="Times New Roman"/>
                <w:color w:val="000000"/>
                <w:sz w:val="20"/>
                <w:lang w:eastAsia="es-CO"/>
              </w:rPr>
              <w:t>12.000</w:t>
            </w:r>
          </w:p>
        </w:tc>
        <w:tc>
          <w:tcPr>
            <w:tcW w:w="533" w:type="pct"/>
            <w:tcBorders>
              <w:top w:val="nil"/>
              <w:left w:val="nil"/>
              <w:bottom w:val="single" w:sz="8" w:space="0" w:color="FFFFFF"/>
              <w:right w:val="single" w:sz="8" w:space="0" w:color="FFFFFF"/>
            </w:tcBorders>
            <w:shd w:val="clear" w:color="B8CCE4" w:fill="B8CCE4"/>
            <w:hideMark/>
          </w:tcPr>
          <w:p w:rsidR="00856632" w:rsidRPr="00856632" w:rsidRDefault="00856632" w:rsidP="00856632">
            <w:pPr>
              <w:spacing w:after="0" w:line="240" w:lineRule="auto"/>
              <w:jc w:val="right"/>
              <w:rPr>
                <w:rFonts w:ascii="Verdana" w:eastAsia="Times New Roman" w:hAnsi="Verdana" w:cs="Times New Roman"/>
                <w:color w:val="000000"/>
                <w:sz w:val="20"/>
                <w:szCs w:val="20"/>
                <w:lang w:eastAsia="es-CO"/>
              </w:rPr>
            </w:pPr>
            <w:r w:rsidRPr="00856632">
              <w:rPr>
                <w:rFonts w:ascii="Verdana" w:eastAsia="Times New Roman" w:hAnsi="Verdana" w:cs="Times New Roman"/>
                <w:color w:val="000000"/>
                <w:sz w:val="20"/>
                <w:lang w:eastAsia="es-CO"/>
              </w:rPr>
              <w:t>110.384</w:t>
            </w:r>
          </w:p>
        </w:tc>
        <w:tc>
          <w:tcPr>
            <w:tcW w:w="728" w:type="pct"/>
            <w:tcBorders>
              <w:top w:val="nil"/>
              <w:left w:val="nil"/>
              <w:bottom w:val="single" w:sz="8" w:space="0" w:color="FFFFFF"/>
              <w:right w:val="single" w:sz="8" w:space="0" w:color="FFFFFF"/>
            </w:tcBorders>
            <w:shd w:val="clear" w:color="B8CCE4" w:fill="B8CCE4"/>
            <w:hideMark/>
          </w:tcPr>
          <w:p w:rsidR="00856632" w:rsidRPr="00856632" w:rsidRDefault="00856632" w:rsidP="00856632">
            <w:pPr>
              <w:spacing w:after="0" w:line="240" w:lineRule="auto"/>
              <w:jc w:val="right"/>
              <w:rPr>
                <w:rFonts w:ascii="Verdana" w:eastAsia="Times New Roman" w:hAnsi="Verdana" w:cs="Times New Roman"/>
                <w:color w:val="000000"/>
                <w:sz w:val="20"/>
                <w:szCs w:val="20"/>
                <w:lang w:eastAsia="es-CO"/>
              </w:rPr>
            </w:pPr>
            <w:r w:rsidRPr="00856632">
              <w:rPr>
                <w:rFonts w:ascii="Verdana" w:eastAsia="Times New Roman" w:hAnsi="Verdana" w:cs="Times New Roman"/>
                <w:color w:val="000000"/>
                <w:sz w:val="20"/>
                <w:lang w:eastAsia="es-CO"/>
              </w:rPr>
              <w:t>919</w:t>
            </w:r>
          </w:p>
        </w:tc>
      </w:tr>
    </w:tbl>
    <w:p w:rsidR="00856632" w:rsidRDefault="00856632" w:rsidP="00DA252E">
      <w:pPr>
        <w:spacing w:after="0" w:line="240" w:lineRule="auto"/>
        <w:rPr>
          <w:rFonts w:ascii="Verdana" w:hAnsi="Verdana"/>
          <w:b/>
          <w:color w:val="548DD4" w:themeColor="text2" w:themeTint="99"/>
          <w:sz w:val="24"/>
          <w:szCs w:val="24"/>
        </w:rPr>
      </w:pPr>
    </w:p>
    <w:p w:rsidR="00856632" w:rsidRDefault="00856632" w:rsidP="00DA252E">
      <w:pPr>
        <w:spacing w:after="0" w:line="240" w:lineRule="auto"/>
        <w:rPr>
          <w:rFonts w:ascii="Verdana" w:hAnsi="Verdana"/>
          <w:b/>
          <w:color w:val="548DD4" w:themeColor="text2" w:themeTint="99"/>
          <w:sz w:val="24"/>
          <w:szCs w:val="24"/>
        </w:rPr>
      </w:pPr>
    </w:p>
    <w:p w:rsidR="00856632" w:rsidRDefault="00856632" w:rsidP="00DA252E">
      <w:pPr>
        <w:spacing w:after="0" w:line="240" w:lineRule="auto"/>
        <w:rPr>
          <w:rFonts w:ascii="Verdana" w:hAnsi="Verdana"/>
          <w:b/>
          <w:color w:val="548DD4" w:themeColor="text2" w:themeTint="99"/>
          <w:sz w:val="24"/>
          <w:szCs w:val="24"/>
        </w:rPr>
      </w:pPr>
    </w:p>
    <w:p w:rsidR="00856632" w:rsidRDefault="00856632" w:rsidP="00DA252E">
      <w:pPr>
        <w:spacing w:after="0" w:line="240" w:lineRule="auto"/>
        <w:rPr>
          <w:rFonts w:ascii="Verdana" w:hAnsi="Verdana"/>
          <w:b/>
          <w:color w:val="548DD4" w:themeColor="text2" w:themeTint="99"/>
          <w:sz w:val="24"/>
          <w:szCs w:val="24"/>
        </w:rPr>
      </w:pPr>
    </w:p>
    <w:p w:rsidR="00856632" w:rsidRDefault="00856632" w:rsidP="00DA252E">
      <w:pPr>
        <w:spacing w:after="0" w:line="240" w:lineRule="auto"/>
        <w:rPr>
          <w:rFonts w:ascii="Verdana" w:hAnsi="Verdana"/>
          <w:b/>
          <w:color w:val="548DD4" w:themeColor="text2" w:themeTint="99"/>
          <w:sz w:val="24"/>
          <w:szCs w:val="24"/>
        </w:rPr>
      </w:pPr>
    </w:p>
    <w:p w:rsidR="00DA252E" w:rsidRDefault="00DA252E" w:rsidP="00DA252E">
      <w:pPr>
        <w:spacing w:after="0" w:line="240" w:lineRule="auto"/>
        <w:rPr>
          <w:rFonts w:ascii="Verdana" w:hAnsi="Verdana"/>
          <w:b/>
          <w:color w:val="548DD4" w:themeColor="text2" w:themeTint="99"/>
          <w:sz w:val="24"/>
          <w:szCs w:val="24"/>
        </w:rPr>
      </w:pPr>
      <w:r w:rsidRPr="00B03526">
        <w:rPr>
          <w:rFonts w:ascii="Verdana" w:hAnsi="Verdana"/>
          <w:b/>
          <w:color w:val="548DD4" w:themeColor="text2" w:themeTint="99"/>
          <w:sz w:val="24"/>
          <w:szCs w:val="24"/>
        </w:rPr>
        <w:t xml:space="preserve">Logros </w:t>
      </w:r>
    </w:p>
    <w:p w:rsidR="00DA252E" w:rsidRPr="00B03526" w:rsidRDefault="00DA252E" w:rsidP="00DA252E">
      <w:pPr>
        <w:spacing w:after="0" w:line="240" w:lineRule="auto"/>
        <w:rPr>
          <w:rFonts w:ascii="Verdana" w:hAnsi="Verdana"/>
          <w:b/>
          <w:color w:val="548DD4" w:themeColor="text2" w:themeTint="99"/>
          <w:sz w:val="24"/>
          <w:szCs w:val="24"/>
        </w:rPr>
      </w:pPr>
    </w:p>
    <w:p w:rsidR="00DA252E" w:rsidRDefault="00DA252E" w:rsidP="00856632">
      <w:pPr>
        <w:pStyle w:val="Prrafodelista"/>
        <w:numPr>
          <w:ilvl w:val="0"/>
          <w:numId w:val="4"/>
        </w:numPr>
        <w:spacing w:after="0" w:line="240" w:lineRule="auto"/>
        <w:ind w:left="709" w:hanging="283"/>
        <w:jc w:val="both"/>
        <w:rPr>
          <w:rFonts w:ascii="Verdana" w:hAnsi="Verdana"/>
          <w:i/>
          <w:sz w:val="24"/>
          <w:szCs w:val="24"/>
          <w:lang w:val="es-ES"/>
        </w:rPr>
      </w:pPr>
      <w:r w:rsidRPr="00B03526">
        <w:rPr>
          <w:rFonts w:ascii="Verdana" w:hAnsi="Verdana"/>
          <w:i/>
          <w:sz w:val="24"/>
          <w:szCs w:val="24"/>
          <w:lang w:val="es-ES"/>
        </w:rPr>
        <w:t>Se logr</w:t>
      </w:r>
      <w:r>
        <w:rPr>
          <w:rFonts w:ascii="Verdana" w:hAnsi="Verdana"/>
          <w:i/>
          <w:sz w:val="24"/>
          <w:szCs w:val="24"/>
          <w:lang w:val="es-ES"/>
        </w:rPr>
        <w:t>ó</w:t>
      </w:r>
      <w:r w:rsidRPr="00B03526">
        <w:rPr>
          <w:rFonts w:ascii="Verdana" w:hAnsi="Verdana"/>
          <w:i/>
          <w:sz w:val="24"/>
          <w:szCs w:val="24"/>
          <w:lang w:val="es-ES"/>
        </w:rPr>
        <w:t xml:space="preserve"> consolidar </w:t>
      </w:r>
      <w:r>
        <w:rPr>
          <w:rFonts w:ascii="Verdana" w:hAnsi="Verdana"/>
          <w:i/>
          <w:sz w:val="24"/>
          <w:szCs w:val="24"/>
          <w:lang w:val="es-ES"/>
        </w:rPr>
        <w:t xml:space="preserve">las </w:t>
      </w:r>
      <w:r w:rsidRPr="00B03526">
        <w:rPr>
          <w:rFonts w:ascii="Verdana" w:hAnsi="Verdana"/>
          <w:i/>
          <w:sz w:val="24"/>
          <w:szCs w:val="24"/>
          <w:lang w:val="es-ES"/>
        </w:rPr>
        <w:t>acciones territoriales involucrando y fortaleciendo a alcaldías y</w:t>
      </w:r>
      <w:r>
        <w:rPr>
          <w:rFonts w:ascii="Verdana" w:hAnsi="Verdana"/>
          <w:i/>
          <w:sz w:val="24"/>
          <w:szCs w:val="24"/>
          <w:lang w:val="es-ES"/>
        </w:rPr>
        <w:t>/</w:t>
      </w:r>
      <w:r w:rsidRPr="00B03526">
        <w:rPr>
          <w:rFonts w:ascii="Verdana" w:hAnsi="Verdana"/>
          <w:i/>
          <w:sz w:val="24"/>
          <w:szCs w:val="24"/>
          <w:lang w:val="es-ES"/>
        </w:rPr>
        <w:t>o gobernaciones, que equivalen a un 49% del total de Socios Implementadores.</w:t>
      </w:r>
    </w:p>
    <w:p w:rsidR="00DA252E" w:rsidRPr="006F7E8C" w:rsidRDefault="00DA252E" w:rsidP="00856632">
      <w:pPr>
        <w:pStyle w:val="Prrafodelista"/>
        <w:numPr>
          <w:ilvl w:val="0"/>
          <w:numId w:val="4"/>
        </w:numPr>
        <w:spacing w:after="0" w:line="240" w:lineRule="auto"/>
        <w:ind w:left="709" w:hanging="283"/>
        <w:jc w:val="both"/>
        <w:rPr>
          <w:rFonts w:ascii="Verdana" w:hAnsi="Verdana"/>
          <w:i/>
          <w:sz w:val="24"/>
          <w:szCs w:val="24"/>
          <w:lang w:val="es-ES"/>
        </w:rPr>
      </w:pPr>
      <w:r w:rsidRPr="00B03526">
        <w:rPr>
          <w:rFonts w:ascii="Verdana" w:hAnsi="Verdana"/>
          <w:i/>
          <w:sz w:val="24"/>
          <w:szCs w:val="24"/>
          <w:lang w:val="es-ES"/>
        </w:rPr>
        <w:t>Se definieron los elementos para la nueva OPSR que será aprobada en febrero de 2015 en Roma</w:t>
      </w:r>
      <w:r>
        <w:rPr>
          <w:rFonts w:ascii="Verdana" w:hAnsi="Verdana"/>
          <w:i/>
          <w:sz w:val="24"/>
          <w:szCs w:val="24"/>
          <w:lang w:val="es-ES"/>
        </w:rPr>
        <w:t>.</w:t>
      </w:r>
    </w:p>
    <w:p w:rsidR="00DA252E" w:rsidRDefault="00DA252E" w:rsidP="00856632">
      <w:pPr>
        <w:pStyle w:val="Prrafodelista"/>
        <w:numPr>
          <w:ilvl w:val="0"/>
          <w:numId w:val="4"/>
        </w:numPr>
        <w:spacing w:after="0" w:line="240" w:lineRule="auto"/>
        <w:ind w:left="709" w:hanging="283"/>
        <w:jc w:val="both"/>
        <w:rPr>
          <w:rFonts w:ascii="Verdana" w:hAnsi="Verdana"/>
          <w:i/>
          <w:sz w:val="24"/>
          <w:szCs w:val="24"/>
          <w:lang w:val="es-ES"/>
        </w:rPr>
      </w:pPr>
      <w:r>
        <w:rPr>
          <w:rFonts w:ascii="Verdana" w:hAnsi="Verdana"/>
          <w:i/>
          <w:sz w:val="24"/>
          <w:szCs w:val="24"/>
          <w:lang w:val="es-ES"/>
        </w:rPr>
        <w:t>Se estableció la</w:t>
      </w:r>
      <w:r w:rsidRPr="00B03526">
        <w:rPr>
          <w:rFonts w:ascii="Verdana" w:hAnsi="Verdana"/>
          <w:i/>
          <w:sz w:val="24"/>
          <w:szCs w:val="24"/>
          <w:lang w:val="es-ES"/>
        </w:rPr>
        <w:t xml:space="preserve"> coordinación de las acciones humanitarias en el país en términos de articulación e integración, en especial con la UARIV, la Unidad Nacional de Gestión de Riesgos de Desastres </w:t>
      </w:r>
      <w:r>
        <w:rPr>
          <w:rFonts w:ascii="Verdana" w:hAnsi="Verdana"/>
          <w:i/>
          <w:sz w:val="24"/>
          <w:szCs w:val="24"/>
          <w:lang w:val="es-ES"/>
        </w:rPr>
        <w:t>(</w:t>
      </w:r>
      <w:r w:rsidRPr="00B03526">
        <w:rPr>
          <w:rFonts w:ascii="Verdana" w:hAnsi="Verdana"/>
          <w:i/>
          <w:sz w:val="24"/>
          <w:szCs w:val="24"/>
          <w:lang w:val="es-ES"/>
        </w:rPr>
        <w:t>UNGRD</w:t>
      </w:r>
      <w:r>
        <w:rPr>
          <w:rFonts w:ascii="Verdana" w:hAnsi="Verdana"/>
          <w:i/>
          <w:sz w:val="24"/>
          <w:szCs w:val="24"/>
          <w:lang w:val="es-ES"/>
        </w:rPr>
        <w:t>)</w:t>
      </w:r>
      <w:r w:rsidRPr="00B03526">
        <w:rPr>
          <w:rFonts w:ascii="Verdana" w:hAnsi="Verdana"/>
          <w:i/>
          <w:sz w:val="24"/>
          <w:szCs w:val="24"/>
          <w:lang w:val="es-ES"/>
        </w:rPr>
        <w:t xml:space="preserve"> y organismos internacionales y agencias del Sistema de Naciones Unidas.</w:t>
      </w:r>
    </w:p>
    <w:p w:rsidR="00DA252E" w:rsidRPr="00B03526" w:rsidRDefault="00DA252E" w:rsidP="00856632">
      <w:pPr>
        <w:pStyle w:val="Prrafodelista"/>
        <w:numPr>
          <w:ilvl w:val="0"/>
          <w:numId w:val="4"/>
        </w:numPr>
        <w:spacing w:after="0" w:line="240" w:lineRule="auto"/>
        <w:ind w:left="709" w:hanging="283"/>
        <w:jc w:val="both"/>
        <w:rPr>
          <w:rFonts w:ascii="Verdana" w:hAnsi="Verdana"/>
          <w:i/>
          <w:sz w:val="24"/>
          <w:szCs w:val="24"/>
          <w:lang w:val="es-ES"/>
        </w:rPr>
      </w:pPr>
      <w:r>
        <w:rPr>
          <w:rFonts w:ascii="Verdana" w:hAnsi="Verdana"/>
          <w:i/>
          <w:sz w:val="24"/>
          <w:szCs w:val="24"/>
          <w:lang w:val="es-ES"/>
        </w:rPr>
        <w:t>La articulación de</w:t>
      </w:r>
      <w:r w:rsidRPr="00B03526">
        <w:rPr>
          <w:rFonts w:ascii="Verdana" w:hAnsi="Verdana"/>
          <w:i/>
          <w:sz w:val="24"/>
          <w:szCs w:val="24"/>
          <w:lang w:val="es-ES"/>
        </w:rPr>
        <w:t>l sistema de monitoreo y seguimiento permite el cruce de datos con la maestra del DPS para conocer donde se ubican las personas y las familias atenidas; de manera que se pueda construir la ruta de la inclusión social a los programas y planes del sector de las personas en situaciones de alta inseguridad alimentaria y situación de emergencias.</w:t>
      </w:r>
    </w:p>
    <w:p w:rsidR="00DA252E" w:rsidRPr="00B03526" w:rsidRDefault="00DA252E" w:rsidP="00DA252E">
      <w:pPr>
        <w:spacing w:after="0" w:line="240" w:lineRule="auto"/>
        <w:rPr>
          <w:rFonts w:ascii="Verdana" w:hAnsi="Verdana"/>
          <w:b/>
          <w:i/>
          <w:sz w:val="24"/>
          <w:szCs w:val="24"/>
          <w:lang w:val="es-ES"/>
        </w:rPr>
      </w:pPr>
    </w:p>
    <w:p w:rsidR="00DA252E" w:rsidRDefault="00DA252E" w:rsidP="00DA252E">
      <w:pPr>
        <w:spacing w:after="0" w:line="240" w:lineRule="auto"/>
        <w:rPr>
          <w:rFonts w:ascii="Verdana" w:hAnsi="Verdana"/>
          <w:color w:val="548DD4" w:themeColor="text2" w:themeTint="99"/>
          <w:sz w:val="24"/>
          <w:szCs w:val="24"/>
        </w:rPr>
      </w:pPr>
      <w:r w:rsidRPr="00B33920">
        <w:rPr>
          <w:rFonts w:ascii="Verdana" w:hAnsi="Verdana"/>
          <w:b/>
          <w:color w:val="548DD4" w:themeColor="text2" w:themeTint="99"/>
          <w:sz w:val="24"/>
          <w:szCs w:val="24"/>
        </w:rPr>
        <w:t>Retos 2015</w:t>
      </w:r>
      <w:r w:rsidRPr="00B33920">
        <w:rPr>
          <w:rFonts w:ascii="Verdana" w:hAnsi="Verdana"/>
          <w:color w:val="548DD4" w:themeColor="text2" w:themeTint="99"/>
          <w:sz w:val="24"/>
          <w:szCs w:val="24"/>
        </w:rPr>
        <w:t xml:space="preserve"> </w:t>
      </w:r>
    </w:p>
    <w:p w:rsidR="00DA252E" w:rsidRPr="00B33920" w:rsidRDefault="00DA252E" w:rsidP="00DA252E">
      <w:pPr>
        <w:spacing w:after="0" w:line="240" w:lineRule="auto"/>
        <w:rPr>
          <w:rFonts w:ascii="Verdana" w:hAnsi="Verdana"/>
          <w:b/>
          <w:color w:val="548DD4" w:themeColor="text2" w:themeTint="99"/>
          <w:sz w:val="24"/>
          <w:szCs w:val="24"/>
        </w:rPr>
      </w:pPr>
    </w:p>
    <w:p w:rsidR="00DA252E" w:rsidRDefault="00DA252E" w:rsidP="00856632">
      <w:pPr>
        <w:pStyle w:val="Prrafodelista"/>
        <w:numPr>
          <w:ilvl w:val="0"/>
          <w:numId w:val="2"/>
        </w:numPr>
        <w:spacing w:after="0" w:line="240" w:lineRule="auto"/>
        <w:ind w:left="709" w:hanging="283"/>
        <w:jc w:val="both"/>
        <w:rPr>
          <w:rFonts w:ascii="Verdana" w:hAnsi="Verdana"/>
          <w:i/>
          <w:sz w:val="24"/>
          <w:szCs w:val="24"/>
        </w:rPr>
      </w:pPr>
      <w:r w:rsidRPr="0067625C">
        <w:rPr>
          <w:rFonts w:ascii="Verdana" w:hAnsi="Verdana"/>
          <w:i/>
          <w:sz w:val="24"/>
          <w:szCs w:val="24"/>
        </w:rPr>
        <w:t>Mejorar la coordinación humanitaria de Gobierno con la UARIV y la UNGRD a través de la entrega de</w:t>
      </w:r>
      <w:r>
        <w:rPr>
          <w:rFonts w:ascii="Verdana" w:hAnsi="Verdana"/>
          <w:i/>
          <w:sz w:val="24"/>
          <w:szCs w:val="24"/>
        </w:rPr>
        <w:t xml:space="preserve"> ayudas alimentarias.</w:t>
      </w:r>
    </w:p>
    <w:p w:rsidR="00DA252E" w:rsidRDefault="00DA252E" w:rsidP="00DA252E">
      <w:pPr>
        <w:spacing w:after="0" w:line="240" w:lineRule="auto"/>
        <w:jc w:val="both"/>
        <w:rPr>
          <w:rFonts w:ascii="Verdana" w:hAnsi="Verdana"/>
          <w:i/>
          <w:sz w:val="24"/>
          <w:szCs w:val="24"/>
        </w:rPr>
      </w:pPr>
    </w:p>
    <w:p w:rsidR="00DA252E" w:rsidRPr="00E13713" w:rsidRDefault="00DA252E" w:rsidP="00DA252E">
      <w:pPr>
        <w:spacing w:after="0" w:line="240" w:lineRule="auto"/>
        <w:ind w:left="567"/>
        <w:jc w:val="both"/>
        <w:rPr>
          <w:rFonts w:ascii="Verdana" w:hAnsi="Verdana"/>
          <w:i/>
          <w:sz w:val="24"/>
          <w:szCs w:val="24"/>
        </w:rPr>
      </w:pPr>
    </w:p>
    <w:p w:rsidR="00DA252E" w:rsidRPr="00E13713" w:rsidRDefault="00DA252E" w:rsidP="00856632">
      <w:pPr>
        <w:pStyle w:val="Ttulo2"/>
        <w:spacing w:before="0" w:after="0" w:line="240" w:lineRule="auto"/>
        <w:rPr>
          <w:rFonts w:ascii="Verdana" w:hAnsi="Verdana"/>
          <w:i w:val="0"/>
          <w:color w:val="548DD4" w:themeColor="text2" w:themeTint="99"/>
        </w:rPr>
      </w:pPr>
      <w:bookmarkStart w:id="27" w:name="_Toc410111288"/>
      <w:bookmarkStart w:id="28" w:name="_Toc410376779"/>
      <w:r w:rsidRPr="00E13713">
        <w:rPr>
          <w:rFonts w:ascii="Verdana" w:hAnsi="Verdana"/>
          <w:i w:val="0"/>
          <w:color w:val="548DD4" w:themeColor="text2" w:themeTint="99"/>
        </w:rPr>
        <w:t>GENERACIÓN DE INGRESOS</w:t>
      </w:r>
      <w:bookmarkEnd w:id="27"/>
      <w:bookmarkEnd w:id="28"/>
    </w:p>
    <w:p w:rsidR="00856632" w:rsidRDefault="00856632" w:rsidP="00DA252E">
      <w:pPr>
        <w:pStyle w:val="Ttulo3"/>
        <w:spacing w:before="0" w:after="0" w:line="240" w:lineRule="auto"/>
        <w:rPr>
          <w:rFonts w:ascii="Verdana" w:hAnsi="Verdana"/>
          <w:color w:val="548DD4" w:themeColor="text2" w:themeTint="99"/>
          <w:sz w:val="24"/>
          <w:szCs w:val="24"/>
          <w:u w:val="single"/>
        </w:rPr>
      </w:pPr>
      <w:bookmarkStart w:id="29" w:name="_Toc410376780"/>
    </w:p>
    <w:p w:rsidR="00DA252E" w:rsidRPr="00334E15" w:rsidRDefault="00DA252E" w:rsidP="00DA252E">
      <w:pPr>
        <w:pStyle w:val="Ttulo3"/>
        <w:spacing w:before="0" w:after="0" w:line="240" w:lineRule="auto"/>
        <w:rPr>
          <w:rFonts w:ascii="Verdana" w:hAnsi="Verdana"/>
          <w:color w:val="548DD4" w:themeColor="text2" w:themeTint="99"/>
          <w:sz w:val="24"/>
          <w:szCs w:val="24"/>
          <w:u w:val="single"/>
        </w:rPr>
      </w:pPr>
      <w:r w:rsidRPr="00334E15">
        <w:rPr>
          <w:rFonts w:ascii="Verdana" w:hAnsi="Verdana"/>
          <w:color w:val="548DD4" w:themeColor="text2" w:themeTint="99"/>
          <w:sz w:val="24"/>
          <w:szCs w:val="24"/>
          <w:u w:val="single"/>
        </w:rPr>
        <w:t>GENERACIÓN DE INGRESOS</w:t>
      </w:r>
      <w:bookmarkEnd w:id="29"/>
    </w:p>
    <w:p w:rsidR="00DA252E" w:rsidRPr="00231BB8" w:rsidRDefault="00DA252E" w:rsidP="00DA252E">
      <w:pPr>
        <w:spacing w:after="0" w:line="240" w:lineRule="auto"/>
        <w:jc w:val="both"/>
        <w:rPr>
          <w:rFonts w:ascii="Verdana" w:hAnsi="Verdana"/>
          <w:b/>
          <w:color w:val="548DD4" w:themeColor="text2" w:themeTint="99"/>
          <w:sz w:val="24"/>
          <w:szCs w:val="24"/>
        </w:rPr>
      </w:pPr>
    </w:p>
    <w:p w:rsidR="00856632" w:rsidRDefault="00856632" w:rsidP="00DA252E">
      <w:pPr>
        <w:spacing w:after="0" w:line="240" w:lineRule="auto"/>
        <w:jc w:val="both"/>
        <w:rPr>
          <w:rFonts w:ascii="Verdana" w:hAnsi="Verdana"/>
          <w:b/>
          <w:color w:val="548DD4" w:themeColor="text2" w:themeTint="99"/>
          <w:sz w:val="24"/>
          <w:szCs w:val="24"/>
        </w:rPr>
      </w:pPr>
    </w:p>
    <w:p w:rsidR="00DA252E" w:rsidRPr="00B36FCF" w:rsidRDefault="00DA252E" w:rsidP="00DA252E">
      <w:pPr>
        <w:spacing w:after="0" w:line="240" w:lineRule="auto"/>
        <w:jc w:val="both"/>
        <w:rPr>
          <w:rFonts w:ascii="Verdana" w:hAnsi="Verdana"/>
          <w:b/>
          <w:color w:val="548DD4" w:themeColor="text2" w:themeTint="99"/>
          <w:sz w:val="24"/>
          <w:szCs w:val="24"/>
        </w:rPr>
      </w:pPr>
      <w:r w:rsidRPr="00B36FCF">
        <w:rPr>
          <w:rFonts w:ascii="Verdana" w:hAnsi="Verdana"/>
          <w:b/>
          <w:color w:val="548DD4" w:themeColor="text2" w:themeTint="99"/>
          <w:sz w:val="24"/>
          <w:szCs w:val="24"/>
        </w:rPr>
        <w:lastRenderedPageBreak/>
        <w:t>Objetivo</w:t>
      </w:r>
    </w:p>
    <w:p w:rsidR="00DA252E" w:rsidRPr="00FB7E69" w:rsidRDefault="00DA252E" w:rsidP="00DA252E">
      <w:pPr>
        <w:spacing w:after="0" w:line="240" w:lineRule="auto"/>
        <w:jc w:val="both"/>
        <w:rPr>
          <w:rFonts w:ascii="Verdana" w:hAnsi="Verdana"/>
          <w:b/>
          <w:sz w:val="24"/>
          <w:szCs w:val="24"/>
        </w:rPr>
      </w:pPr>
    </w:p>
    <w:p w:rsidR="00DA252E" w:rsidRDefault="00DA252E" w:rsidP="00DA252E">
      <w:pPr>
        <w:spacing w:after="0" w:line="240" w:lineRule="auto"/>
        <w:jc w:val="both"/>
        <w:rPr>
          <w:rFonts w:ascii="Verdana" w:hAnsi="Verdana" w:cs="Arial"/>
          <w:sz w:val="24"/>
          <w:szCs w:val="24"/>
        </w:rPr>
      </w:pPr>
      <w:r w:rsidRPr="00FB7E69">
        <w:rPr>
          <w:rFonts w:ascii="Verdana" w:hAnsi="Verdana" w:cs="Arial"/>
          <w:sz w:val="24"/>
          <w:szCs w:val="24"/>
        </w:rPr>
        <w:t>El programa de Generación de Ingresos busca poner en funcionamiento estrategias para que las responsabilidades del Departamento para la Prosperidad Social – DPS, en la política de reducción de la pobreza extrema, se concreten en el mejoramiento de los ingresos de población víctima del desplazamiento forzado por la violencia, población en situación de vulnerabilidad y pobreza extrema.</w:t>
      </w:r>
    </w:p>
    <w:p w:rsidR="00DA252E" w:rsidRPr="00FB7E69" w:rsidRDefault="00DA252E" w:rsidP="00DA252E">
      <w:pPr>
        <w:spacing w:after="0" w:line="240" w:lineRule="auto"/>
        <w:jc w:val="both"/>
        <w:rPr>
          <w:rFonts w:ascii="Verdana" w:hAnsi="Verdana" w:cs="Arial"/>
          <w:sz w:val="24"/>
          <w:szCs w:val="24"/>
        </w:rPr>
      </w:pPr>
    </w:p>
    <w:p w:rsidR="00DA252E" w:rsidRDefault="00DA252E" w:rsidP="00DA252E">
      <w:pPr>
        <w:spacing w:after="0" w:line="240" w:lineRule="auto"/>
        <w:jc w:val="both"/>
        <w:rPr>
          <w:rFonts w:ascii="Verdana" w:hAnsi="Verdana" w:cs="Arial"/>
          <w:bCs/>
          <w:sz w:val="24"/>
          <w:szCs w:val="24"/>
        </w:rPr>
      </w:pPr>
      <w:r w:rsidRPr="00FB7E69">
        <w:rPr>
          <w:rFonts w:ascii="Verdana" w:hAnsi="Verdana" w:cs="Arial"/>
          <w:bCs/>
          <w:sz w:val="24"/>
          <w:szCs w:val="24"/>
        </w:rPr>
        <w:t xml:space="preserve">Las intervenciones que integran la oferta de Generación de Ingresos para la vigencia 2014  se encuentran organizadas en 3 grandes bloques de trabajo que integran la ruta de Generación de Ingresos del DPS y que ilustran en el siguiente cuadro. </w:t>
      </w:r>
    </w:p>
    <w:p w:rsidR="00DA252E" w:rsidRDefault="00DA252E" w:rsidP="00DA252E">
      <w:pPr>
        <w:spacing w:after="0" w:line="240" w:lineRule="auto"/>
        <w:jc w:val="both"/>
        <w:rPr>
          <w:rFonts w:ascii="Verdana" w:hAnsi="Verdana" w:cs="Arial"/>
          <w:bCs/>
          <w:sz w:val="24"/>
          <w:szCs w:val="24"/>
        </w:rPr>
      </w:pPr>
    </w:p>
    <w:p w:rsidR="00DA252E" w:rsidRDefault="00DA252E" w:rsidP="00DA252E">
      <w:pPr>
        <w:spacing w:after="0" w:line="240" w:lineRule="auto"/>
        <w:jc w:val="both"/>
        <w:rPr>
          <w:rFonts w:ascii="Verdana" w:hAnsi="Verdana" w:cs="Arial"/>
          <w:bCs/>
          <w:sz w:val="24"/>
          <w:szCs w:val="24"/>
        </w:rPr>
      </w:pPr>
      <w:r w:rsidRPr="00FB7E69">
        <w:rPr>
          <w:rFonts w:ascii="Verdana" w:hAnsi="Verdana" w:cs="Arial"/>
          <w:bCs/>
          <w:sz w:val="24"/>
          <w:szCs w:val="24"/>
        </w:rPr>
        <w:t>Inicia con un proceso de caracterización, orientación y enrutamiento en una denominada puerta de entrada y se complementa con los estudios y análisis de los Observatorios Regionales de Mercado de Trabajo:</w:t>
      </w:r>
    </w:p>
    <w:p w:rsidR="00DA252E" w:rsidRDefault="00DA252E" w:rsidP="00DA252E">
      <w:pPr>
        <w:spacing w:after="0" w:line="240" w:lineRule="auto"/>
        <w:jc w:val="both"/>
        <w:rPr>
          <w:rFonts w:ascii="Verdana" w:hAnsi="Verdana" w:cs="Arial"/>
          <w:bCs/>
          <w:sz w:val="24"/>
          <w:szCs w:val="24"/>
        </w:rPr>
      </w:pPr>
    </w:p>
    <w:p w:rsidR="00DA252E" w:rsidRDefault="00DA252E" w:rsidP="00DA252E">
      <w:pPr>
        <w:spacing w:after="0" w:line="240" w:lineRule="auto"/>
        <w:jc w:val="both"/>
        <w:rPr>
          <w:rFonts w:ascii="Verdana" w:hAnsi="Verdana" w:cs="Arial"/>
          <w:bCs/>
          <w:sz w:val="24"/>
          <w:szCs w:val="24"/>
        </w:rPr>
      </w:pPr>
    </w:p>
    <w:tbl>
      <w:tblPr>
        <w:tblW w:w="5000" w:type="pct"/>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70" w:type="dxa"/>
          <w:right w:w="70" w:type="dxa"/>
        </w:tblCellMar>
        <w:tblLook w:val="04A0"/>
      </w:tblPr>
      <w:tblGrid>
        <w:gridCol w:w="5007"/>
        <w:gridCol w:w="5105"/>
      </w:tblGrid>
      <w:tr w:rsidR="00DA252E" w:rsidRPr="00E67E2E" w:rsidTr="00856632">
        <w:trPr>
          <w:trHeight w:val="288"/>
          <w:jc w:val="center"/>
        </w:trPr>
        <w:tc>
          <w:tcPr>
            <w:tcW w:w="2607" w:type="pct"/>
            <w:shd w:val="clear" w:color="4F81BD" w:fill="4F81BD"/>
            <w:noWrap/>
            <w:vAlign w:val="center"/>
            <w:hideMark/>
          </w:tcPr>
          <w:p w:rsidR="00DA252E" w:rsidRDefault="00DA252E" w:rsidP="00DA252E">
            <w:pPr>
              <w:spacing w:after="0" w:line="240" w:lineRule="auto"/>
              <w:jc w:val="center"/>
              <w:rPr>
                <w:rFonts w:ascii="Verdana" w:eastAsia="Times New Roman" w:hAnsi="Verdana"/>
                <w:b/>
                <w:bCs/>
                <w:color w:val="FFFFFF"/>
                <w:sz w:val="16"/>
                <w:szCs w:val="16"/>
                <w:lang w:eastAsia="es-CO"/>
              </w:rPr>
            </w:pPr>
            <w:r>
              <w:rPr>
                <w:rFonts w:ascii="Verdana" w:hAnsi="Verdana" w:cs="Arial"/>
                <w:bCs/>
                <w:sz w:val="24"/>
                <w:szCs w:val="24"/>
              </w:rPr>
              <w:br w:type="page"/>
            </w:r>
            <w:r>
              <w:rPr>
                <w:rFonts w:ascii="Verdana" w:eastAsia="Times New Roman" w:hAnsi="Verdana"/>
                <w:b/>
                <w:bCs/>
                <w:color w:val="FFFFFF"/>
                <w:sz w:val="16"/>
                <w:szCs w:val="16"/>
                <w:lang w:eastAsia="es-CO"/>
              </w:rPr>
              <w:t>BLOQUE DE TRABAJO</w:t>
            </w:r>
          </w:p>
          <w:p w:rsidR="00DA252E" w:rsidRPr="00E67E2E" w:rsidRDefault="00DA252E" w:rsidP="00DA252E">
            <w:pPr>
              <w:spacing w:after="0" w:line="240" w:lineRule="auto"/>
              <w:jc w:val="center"/>
              <w:rPr>
                <w:rFonts w:ascii="Verdana" w:eastAsia="Times New Roman" w:hAnsi="Verdana"/>
                <w:b/>
                <w:bCs/>
                <w:color w:val="FFFFFF"/>
                <w:sz w:val="16"/>
                <w:szCs w:val="16"/>
                <w:lang w:eastAsia="es-CO"/>
              </w:rPr>
            </w:pPr>
          </w:p>
        </w:tc>
        <w:tc>
          <w:tcPr>
            <w:tcW w:w="2393" w:type="pct"/>
            <w:shd w:val="clear" w:color="4F81BD" w:fill="4F81BD"/>
            <w:noWrap/>
            <w:vAlign w:val="center"/>
            <w:hideMark/>
          </w:tcPr>
          <w:p w:rsidR="00DA252E" w:rsidRDefault="00DA252E" w:rsidP="00DA252E">
            <w:pPr>
              <w:spacing w:after="0" w:line="240" w:lineRule="auto"/>
              <w:jc w:val="center"/>
              <w:rPr>
                <w:rFonts w:ascii="Verdana" w:eastAsia="Times New Roman" w:hAnsi="Verdana"/>
                <w:b/>
                <w:bCs/>
                <w:color w:val="FFFFFF"/>
                <w:sz w:val="16"/>
                <w:szCs w:val="16"/>
                <w:lang w:eastAsia="es-CO"/>
              </w:rPr>
            </w:pPr>
            <w:r>
              <w:rPr>
                <w:rFonts w:ascii="Verdana" w:eastAsia="Times New Roman" w:hAnsi="Verdana"/>
                <w:b/>
                <w:bCs/>
                <w:color w:val="FFFFFF"/>
                <w:sz w:val="16"/>
                <w:szCs w:val="16"/>
                <w:lang w:eastAsia="es-CO"/>
              </w:rPr>
              <w:t>LINEA DE INTERVENCION QUE INTEGRA CADA BLOQUE</w:t>
            </w:r>
          </w:p>
          <w:p w:rsidR="00DA252E" w:rsidRPr="00E67E2E" w:rsidRDefault="00DA252E" w:rsidP="00DA252E">
            <w:pPr>
              <w:spacing w:after="0" w:line="240" w:lineRule="auto"/>
              <w:jc w:val="center"/>
              <w:rPr>
                <w:rFonts w:ascii="Verdana" w:eastAsia="Times New Roman" w:hAnsi="Verdana"/>
                <w:b/>
                <w:bCs/>
                <w:color w:val="FFFFFF"/>
                <w:sz w:val="16"/>
                <w:szCs w:val="16"/>
                <w:lang w:eastAsia="es-CO"/>
              </w:rPr>
            </w:pPr>
          </w:p>
        </w:tc>
      </w:tr>
      <w:tr w:rsidR="00DA252E" w:rsidRPr="00E67E2E" w:rsidTr="00856632">
        <w:trPr>
          <w:trHeight w:val="288"/>
          <w:jc w:val="center"/>
        </w:trPr>
        <w:tc>
          <w:tcPr>
            <w:tcW w:w="2607" w:type="pct"/>
            <w:shd w:val="clear" w:color="B8CCE4" w:fill="B8CCE4"/>
            <w:noWrap/>
            <w:vAlign w:val="center"/>
            <w:hideMark/>
          </w:tcPr>
          <w:p w:rsidR="00DA252E" w:rsidRDefault="00DA252E" w:rsidP="00856632">
            <w:pPr>
              <w:spacing w:after="0" w:line="240" w:lineRule="auto"/>
              <w:jc w:val="both"/>
              <w:rPr>
                <w:rFonts w:ascii="Verdana" w:eastAsia="Times New Roman" w:hAnsi="Verdana"/>
                <w:color w:val="000000"/>
                <w:sz w:val="16"/>
                <w:szCs w:val="16"/>
                <w:lang w:eastAsia="es-CO"/>
              </w:rPr>
            </w:pPr>
            <w:r w:rsidRPr="00E67E2E">
              <w:rPr>
                <w:rFonts w:ascii="Verdana" w:eastAsia="Times New Roman" w:hAnsi="Verdana"/>
                <w:color w:val="000000"/>
                <w:sz w:val="16"/>
                <w:szCs w:val="16"/>
                <w:lang w:eastAsia="es-CO"/>
              </w:rPr>
              <w:t>PUERTA DE ENTRADA</w:t>
            </w:r>
          </w:p>
          <w:p w:rsidR="00856632" w:rsidRPr="00E67E2E" w:rsidRDefault="00856632" w:rsidP="00856632">
            <w:pPr>
              <w:spacing w:after="0" w:line="240" w:lineRule="auto"/>
              <w:jc w:val="both"/>
              <w:rPr>
                <w:rFonts w:ascii="Verdana" w:eastAsia="Times New Roman" w:hAnsi="Verdana"/>
                <w:color w:val="000000"/>
                <w:sz w:val="16"/>
                <w:szCs w:val="16"/>
                <w:lang w:eastAsia="es-CO"/>
              </w:rPr>
            </w:pPr>
          </w:p>
        </w:tc>
        <w:tc>
          <w:tcPr>
            <w:tcW w:w="2393" w:type="pct"/>
            <w:shd w:val="clear" w:color="B8CCE4" w:fill="B8CCE4"/>
            <w:noWrap/>
            <w:vAlign w:val="center"/>
            <w:hideMark/>
          </w:tcPr>
          <w:p w:rsidR="00DA252E" w:rsidRPr="00E67E2E" w:rsidRDefault="00DA252E" w:rsidP="00856632">
            <w:pPr>
              <w:spacing w:after="0" w:line="240" w:lineRule="auto"/>
              <w:jc w:val="both"/>
              <w:rPr>
                <w:rFonts w:ascii="Verdana" w:eastAsia="Times New Roman" w:hAnsi="Verdana"/>
                <w:color w:val="000000"/>
                <w:sz w:val="16"/>
                <w:szCs w:val="16"/>
                <w:lang w:eastAsia="es-CO"/>
              </w:rPr>
            </w:pPr>
            <w:r w:rsidRPr="00E67E2E">
              <w:rPr>
                <w:rFonts w:ascii="Verdana" w:eastAsia="Times New Roman" w:hAnsi="Verdana"/>
                <w:color w:val="000000"/>
                <w:sz w:val="16"/>
                <w:szCs w:val="16"/>
                <w:lang w:eastAsia="es-CO"/>
              </w:rPr>
              <w:t>VENTANILLA UNICA</w:t>
            </w:r>
          </w:p>
        </w:tc>
      </w:tr>
      <w:tr w:rsidR="00DA252E" w:rsidRPr="00E67E2E" w:rsidTr="00856632">
        <w:trPr>
          <w:trHeight w:val="288"/>
          <w:jc w:val="center"/>
        </w:trPr>
        <w:tc>
          <w:tcPr>
            <w:tcW w:w="2607" w:type="pct"/>
            <w:shd w:val="clear" w:color="DBE5F1" w:fill="DBE5F1"/>
            <w:noWrap/>
            <w:vAlign w:val="center"/>
            <w:hideMark/>
          </w:tcPr>
          <w:p w:rsidR="00DA252E" w:rsidRDefault="00DA252E" w:rsidP="00856632">
            <w:pPr>
              <w:spacing w:after="0" w:line="240" w:lineRule="auto"/>
              <w:jc w:val="both"/>
              <w:rPr>
                <w:rFonts w:ascii="Verdana" w:eastAsia="Times New Roman" w:hAnsi="Verdana"/>
                <w:color w:val="000000"/>
                <w:sz w:val="16"/>
                <w:szCs w:val="16"/>
                <w:lang w:eastAsia="es-CO"/>
              </w:rPr>
            </w:pPr>
            <w:r w:rsidRPr="00E67E2E">
              <w:rPr>
                <w:rFonts w:ascii="Verdana" w:eastAsia="Times New Roman" w:hAnsi="Verdana"/>
                <w:color w:val="000000"/>
                <w:sz w:val="16"/>
                <w:szCs w:val="16"/>
                <w:lang w:eastAsia="es-CO"/>
              </w:rPr>
              <w:t>FORMACION Y EMPLEABILIDAD</w:t>
            </w:r>
          </w:p>
          <w:p w:rsidR="00856632" w:rsidRPr="00E67E2E" w:rsidRDefault="00856632" w:rsidP="00856632">
            <w:pPr>
              <w:spacing w:after="0" w:line="240" w:lineRule="auto"/>
              <w:jc w:val="both"/>
              <w:rPr>
                <w:rFonts w:ascii="Verdana" w:eastAsia="Times New Roman" w:hAnsi="Verdana"/>
                <w:color w:val="000000"/>
                <w:sz w:val="16"/>
                <w:szCs w:val="16"/>
                <w:lang w:eastAsia="es-CO"/>
              </w:rPr>
            </w:pPr>
          </w:p>
        </w:tc>
        <w:tc>
          <w:tcPr>
            <w:tcW w:w="2393" w:type="pct"/>
            <w:shd w:val="clear" w:color="DBE5F1" w:fill="DBE5F1"/>
            <w:noWrap/>
            <w:vAlign w:val="center"/>
            <w:hideMark/>
          </w:tcPr>
          <w:p w:rsidR="00DA252E" w:rsidRDefault="00DA252E" w:rsidP="00856632">
            <w:pPr>
              <w:spacing w:after="0" w:line="240" w:lineRule="auto"/>
              <w:jc w:val="both"/>
              <w:rPr>
                <w:rFonts w:ascii="Verdana" w:eastAsia="Times New Roman" w:hAnsi="Verdana"/>
                <w:color w:val="000000"/>
                <w:sz w:val="16"/>
                <w:szCs w:val="16"/>
                <w:lang w:eastAsia="es-CO"/>
              </w:rPr>
            </w:pPr>
            <w:r w:rsidRPr="00E67E2E">
              <w:rPr>
                <w:rFonts w:ascii="Verdana" w:eastAsia="Times New Roman" w:hAnsi="Verdana"/>
                <w:color w:val="000000"/>
                <w:sz w:val="16"/>
                <w:szCs w:val="16"/>
                <w:lang w:eastAsia="es-CO"/>
              </w:rPr>
              <w:t>INCENTIVO A LA CAPACITACION PARA EL EMPLEO</w:t>
            </w:r>
          </w:p>
          <w:p w:rsidR="00856632" w:rsidRPr="00E67E2E" w:rsidRDefault="00856632" w:rsidP="00856632">
            <w:pPr>
              <w:spacing w:after="0" w:line="240" w:lineRule="auto"/>
              <w:jc w:val="both"/>
              <w:rPr>
                <w:rFonts w:ascii="Verdana" w:eastAsia="Times New Roman" w:hAnsi="Verdana"/>
                <w:color w:val="000000"/>
                <w:sz w:val="16"/>
                <w:szCs w:val="16"/>
                <w:lang w:eastAsia="es-CO"/>
              </w:rPr>
            </w:pPr>
          </w:p>
        </w:tc>
      </w:tr>
      <w:tr w:rsidR="00DA252E" w:rsidRPr="00E67E2E" w:rsidTr="00856632">
        <w:trPr>
          <w:trHeight w:val="288"/>
          <w:jc w:val="center"/>
        </w:trPr>
        <w:tc>
          <w:tcPr>
            <w:tcW w:w="2607" w:type="pct"/>
            <w:shd w:val="clear" w:color="B8CCE4" w:fill="B8CCE4"/>
            <w:noWrap/>
            <w:vAlign w:val="center"/>
            <w:hideMark/>
          </w:tcPr>
          <w:p w:rsidR="00DA252E" w:rsidRDefault="00DA252E" w:rsidP="00856632">
            <w:pPr>
              <w:spacing w:after="0" w:line="240" w:lineRule="auto"/>
              <w:jc w:val="both"/>
              <w:rPr>
                <w:rFonts w:ascii="Verdana" w:eastAsia="Times New Roman" w:hAnsi="Verdana"/>
                <w:color w:val="000000"/>
                <w:sz w:val="16"/>
                <w:szCs w:val="16"/>
                <w:lang w:eastAsia="es-CO"/>
              </w:rPr>
            </w:pPr>
          </w:p>
          <w:p w:rsidR="00856632" w:rsidRPr="00E67E2E" w:rsidRDefault="00856632" w:rsidP="00856632">
            <w:pPr>
              <w:spacing w:after="0" w:line="240" w:lineRule="auto"/>
              <w:jc w:val="both"/>
              <w:rPr>
                <w:rFonts w:ascii="Verdana" w:eastAsia="Times New Roman" w:hAnsi="Verdana"/>
                <w:color w:val="000000"/>
                <w:sz w:val="16"/>
                <w:szCs w:val="16"/>
                <w:lang w:eastAsia="es-CO"/>
              </w:rPr>
            </w:pPr>
          </w:p>
        </w:tc>
        <w:tc>
          <w:tcPr>
            <w:tcW w:w="2393" w:type="pct"/>
            <w:shd w:val="clear" w:color="B8CCE4" w:fill="B8CCE4"/>
            <w:noWrap/>
            <w:vAlign w:val="center"/>
            <w:hideMark/>
          </w:tcPr>
          <w:p w:rsidR="00DA252E" w:rsidRPr="00E67E2E" w:rsidRDefault="00DA252E" w:rsidP="00856632">
            <w:pPr>
              <w:spacing w:after="0" w:line="240" w:lineRule="auto"/>
              <w:jc w:val="both"/>
              <w:rPr>
                <w:rFonts w:ascii="Verdana" w:eastAsia="Times New Roman" w:hAnsi="Verdana"/>
                <w:color w:val="000000"/>
                <w:sz w:val="16"/>
                <w:szCs w:val="16"/>
                <w:lang w:eastAsia="es-CO"/>
              </w:rPr>
            </w:pPr>
            <w:r w:rsidRPr="00E67E2E">
              <w:rPr>
                <w:rFonts w:ascii="Verdana" w:eastAsia="Times New Roman" w:hAnsi="Verdana"/>
                <w:color w:val="000000"/>
                <w:sz w:val="16"/>
                <w:szCs w:val="16"/>
                <w:lang w:eastAsia="es-CO"/>
              </w:rPr>
              <w:t>HABILIDADES SOCIO EMOCIONALES</w:t>
            </w:r>
          </w:p>
        </w:tc>
      </w:tr>
      <w:tr w:rsidR="00DA252E" w:rsidRPr="00E67E2E" w:rsidTr="00856632">
        <w:trPr>
          <w:trHeight w:val="288"/>
          <w:jc w:val="center"/>
        </w:trPr>
        <w:tc>
          <w:tcPr>
            <w:tcW w:w="2607" w:type="pct"/>
            <w:shd w:val="clear" w:color="DBE5F1" w:fill="DBE5F1"/>
            <w:noWrap/>
            <w:vAlign w:val="center"/>
            <w:hideMark/>
          </w:tcPr>
          <w:p w:rsidR="00DA252E" w:rsidRDefault="00DA252E" w:rsidP="00856632">
            <w:pPr>
              <w:spacing w:after="0" w:line="240" w:lineRule="auto"/>
              <w:jc w:val="both"/>
              <w:rPr>
                <w:rFonts w:ascii="Verdana" w:eastAsia="Times New Roman" w:hAnsi="Verdana"/>
                <w:color w:val="000000"/>
                <w:sz w:val="16"/>
                <w:szCs w:val="16"/>
                <w:lang w:eastAsia="es-CO"/>
              </w:rPr>
            </w:pPr>
            <w:r w:rsidRPr="00E67E2E">
              <w:rPr>
                <w:rFonts w:ascii="Verdana" w:eastAsia="Times New Roman" w:hAnsi="Verdana"/>
                <w:color w:val="000000"/>
                <w:sz w:val="16"/>
                <w:szCs w:val="16"/>
                <w:lang w:eastAsia="es-CO"/>
              </w:rPr>
              <w:t>NEGOCIO PROPIO</w:t>
            </w:r>
          </w:p>
          <w:p w:rsidR="00856632" w:rsidRPr="00E67E2E" w:rsidRDefault="00856632" w:rsidP="00856632">
            <w:pPr>
              <w:spacing w:after="0" w:line="240" w:lineRule="auto"/>
              <w:jc w:val="both"/>
              <w:rPr>
                <w:rFonts w:ascii="Verdana" w:eastAsia="Times New Roman" w:hAnsi="Verdana"/>
                <w:color w:val="000000"/>
                <w:sz w:val="16"/>
                <w:szCs w:val="16"/>
                <w:lang w:eastAsia="es-CO"/>
              </w:rPr>
            </w:pPr>
          </w:p>
        </w:tc>
        <w:tc>
          <w:tcPr>
            <w:tcW w:w="2393" w:type="pct"/>
            <w:shd w:val="clear" w:color="DBE5F1" w:fill="DBE5F1"/>
            <w:noWrap/>
            <w:vAlign w:val="center"/>
            <w:hideMark/>
          </w:tcPr>
          <w:p w:rsidR="00DA252E" w:rsidRDefault="00DA252E" w:rsidP="00856632">
            <w:pPr>
              <w:spacing w:after="0" w:line="240" w:lineRule="auto"/>
              <w:jc w:val="both"/>
              <w:rPr>
                <w:rFonts w:ascii="Verdana" w:eastAsia="Times New Roman" w:hAnsi="Verdana"/>
                <w:color w:val="000000"/>
                <w:sz w:val="16"/>
                <w:szCs w:val="16"/>
                <w:lang w:eastAsia="es-CO"/>
              </w:rPr>
            </w:pPr>
            <w:r w:rsidRPr="00E67E2E">
              <w:rPr>
                <w:rFonts w:ascii="Verdana" w:eastAsia="Times New Roman" w:hAnsi="Verdana"/>
                <w:color w:val="000000"/>
                <w:sz w:val="16"/>
                <w:szCs w:val="16"/>
                <w:lang w:eastAsia="es-CO"/>
              </w:rPr>
              <w:t>RUTA DE INGRESOS Y EMPRESARISMO</w:t>
            </w:r>
          </w:p>
          <w:p w:rsidR="00856632" w:rsidRPr="00E67E2E" w:rsidRDefault="00856632" w:rsidP="00856632">
            <w:pPr>
              <w:spacing w:after="0" w:line="240" w:lineRule="auto"/>
              <w:jc w:val="both"/>
              <w:rPr>
                <w:rFonts w:ascii="Verdana" w:eastAsia="Times New Roman" w:hAnsi="Verdana"/>
                <w:color w:val="000000"/>
                <w:sz w:val="16"/>
                <w:szCs w:val="16"/>
                <w:lang w:eastAsia="es-CO"/>
              </w:rPr>
            </w:pPr>
          </w:p>
        </w:tc>
      </w:tr>
      <w:tr w:rsidR="00DA252E" w:rsidRPr="00E67E2E" w:rsidTr="00856632">
        <w:trPr>
          <w:trHeight w:val="288"/>
          <w:jc w:val="center"/>
        </w:trPr>
        <w:tc>
          <w:tcPr>
            <w:tcW w:w="2607" w:type="pct"/>
            <w:shd w:val="clear" w:color="B8CCE4" w:fill="B8CCE4"/>
            <w:noWrap/>
            <w:vAlign w:val="center"/>
            <w:hideMark/>
          </w:tcPr>
          <w:p w:rsidR="00DA252E" w:rsidRPr="00E67E2E" w:rsidRDefault="00DA252E" w:rsidP="00856632">
            <w:pPr>
              <w:spacing w:after="0" w:line="240" w:lineRule="auto"/>
              <w:jc w:val="both"/>
              <w:rPr>
                <w:rFonts w:ascii="Verdana" w:eastAsia="Times New Roman" w:hAnsi="Verdana"/>
                <w:color w:val="000000"/>
                <w:sz w:val="16"/>
                <w:szCs w:val="16"/>
                <w:lang w:eastAsia="es-CO"/>
              </w:rPr>
            </w:pPr>
          </w:p>
        </w:tc>
        <w:tc>
          <w:tcPr>
            <w:tcW w:w="2393" w:type="pct"/>
            <w:shd w:val="clear" w:color="B8CCE4" w:fill="B8CCE4"/>
            <w:noWrap/>
            <w:vAlign w:val="center"/>
            <w:hideMark/>
          </w:tcPr>
          <w:p w:rsidR="00DA252E" w:rsidRDefault="00DA252E" w:rsidP="00856632">
            <w:pPr>
              <w:spacing w:after="0" w:line="240" w:lineRule="auto"/>
              <w:jc w:val="both"/>
              <w:rPr>
                <w:rFonts w:ascii="Verdana" w:eastAsia="Times New Roman" w:hAnsi="Verdana"/>
                <w:color w:val="000000"/>
                <w:sz w:val="16"/>
                <w:szCs w:val="16"/>
                <w:lang w:eastAsia="es-CO"/>
              </w:rPr>
            </w:pPr>
            <w:r w:rsidRPr="00E67E2E">
              <w:rPr>
                <w:rFonts w:ascii="Verdana" w:eastAsia="Times New Roman" w:hAnsi="Verdana"/>
                <w:color w:val="000000"/>
                <w:sz w:val="16"/>
                <w:szCs w:val="16"/>
                <w:lang w:eastAsia="es-CO"/>
              </w:rPr>
              <w:t>CAPITALIZACION MICROEMPRESARIAL</w:t>
            </w:r>
          </w:p>
          <w:p w:rsidR="00856632" w:rsidRPr="00E67E2E" w:rsidRDefault="00856632" w:rsidP="00856632">
            <w:pPr>
              <w:spacing w:after="0" w:line="240" w:lineRule="auto"/>
              <w:jc w:val="both"/>
              <w:rPr>
                <w:rFonts w:ascii="Verdana" w:eastAsia="Times New Roman" w:hAnsi="Verdana"/>
                <w:color w:val="000000"/>
                <w:sz w:val="16"/>
                <w:szCs w:val="16"/>
                <w:lang w:eastAsia="es-CO"/>
              </w:rPr>
            </w:pPr>
          </w:p>
        </w:tc>
      </w:tr>
      <w:tr w:rsidR="00DA252E" w:rsidRPr="00E67E2E" w:rsidTr="00856632">
        <w:trPr>
          <w:trHeight w:val="288"/>
          <w:jc w:val="center"/>
        </w:trPr>
        <w:tc>
          <w:tcPr>
            <w:tcW w:w="2607" w:type="pct"/>
            <w:shd w:val="clear" w:color="DBE5F1" w:fill="DBE5F1"/>
            <w:noWrap/>
            <w:vAlign w:val="center"/>
            <w:hideMark/>
          </w:tcPr>
          <w:p w:rsidR="00DA252E" w:rsidRDefault="00DA252E" w:rsidP="00856632">
            <w:pPr>
              <w:spacing w:after="0" w:line="240" w:lineRule="auto"/>
              <w:jc w:val="both"/>
              <w:rPr>
                <w:rFonts w:ascii="Verdana" w:eastAsia="Times New Roman" w:hAnsi="Verdana"/>
                <w:color w:val="000000"/>
                <w:sz w:val="16"/>
                <w:szCs w:val="16"/>
                <w:lang w:eastAsia="es-CO"/>
              </w:rPr>
            </w:pPr>
            <w:r w:rsidRPr="00E67E2E">
              <w:rPr>
                <w:rFonts w:ascii="Verdana" w:eastAsia="Times New Roman" w:hAnsi="Verdana"/>
                <w:color w:val="000000"/>
                <w:sz w:val="16"/>
                <w:szCs w:val="16"/>
                <w:lang w:eastAsia="es-CO"/>
              </w:rPr>
              <w:t>ENFOQUE DIFERENCIAL</w:t>
            </w:r>
          </w:p>
          <w:p w:rsidR="00856632" w:rsidRPr="00E67E2E" w:rsidRDefault="00856632" w:rsidP="00856632">
            <w:pPr>
              <w:spacing w:after="0" w:line="240" w:lineRule="auto"/>
              <w:jc w:val="both"/>
              <w:rPr>
                <w:rFonts w:ascii="Verdana" w:eastAsia="Times New Roman" w:hAnsi="Verdana"/>
                <w:color w:val="000000"/>
                <w:sz w:val="16"/>
                <w:szCs w:val="16"/>
                <w:lang w:eastAsia="es-CO"/>
              </w:rPr>
            </w:pPr>
          </w:p>
        </w:tc>
        <w:tc>
          <w:tcPr>
            <w:tcW w:w="2393" w:type="pct"/>
            <w:shd w:val="clear" w:color="DBE5F1" w:fill="DBE5F1"/>
            <w:noWrap/>
            <w:vAlign w:val="center"/>
            <w:hideMark/>
          </w:tcPr>
          <w:p w:rsidR="00DA252E" w:rsidRDefault="00DA252E" w:rsidP="00856632">
            <w:pPr>
              <w:spacing w:after="0" w:line="240" w:lineRule="auto"/>
              <w:jc w:val="both"/>
              <w:rPr>
                <w:rFonts w:ascii="Verdana" w:eastAsia="Times New Roman" w:hAnsi="Verdana"/>
                <w:color w:val="000000"/>
                <w:sz w:val="16"/>
                <w:szCs w:val="16"/>
                <w:lang w:eastAsia="es-CO"/>
              </w:rPr>
            </w:pPr>
            <w:r w:rsidRPr="00E67E2E">
              <w:rPr>
                <w:rFonts w:ascii="Verdana" w:eastAsia="Times New Roman" w:hAnsi="Verdana"/>
                <w:color w:val="000000"/>
                <w:sz w:val="16"/>
                <w:szCs w:val="16"/>
                <w:lang w:eastAsia="es-CO"/>
              </w:rPr>
              <w:t>MUJERES AHORRADORAS EN ACCION</w:t>
            </w:r>
          </w:p>
          <w:p w:rsidR="00856632" w:rsidRPr="00E67E2E" w:rsidRDefault="00856632" w:rsidP="00856632">
            <w:pPr>
              <w:spacing w:after="0" w:line="240" w:lineRule="auto"/>
              <w:jc w:val="both"/>
              <w:rPr>
                <w:rFonts w:ascii="Verdana" w:eastAsia="Times New Roman" w:hAnsi="Verdana"/>
                <w:color w:val="000000"/>
                <w:sz w:val="16"/>
                <w:szCs w:val="16"/>
                <w:lang w:eastAsia="es-CO"/>
              </w:rPr>
            </w:pPr>
          </w:p>
        </w:tc>
      </w:tr>
      <w:tr w:rsidR="00DA252E" w:rsidRPr="00E67E2E" w:rsidTr="00856632">
        <w:trPr>
          <w:trHeight w:val="288"/>
          <w:jc w:val="center"/>
        </w:trPr>
        <w:tc>
          <w:tcPr>
            <w:tcW w:w="2607" w:type="pct"/>
            <w:shd w:val="clear" w:color="B8CCE4" w:fill="B8CCE4"/>
            <w:noWrap/>
            <w:vAlign w:val="center"/>
            <w:hideMark/>
          </w:tcPr>
          <w:p w:rsidR="00DA252E" w:rsidRPr="00E67E2E" w:rsidRDefault="00DA252E" w:rsidP="00856632">
            <w:pPr>
              <w:spacing w:after="0" w:line="240" w:lineRule="auto"/>
              <w:jc w:val="both"/>
              <w:rPr>
                <w:rFonts w:ascii="Verdana" w:eastAsia="Times New Roman" w:hAnsi="Verdana"/>
                <w:color w:val="000000"/>
                <w:sz w:val="16"/>
                <w:szCs w:val="16"/>
                <w:lang w:eastAsia="es-CO"/>
              </w:rPr>
            </w:pPr>
          </w:p>
        </w:tc>
        <w:tc>
          <w:tcPr>
            <w:tcW w:w="2393" w:type="pct"/>
            <w:shd w:val="clear" w:color="B8CCE4" w:fill="B8CCE4"/>
            <w:noWrap/>
            <w:vAlign w:val="center"/>
            <w:hideMark/>
          </w:tcPr>
          <w:p w:rsidR="00DA252E" w:rsidRDefault="00DA252E" w:rsidP="00856632">
            <w:pPr>
              <w:spacing w:after="0" w:line="240" w:lineRule="auto"/>
              <w:jc w:val="both"/>
              <w:rPr>
                <w:rFonts w:ascii="Verdana" w:eastAsia="Times New Roman" w:hAnsi="Verdana"/>
                <w:color w:val="000000"/>
                <w:sz w:val="16"/>
                <w:szCs w:val="16"/>
                <w:lang w:eastAsia="es-CO"/>
              </w:rPr>
            </w:pPr>
            <w:r w:rsidRPr="00E67E2E">
              <w:rPr>
                <w:rFonts w:ascii="Verdana" w:eastAsia="Times New Roman" w:hAnsi="Verdana"/>
                <w:color w:val="000000"/>
                <w:sz w:val="16"/>
                <w:szCs w:val="16"/>
                <w:lang w:eastAsia="es-CO"/>
              </w:rPr>
              <w:t>ENFOQUE DIFERENCIAL ETNICO</w:t>
            </w:r>
          </w:p>
          <w:p w:rsidR="00856632" w:rsidRPr="00E67E2E" w:rsidRDefault="00856632" w:rsidP="00856632">
            <w:pPr>
              <w:spacing w:after="0" w:line="240" w:lineRule="auto"/>
              <w:jc w:val="both"/>
              <w:rPr>
                <w:rFonts w:ascii="Verdana" w:eastAsia="Times New Roman" w:hAnsi="Verdana"/>
                <w:color w:val="000000"/>
                <w:sz w:val="16"/>
                <w:szCs w:val="16"/>
                <w:lang w:eastAsia="es-CO"/>
              </w:rPr>
            </w:pPr>
          </w:p>
        </w:tc>
      </w:tr>
      <w:tr w:rsidR="00DA252E" w:rsidRPr="00E67E2E" w:rsidTr="00856632">
        <w:trPr>
          <w:trHeight w:val="288"/>
          <w:jc w:val="center"/>
        </w:trPr>
        <w:tc>
          <w:tcPr>
            <w:tcW w:w="5000" w:type="pct"/>
            <w:gridSpan w:val="2"/>
            <w:shd w:val="clear" w:color="DBE5F1" w:fill="DBE5F1"/>
            <w:noWrap/>
            <w:vAlign w:val="center"/>
            <w:hideMark/>
          </w:tcPr>
          <w:p w:rsidR="00DA252E" w:rsidRDefault="00DA252E" w:rsidP="00DA252E">
            <w:pPr>
              <w:spacing w:after="0" w:line="240" w:lineRule="auto"/>
              <w:jc w:val="center"/>
              <w:rPr>
                <w:rFonts w:ascii="Verdana" w:eastAsia="Times New Roman" w:hAnsi="Verdana"/>
                <w:color w:val="000000"/>
                <w:sz w:val="16"/>
                <w:szCs w:val="16"/>
                <w:lang w:eastAsia="es-CO"/>
              </w:rPr>
            </w:pPr>
            <w:r w:rsidRPr="00E67E2E">
              <w:rPr>
                <w:rFonts w:ascii="Verdana" w:eastAsia="Times New Roman" w:hAnsi="Verdana"/>
                <w:color w:val="000000"/>
                <w:sz w:val="16"/>
                <w:szCs w:val="16"/>
                <w:lang w:eastAsia="es-CO"/>
              </w:rPr>
              <w:t>OBSERVARIOS REGIONALES DE MERCADO DE TRABAJO</w:t>
            </w:r>
          </w:p>
          <w:p w:rsidR="00856632" w:rsidRPr="00E67E2E" w:rsidRDefault="00856632" w:rsidP="00DA252E">
            <w:pPr>
              <w:spacing w:after="0" w:line="240" w:lineRule="auto"/>
              <w:jc w:val="center"/>
              <w:rPr>
                <w:rFonts w:ascii="Verdana" w:eastAsia="Times New Roman" w:hAnsi="Verdana"/>
                <w:color w:val="000000"/>
                <w:sz w:val="16"/>
                <w:szCs w:val="16"/>
                <w:lang w:eastAsia="es-CO"/>
              </w:rPr>
            </w:pPr>
          </w:p>
        </w:tc>
      </w:tr>
    </w:tbl>
    <w:p w:rsidR="00DA252E" w:rsidRDefault="00DA252E" w:rsidP="00DA252E">
      <w:pPr>
        <w:spacing w:after="0" w:line="240" w:lineRule="auto"/>
        <w:jc w:val="both"/>
        <w:rPr>
          <w:rFonts w:ascii="Verdana" w:hAnsi="Verdana"/>
          <w:b/>
          <w:color w:val="548DD4" w:themeColor="text2" w:themeTint="99"/>
          <w:sz w:val="24"/>
          <w:szCs w:val="24"/>
        </w:rPr>
      </w:pPr>
    </w:p>
    <w:p w:rsidR="00DA252E" w:rsidRDefault="00DA252E" w:rsidP="00DA252E">
      <w:pPr>
        <w:spacing w:after="0" w:line="240" w:lineRule="auto"/>
        <w:jc w:val="both"/>
        <w:rPr>
          <w:rFonts w:ascii="Verdana" w:hAnsi="Verdana"/>
          <w:b/>
          <w:color w:val="548DD4" w:themeColor="text2" w:themeTint="99"/>
          <w:sz w:val="24"/>
          <w:szCs w:val="24"/>
        </w:rPr>
      </w:pPr>
    </w:p>
    <w:p w:rsidR="00DA252E" w:rsidRDefault="00DA252E" w:rsidP="00DA252E">
      <w:pPr>
        <w:spacing w:after="0" w:line="240" w:lineRule="auto"/>
        <w:jc w:val="both"/>
        <w:rPr>
          <w:rFonts w:ascii="Verdana" w:hAnsi="Verdana"/>
          <w:b/>
          <w:color w:val="548DD4" w:themeColor="text2" w:themeTint="99"/>
          <w:sz w:val="24"/>
          <w:szCs w:val="24"/>
        </w:rPr>
      </w:pPr>
      <w:r w:rsidRPr="00B36FCF">
        <w:rPr>
          <w:rFonts w:ascii="Verdana" w:hAnsi="Verdana"/>
          <w:b/>
          <w:color w:val="548DD4" w:themeColor="text2" w:themeTint="99"/>
          <w:sz w:val="24"/>
          <w:szCs w:val="24"/>
        </w:rPr>
        <w:t>Líneas de Acción</w:t>
      </w:r>
    </w:p>
    <w:p w:rsidR="00DA252E" w:rsidRPr="00B36FCF" w:rsidRDefault="00DA252E" w:rsidP="00DA252E">
      <w:pPr>
        <w:spacing w:after="0" w:line="240" w:lineRule="auto"/>
        <w:jc w:val="both"/>
        <w:rPr>
          <w:rFonts w:ascii="Verdana" w:hAnsi="Verdana"/>
          <w:b/>
          <w:color w:val="548DD4" w:themeColor="text2" w:themeTint="99"/>
          <w:sz w:val="24"/>
          <w:szCs w:val="24"/>
        </w:rPr>
      </w:pPr>
    </w:p>
    <w:p w:rsidR="00DA252E" w:rsidRPr="00856632" w:rsidRDefault="00DA252E" w:rsidP="00FF784D">
      <w:pPr>
        <w:pStyle w:val="Prrafodelista"/>
        <w:numPr>
          <w:ilvl w:val="0"/>
          <w:numId w:val="30"/>
        </w:numPr>
        <w:spacing w:after="0" w:line="240" w:lineRule="auto"/>
        <w:ind w:left="709" w:hanging="283"/>
        <w:jc w:val="both"/>
        <w:rPr>
          <w:rFonts w:ascii="Verdana" w:hAnsi="Verdana"/>
          <w:sz w:val="24"/>
          <w:szCs w:val="24"/>
        </w:rPr>
      </w:pPr>
      <w:r w:rsidRPr="00856632">
        <w:rPr>
          <w:rFonts w:ascii="Verdana" w:hAnsi="Verdana"/>
          <w:sz w:val="24"/>
          <w:szCs w:val="24"/>
        </w:rPr>
        <w:t>Con la ventanilla Única, el DPS facilita la inserción laboral y productiva de la población en situación de pobreza extrema, vulnerabilidad y victimas del desplazamiento forzado por la violencia, ampliando sus oportunidades para el desarrollo de capacidades, que favorezcan el acceso y acumulación de capital humano, social y económico.</w:t>
      </w:r>
    </w:p>
    <w:p w:rsidR="00DA252E" w:rsidRPr="00856632" w:rsidRDefault="00DA252E" w:rsidP="00FF784D">
      <w:pPr>
        <w:pStyle w:val="Prrafodelista"/>
        <w:numPr>
          <w:ilvl w:val="0"/>
          <w:numId w:val="30"/>
        </w:numPr>
        <w:spacing w:after="0" w:line="240" w:lineRule="auto"/>
        <w:ind w:left="709" w:hanging="283"/>
        <w:jc w:val="both"/>
        <w:rPr>
          <w:rFonts w:ascii="Verdana" w:hAnsi="Verdana"/>
          <w:sz w:val="24"/>
          <w:szCs w:val="24"/>
        </w:rPr>
      </w:pPr>
      <w:r w:rsidRPr="00856632">
        <w:rPr>
          <w:rFonts w:ascii="Verdana" w:hAnsi="Verdana"/>
          <w:sz w:val="24"/>
          <w:szCs w:val="24"/>
        </w:rPr>
        <w:lastRenderedPageBreak/>
        <w:t>Con el componente Habilidades Socio Emocionales se fortalecen estas habilidades en la población vulnerable y/o en situación de desplazamiento. Así mismo se socializan temáticas para la empleabilidad o el emprendimiento.</w:t>
      </w:r>
    </w:p>
    <w:p w:rsidR="00DA252E" w:rsidRPr="00856632" w:rsidRDefault="00DA252E" w:rsidP="00FF784D">
      <w:pPr>
        <w:pStyle w:val="Prrafodelista"/>
        <w:numPr>
          <w:ilvl w:val="0"/>
          <w:numId w:val="30"/>
        </w:numPr>
        <w:spacing w:after="0" w:line="240" w:lineRule="auto"/>
        <w:ind w:left="709" w:hanging="283"/>
        <w:jc w:val="both"/>
        <w:rPr>
          <w:rFonts w:ascii="Verdana" w:hAnsi="Verdana" w:cs="Arial"/>
          <w:sz w:val="24"/>
          <w:szCs w:val="24"/>
        </w:rPr>
      </w:pPr>
      <w:r w:rsidRPr="00856632">
        <w:rPr>
          <w:rFonts w:ascii="Verdana" w:hAnsi="Verdana" w:cs="Arial"/>
          <w:sz w:val="24"/>
          <w:szCs w:val="24"/>
        </w:rPr>
        <w:t>El Incentivo a la Capacitación para el Empleo mejora las capacidades para la empleabilidad de la población sujeto de atención del DPS,  previa identificación de la demanda del mercado de trabajo, formación a la medida y entrega de un incentivo económico.</w:t>
      </w:r>
    </w:p>
    <w:p w:rsidR="00DA252E" w:rsidRPr="00856632" w:rsidRDefault="00DA252E" w:rsidP="00FF784D">
      <w:pPr>
        <w:pStyle w:val="Default"/>
        <w:numPr>
          <w:ilvl w:val="0"/>
          <w:numId w:val="30"/>
        </w:numPr>
        <w:ind w:left="709" w:hanging="283"/>
        <w:jc w:val="both"/>
        <w:rPr>
          <w:rFonts w:ascii="Verdana" w:hAnsi="Verdana"/>
          <w:color w:val="auto"/>
        </w:rPr>
      </w:pPr>
      <w:r w:rsidRPr="00856632">
        <w:rPr>
          <w:rFonts w:ascii="Verdana" w:hAnsi="Verdana"/>
          <w:color w:val="auto"/>
        </w:rPr>
        <w:t xml:space="preserve">La Ruta de Ingresos y Empresarismo fortalece emprendimientos en desarrollo mediante estrategias dirigidas a la capitalización y desarrollo de las capacidades productivas y empresariales para la generación de ingresos autónomos y sostenibles, acorde con su perfil socio productivo, su encadenamiento comercial y contexto territorial, contribuyendo con ello a la estabilización socioeconómica de la población participante. </w:t>
      </w:r>
    </w:p>
    <w:p w:rsidR="00DA252E" w:rsidRPr="00856632" w:rsidRDefault="00DA252E" w:rsidP="00FF784D">
      <w:pPr>
        <w:pStyle w:val="Default"/>
        <w:numPr>
          <w:ilvl w:val="0"/>
          <w:numId w:val="30"/>
        </w:numPr>
        <w:ind w:left="709" w:hanging="283"/>
        <w:jc w:val="both"/>
        <w:rPr>
          <w:rFonts w:ascii="Verdana" w:hAnsi="Verdana"/>
          <w:color w:val="auto"/>
        </w:rPr>
      </w:pPr>
      <w:r w:rsidRPr="00856632">
        <w:rPr>
          <w:rFonts w:ascii="Verdana" w:hAnsi="Verdana"/>
          <w:color w:val="auto"/>
        </w:rPr>
        <w:t xml:space="preserve">Posteriormente, el componente Capitalización crea condiciones propicias para el fortalecimiento de las organizaciones productivas conformadas por población en condición de vulnerabilidad, a través de la generación de ingresos, empleo e integración de las instancias locales que promueven el desarrollo competitivo de las regiones de intervención. </w:t>
      </w:r>
    </w:p>
    <w:p w:rsidR="00DA252E" w:rsidRPr="00856632" w:rsidRDefault="00DA252E" w:rsidP="00FF784D">
      <w:pPr>
        <w:pStyle w:val="Prrafodelista"/>
        <w:numPr>
          <w:ilvl w:val="0"/>
          <w:numId w:val="30"/>
        </w:numPr>
        <w:spacing w:after="0" w:line="240" w:lineRule="auto"/>
        <w:ind w:left="709" w:hanging="283"/>
        <w:jc w:val="both"/>
        <w:rPr>
          <w:rFonts w:ascii="Verdana" w:hAnsi="Verdana"/>
          <w:color w:val="000000"/>
          <w:sz w:val="24"/>
          <w:szCs w:val="24"/>
        </w:rPr>
      </w:pPr>
      <w:r w:rsidRPr="00856632">
        <w:rPr>
          <w:rFonts w:ascii="Verdana" w:hAnsi="Verdana"/>
          <w:sz w:val="24"/>
          <w:szCs w:val="24"/>
          <w:lang w:val="es-ES"/>
        </w:rPr>
        <w:t xml:space="preserve">El componente </w:t>
      </w:r>
      <w:r w:rsidRPr="00856632">
        <w:rPr>
          <w:rFonts w:ascii="Verdana" w:hAnsi="Verdana"/>
          <w:sz w:val="24"/>
          <w:szCs w:val="24"/>
        </w:rPr>
        <w:t xml:space="preserve">Mujeres Ahorradoras en Acción </w:t>
      </w:r>
      <w:r w:rsidRPr="00856632">
        <w:rPr>
          <w:rFonts w:ascii="Verdana" w:hAnsi="Verdana"/>
          <w:color w:val="000000"/>
          <w:sz w:val="24"/>
          <w:szCs w:val="24"/>
        </w:rPr>
        <w:t>contribuye a la superación de la pobreza de las mujeres a  través del  desarrollo y/o fortalecimiento de capacidades socioempresariales con enfoque de género, el empoderamiento, la implementación de esquemas de inclusión financiera y cultura del ahorro, la capitalización de emprendimientos productivos y la asociatividad.</w:t>
      </w:r>
    </w:p>
    <w:p w:rsidR="00DA252E" w:rsidRPr="00856632" w:rsidRDefault="00DA252E" w:rsidP="00FF784D">
      <w:pPr>
        <w:pStyle w:val="Prrafodelista"/>
        <w:numPr>
          <w:ilvl w:val="0"/>
          <w:numId w:val="30"/>
        </w:numPr>
        <w:spacing w:after="0" w:line="240" w:lineRule="auto"/>
        <w:ind w:left="709" w:hanging="283"/>
        <w:jc w:val="both"/>
        <w:rPr>
          <w:rFonts w:ascii="Verdana" w:hAnsi="Verdana"/>
          <w:sz w:val="24"/>
          <w:szCs w:val="24"/>
        </w:rPr>
      </w:pPr>
      <w:r w:rsidRPr="00856632">
        <w:rPr>
          <w:rFonts w:ascii="Verdana" w:hAnsi="Verdana"/>
          <w:sz w:val="24"/>
          <w:szCs w:val="24"/>
        </w:rPr>
        <w:t>En materia de Enfoque Diferencial Étnico el DPS cuenta con el componente  IRACA, a través del cual se realiza una intervención integral con enfoque diferencial por medio de proyectos de seguridad alimentaria y de generación de ingresos, a través de un acompañamiento social y técnico que permita empoderar a las comunidades en su propio desarrollo.</w:t>
      </w:r>
    </w:p>
    <w:p w:rsidR="00DA252E" w:rsidRPr="00856632" w:rsidRDefault="00DA252E" w:rsidP="00FF784D">
      <w:pPr>
        <w:pStyle w:val="Prrafodelista"/>
        <w:numPr>
          <w:ilvl w:val="0"/>
          <w:numId w:val="30"/>
        </w:numPr>
        <w:spacing w:after="0" w:line="240" w:lineRule="auto"/>
        <w:ind w:left="709" w:hanging="283"/>
        <w:jc w:val="both"/>
        <w:rPr>
          <w:rFonts w:ascii="Verdana" w:hAnsi="Verdana"/>
          <w:sz w:val="24"/>
          <w:szCs w:val="24"/>
        </w:rPr>
      </w:pPr>
      <w:r w:rsidRPr="00856632">
        <w:rPr>
          <w:rFonts w:ascii="Verdana" w:hAnsi="Verdana"/>
          <w:sz w:val="24"/>
          <w:szCs w:val="24"/>
        </w:rPr>
        <w:t>Finalmente el componente Observatorios del Mercado de Trabajo suministra información estratégica para la toma de decisiones referentes al mercado laboral en las regiones.</w:t>
      </w:r>
    </w:p>
    <w:p w:rsidR="00DA252E" w:rsidRDefault="00DA252E" w:rsidP="00DA252E">
      <w:pPr>
        <w:spacing w:after="0" w:line="240" w:lineRule="auto"/>
        <w:jc w:val="both"/>
        <w:rPr>
          <w:rFonts w:ascii="Verdana" w:hAnsi="Verdana"/>
          <w:b/>
          <w:color w:val="548DD4" w:themeColor="text2" w:themeTint="99"/>
          <w:sz w:val="24"/>
          <w:szCs w:val="24"/>
        </w:rPr>
      </w:pPr>
    </w:p>
    <w:p w:rsidR="00DA252E" w:rsidRDefault="00DA252E" w:rsidP="00DA252E">
      <w:pPr>
        <w:spacing w:after="0" w:line="240" w:lineRule="auto"/>
        <w:jc w:val="both"/>
        <w:rPr>
          <w:rFonts w:ascii="Verdana" w:hAnsi="Verdana"/>
          <w:b/>
          <w:color w:val="548DD4" w:themeColor="text2" w:themeTint="99"/>
          <w:sz w:val="24"/>
          <w:szCs w:val="24"/>
        </w:rPr>
      </w:pPr>
    </w:p>
    <w:p w:rsidR="00DA252E" w:rsidRDefault="00DA252E" w:rsidP="00DA252E">
      <w:pPr>
        <w:spacing w:after="0" w:line="240" w:lineRule="auto"/>
        <w:jc w:val="both"/>
        <w:rPr>
          <w:rFonts w:ascii="Verdana" w:hAnsi="Verdana"/>
          <w:b/>
          <w:color w:val="548DD4" w:themeColor="text2" w:themeTint="99"/>
          <w:sz w:val="24"/>
          <w:szCs w:val="24"/>
        </w:rPr>
      </w:pPr>
      <w:r w:rsidRPr="00B36FCF">
        <w:rPr>
          <w:rFonts w:ascii="Verdana" w:hAnsi="Verdana"/>
          <w:b/>
          <w:color w:val="548DD4" w:themeColor="text2" w:themeTint="99"/>
          <w:sz w:val="24"/>
          <w:szCs w:val="24"/>
        </w:rPr>
        <w:t>Cumplimiento Metas</w:t>
      </w:r>
    </w:p>
    <w:p w:rsidR="00DA252E" w:rsidRDefault="00DA252E" w:rsidP="00DA252E">
      <w:pPr>
        <w:spacing w:after="0" w:line="240" w:lineRule="auto"/>
        <w:jc w:val="both"/>
        <w:rPr>
          <w:rFonts w:ascii="Verdana" w:hAnsi="Verdana"/>
          <w:b/>
          <w:sz w:val="24"/>
          <w:szCs w:val="24"/>
        </w:rPr>
      </w:pP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tblPr>
      <w:tblGrid>
        <w:gridCol w:w="4742"/>
        <w:gridCol w:w="1423"/>
        <w:gridCol w:w="1737"/>
        <w:gridCol w:w="2210"/>
      </w:tblGrid>
      <w:tr w:rsidR="00DA252E" w:rsidRPr="00520297" w:rsidTr="000E611D">
        <w:trPr>
          <w:trHeight w:val="363"/>
        </w:trPr>
        <w:tc>
          <w:tcPr>
            <w:tcW w:w="2344" w:type="pct"/>
            <w:shd w:val="clear" w:color="4F81BD" w:fill="4F81BD"/>
            <w:noWrap/>
            <w:vAlign w:val="center"/>
            <w:hideMark/>
          </w:tcPr>
          <w:p w:rsidR="00DA252E" w:rsidRPr="00520297" w:rsidRDefault="00DA252E" w:rsidP="00DA252E">
            <w:pPr>
              <w:spacing w:after="0" w:line="240" w:lineRule="auto"/>
              <w:jc w:val="center"/>
              <w:rPr>
                <w:rFonts w:ascii="Verdana" w:eastAsia="Times New Roman" w:hAnsi="Verdana"/>
                <w:b/>
                <w:bCs/>
                <w:color w:val="FFFFFF"/>
                <w:sz w:val="16"/>
                <w:szCs w:val="16"/>
                <w:lang w:eastAsia="es-CO"/>
              </w:rPr>
            </w:pPr>
            <w:r w:rsidRPr="00520297">
              <w:rPr>
                <w:rFonts w:ascii="Verdana" w:eastAsia="Times New Roman" w:hAnsi="Verdana"/>
                <w:b/>
                <w:bCs/>
                <w:color w:val="FFFFFF"/>
                <w:sz w:val="16"/>
                <w:szCs w:val="16"/>
                <w:lang w:eastAsia="es-CO"/>
              </w:rPr>
              <w:t>INTERVENCION</w:t>
            </w:r>
          </w:p>
        </w:tc>
        <w:tc>
          <w:tcPr>
            <w:tcW w:w="703" w:type="pct"/>
            <w:shd w:val="clear" w:color="4F81BD" w:fill="4F81BD"/>
            <w:vAlign w:val="center"/>
          </w:tcPr>
          <w:p w:rsidR="00DA252E" w:rsidRPr="00520297" w:rsidRDefault="00DA252E" w:rsidP="00DA252E">
            <w:pPr>
              <w:spacing w:after="0" w:line="240" w:lineRule="auto"/>
              <w:jc w:val="center"/>
              <w:rPr>
                <w:rFonts w:ascii="Verdana" w:eastAsia="Times New Roman" w:hAnsi="Verdana"/>
                <w:b/>
                <w:bCs/>
                <w:color w:val="FFFFFF"/>
                <w:sz w:val="16"/>
                <w:szCs w:val="16"/>
                <w:lang w:eastAsia="es-CO"/>
              </w:rPr>
            </w:pPr>
            <w:r>
              <w:rPr>
                <w:rFonts w:ascii="Verdana" w:eastAsia="Times New Roman" w:hAnsi="Verdana"/>
                <w:b/>
                <w:bCs/>
                <w:color w:val="FFFFFF"/>
                <w:sz w:val="16"/>
                <w:szCs w:val="16"/>
                <w:lang w:eastAsia="es-CO"/>
              </w:rPr>
              <w:t>META 2014</w:t>
            </w:r>
          </w:p>
        </w:tc>
        <w:tc>
          <w:tcPr>
            <w:tcW w:w="859" w:type="pct"/>
            <w:shd w:val="clear" w:color="4F81BD" w:fill="4F81BD"/>
            <w:noWrap/>
            <w:vAlign w:val="center"/>
            <w:hideMark/>
          </w:tcPr>
          <w:p w:rsidR="00DA252E" w:rsidRPr="00520297" w:rsidRDefault="00DA252E" w:rsidP="00DA252E">
            <w:pPr>
              <w:spacing w:after="0" w:line="240" w:lineRule="auto"/>
              <w:jc w:val="center"/>
              <w:rPr>
                <w:rFonts w:ascii="Verdana" w:eastAsia="Times New Roman" w:hAnsi="Verdana"/>
                <w:b/>
                <w:bCs/>
                <w:color w:val="FFFFFF"/>
                <w:sz w:val="16"/>
                <w:szCs w:val="16"/>
                <w:lang w:eastAsia="es-CO"/>
              </w:rPr>
            </w:pPr>
            <w:r w:rsidRPr="00520297">
              <w:rPr>
                <w:rFonts w:ascii="Verdana" w:eastAsia="Times New Roman" w:hAnsi="Verdana"/>
                <w:b/>
                <w:bCs/>
                <w:color w:val="FFFFFF"/>
                <w:sz w:val="16"/>
                <w:szCs w:val="16"/>
                <w:lang w:eastAsia="es-CO"/>
              </w:rPr>
              <w:t>ATENCI</w:t>
            </w:r>
            <w:r>
              <w:rPr>
                <w:rFonts w:ascii="Verdana" w:eastAsia="Times New Roman" w:hAnsi="Verdana"/>
                <w:b/>
                <w:bCs/>
                <w:color w:val="FFFFFF"/>
                <w:sz w:val="16"/>
                <w:szCs w:val="16"/>
                <w:lang w:eastAsia="es-CO"/>
              </w:rPr>
              <w:t>Ó</w:t>
            </w:r>
            <w:r w:rsidRPr="00520297">
              <w:rPr>
                <w:rFonts w:ascii="Verdana" w:eastAsia="Times New Roman" w:hAnsi="Verdana"/>
                <w:b/>
                <w:bCs/>
                <w:color w:val="FFFFFF"/>
                <w:sz w:val="16"/>
                <w:szCs w:val="16"/>
                <w:lang w:eastAsia="es-CO"/>
              </w:rPr>
              <w:t>N</w:t>
            </w:r>
          </w:p>
        </w:tc>
        <w:tc>
          <w:tcPr>
            <w:tcW w:w="1093" w:type="pct"/>
            <w:shd w:val="clear" w:color="4F81BD" w:fill="4F81BD"/>
            <w:noWrap/>
            <w:vAlign w:val="center"/>
            <w:hideMark/>
          </w:tcPr>
          <w:p w:rsidR="00DA252E" w:rsidRPr="00520297" w:rsidRDefault="00DA252E" w:rsidP="00DA252E">
            <w:pPr>
              <w:spacing w:after="0" w:line="240" w:lineRule="auto"/>
              <w:jc w:val="center"/>
              <w:rPr>
                <w:rFonts w:ascii="Verdana" w:eastAsia="Times New Roman" w:hAnsi="Verdana"/>
                <w:b/>
                <w:bCs/>
                <w:color w:val="FFFFFF"/>
                <w:sz w:val="16"/>
                <w:szCs w:val="16"/>
                <w:lang w:eastAsia="es-CO"/>
              </w:rPr>
            </w:pPr>
            <w:r w:rsidRPr="00520297">
              <w:rPr>
                <w:rFonts w:ascii="Verdana" w:eastAsia="Times New Roman" w:hAnsi="Verdana"/>
                <w:b/>
                <w:bCs/>
                <w:color w:val="FFFFFF"/>
                <w:sz w:val="16"/>
                <w:szCs w:val="16"/>
                <w:lang w:eastAsia="es-CO"/>
              </w:rPr>
              <w:t>UNIDAD DE MEDIDA</w:t>
            </w:r>
          </w:p>
        </w:tc>
      </w:tr>
      <w:tr w:rsidR="00DA252E" w:rsidRPr="00520297" w:rsidTr="000E611D">
        <w:trPr>
          <w:trHeight w:val="288"/>
        </w:trPr>
        <w:tc>
          <w:tcPr>
            <w:tcW w:w="2344" w:type="pct"/>
            <w:shd w:val="clear" w:color="B8CCE4" w:fill="B8CCE4"/>
            <w:noWrap/>
            <w:vAlign w:val="center"/>
            <w:hideMark/>
          </w:tcPr>
          <w:p w:rsidR="00DA252E" w:rsidRPr="00520297" w:rsidRDefault="00DA252E" w:rsidP="00FE71FF">
            <w:pPr>
              <w:spacing w:after="0" w:line="240" w:lineRule="auto"/>
              <w:rPr>
                <w:rFonts w:ascii="Verdana" w:eastAsia="Times New Roman" w:hAnsi="Verdana"/>
                <w:color w:val="000000"/>
                <w:sz w:val="16"/>
                <w:szCs w:val="16"/>
                <w:lang w:eastAsia="es-CO"/>
              </w:rPr>
            </w:pPr>
            <w:r w:rsidRPr="00520297">
              <w:rPr>
                <w:rFonts w:ascii="Verdana" w:eastAsia="Times New Roman" w:hAnsi="Verdana"/>
                <w:color w:val="000000"/>
                <w:sz w:val="16"/>
                <w:szCs w:val="16"/>
                <w:lang w:eastAsia="es-CO"/>
              </w:rPr>
              <w:t>VENTANILLA UNICA</w:t>
            </w:r>
          </w:p>
        </w:tc>
        <w:tc>
          <w:tcPr>
            <w:tcW w:w="703" w:type="pct"/>
            <w:shd w:val="clear" w:color="B8CCE4" w:fill="B8CCE4"/>
            <w:vAlign w:val="center"/>
          </w:tcPr>
          <w:p w:rsidR="00DA252E" w:rsidRPr="00827043" w:rsidRDefault="00DA252E" w:rsidP="00DA252E">
            <w:pPr>
              <w:spacing w:after="0" w:line="240" w:lineRule="auto"/>
              <w:jc w:val="right"/>
              <w:rPr>
                <w:rFonts w:ascii="Verdana" w:eastAsia="Times New Roman" w:hAnsi="Verdana"/>
                <w:color w:val="000000"/>
                <w:sz w:val="16"/>
                <w:szCs w:val="16"/>
                <w:lang w:eastAsia="es-CO"/>
              </w:rPr>
            </w:pPr>
            <w:r w:rsidRPr="00827043">
              <w:rPr>
                <w:rFonts w:ascii="Verdana" w:eastAsia="Times New Roman" w:hAnsi="Verdana"/>
                <w:color w:val="000000"/>
                <w:sz w:val="16"/>
                <w:szCs w:val="16"/>
                <w:lang w:eastAsia="es-CO"/>
              </w:rPr>
              <w:t>20.000</w:t>
            </w:r>
          </w:p>
        </w:tc>
        <w:tc>
          <w:tcPr>
            <w:tcW w:w="859" w:type="pct"/>
            <w:shd w:val="clear" w:color="B8CCE4" w:fill="B8CCE4"/>
            <w:noWrap/>
            <w:vAlign w:val="center"/>
            <w:hideMark/>
          </w:tcPr>
          <w:p w:rsidR="00DA252E" w:rsidRPr="00827043" w:rsidRDefault="00DA252E" w:rsidP="00DA252E">
            <w:pPr>
              <w:spacing w:after="0" w:line="240" w:lineRule="auto"/>
              <w:jc w:val="right"/>
              <w:rPr>
                <w:rFonts w:ascii="Verdana" w:eastAsia="Times New Roman" w:hAnsi="Verdana"/>
                <w:color w:val="000000"/>
                <w:sz w:val="16"/>
                <w:szCs w:val="16"/>
                <w:lang w:eastAsia="es-CO"/>
              </w:rPr>
            </w:pPr>
            <w:r w:rsidRPr="00827043">
              <w:rPr>
                <w:rFonts w:ascii="Verdana" w:eastAsia="Times New Roman" w:hAnsi="Verdana"/>
                <w:color w:val="000000"/>
                <w:sz w:val="16"/>
                <w:szCs w:val="16"/>
                <w:lang w:eastAsia="es-CO"/>
              </w:rPr>
              <w:t>21.550</w:t>
            </w:r>
          </w:p>
        </w:tc>
        <w:tc>
          <w:tcPr>
            <w:tcW w:w="1093" w:type="pct"/>
            <w:vMerge w:val="restart"/>
            <w:shd w:val="clear" w:color="B8CCE4" w:fill="B8CCE4"/>
            <w:noWrap/>
            <w:vAlign w:val="center"/>
            <w:hideMark/>
          </w:tcPr>
          <w:p w:rsidR="00DA252E" w:rsidRPr="00520297" w:rsidRDefault="00DA252E" w:rsidP="00DA252E">
            <w:pPr>
              <w:spacing w:after="0" w:line="240" w:lineRule="auto"/>
              <w:jc w:val="center"/>
              <w:rPr>
                <w:rFonts w:ascii="Verdana" w:eastAsia="Times New Roman" w:hAnsi="Verdana"/>
                <w:color w:val="000000"/>
                <w:sz w:val="16"/>
                <w:szCs w:val="16"/>
                <w:lang w:eastAsia="es-CO"/>
              </w:rPr>
            </w:pPr>
            <w:r w:rsidRPr="00520297">
              <w:rPr>
                <w:rFonts w:ascii="Verdana" w:eastAsia="Times New Roman" w:hAnsi="Verdana"/>
                <w:color w:val="000000"/>
                <w:sz w:val="16"/>
                <w:szCs w:val="16"/>
                <w:lang w:eastAsia="es-CO"/>
              </w:rPr>
              <w:t>PERSONAS</w:t>
            </w:r>
          </w:p>
        </w:tc>
      </w:tr>
      <w:tr w:rsidR="00DA252E" w:rsidRPr="00520297" w:rsidTr="000E611D">
        <w:trPr>
          <w:trHeight w:val="288"/>
        </w:trPr>
        <w:tc>
          <w:tcPr>
            <w:tcW w:w="2344" w:type="pct"/>
            <w:shd w:val="clear" w:color="DBE5F1" w:fill="DBE5F1"/>
            <w:noWrap/>
            <w:vAlign w:val="center"/>
            <w:hideMark/>
          </w:tcPr>
          <w:p w:rsidR="00DA252E" w:rsidRPr="00520297" w:rsidRDefault="00DA252E" w:rsidP="00FE71FF">
            <w:pPr>
              <w:spacing w:after="0" w:line="240" w:lineRule="auto"/>
              <w:rPr>
                <w:rFonts w:ascii="Verdana" w:eastAsia="Times New Roman" w:hAnsi="Verdana"/>
                <w:color w:val="000000"/>
                <w:sz w:val="16"/>
                <w:szCs w:val="16"/>
                <w:lang w:eastAsia="es-CO"/>
              </w:rPr>
            </w:pPr>
            <w:r w:rsidRPr="00520297">
              <w:rPr>
                <w:rFonts w:ascii="Verdana" w:eastAsia="Times New Roman" w:hAnsi="Verdana"/>
                <w:color w:val="000000"/>
                <w:sz w:val="16"/>
                <w:szCs w:val="16"/>
                <w:lang w:eastAsia="es-CO"/>
              </w:rPr>
              <w:lastRenderedPageBreak/>
              <w:t>INCENTIVO A LA CAPACITACION PARA EL EMPLEO</w:t>
            </w:r>
          </w:p>
        </w:tc>
        <w:tc>
          <w:tcPr>
            <w:tcW w:w="703" w:type="pct"/>
            <w:shd w:val="clear" w:color="DBE5F1" w:fill="DBE5F1"/>
            <w:vAlign w:val="center"/>
          </w:tcPr>
          <w:p w:rsidR="00DA252E" w:rsidRPr="00827043" w:rsidRDefault="00DA252E" w:rsidP="00DA252E">
            <w:pPr>
              <w:spacing w:after="0" w:line="240" w:lineRule="auto"/>
              <w:jc w:val="right"/>
              <w:rPr>
                <w:rFonts w:ascii="Verdana" w:eastAsia="Times New Roman" w:hAnsi="Verdana"/>
                <w:color w:val="000000"/>
                <w:sz w:val="16"/>
                <w:szCs w:val="16"/>
                <w:lang w:eastAsia="es-CO"/>
              </w:rPr>
            </w:pPr>
            <w:r w:rsidRPr="00827043">
              <w:rPr>
                <w:rFonts w:ascii="Verdana" w:eastAsia="Times New Roman" w:hAnsi="Verdana"/>
                <w:color w:val="000000"/>
                <w:sz w:val="16"/>
                <w:szCs w:val="16"/>
                <w:lang w:eastAsia="es-CO"/>
              </w:rPr>
              <w:t>4.000</w:t>
            </w:r>
          </w:p>
        </w:tc>
        <w:tc>
          <w:tcPr>
            <w:tcW w:w="859" w:type="pct"/>
            <w:shd w:val="clear" w:color="DBE5F1" w:fill="DBE5F1"/>
            <w:noWrap/>
            <w:vAlign w:val="center"/>
            <w:hideMark/>
          </w:tcPr>
          <w:p w:rsidR="00DA252E" w:rsidRPr="00827043" w:rsidRDefault="00DA252E" w:rsidP="00DA252E">
            <w:pPr>
              <w:spacing w:after="0" w:line="240" w:lineRule="auto"/>
              <w:jc w:val="right"/>
              <w:rPr>
                <w:rFonts w:ascii="Verdana" w:eastAsia="Times New Roman" w:hAnsi="Verdana"/>
                <w:color w:val="000000"/>
                <w:sz w:val="16"/>
                <w:szCs w:val="16"/>
                <w:lang w:eastAsia="es-CO"/>
              </w:rPr>
            </w:pPr>
            <w:r w:rsidRPr="00827043">
              <w:rPr>
                <w:rFonts w:ascii="Verdana" w:eastAsia="Times New Roman" w:hAnsi="Verdana"/>
                <w:color w:val="000000"/>
                <w:sz w:val="16"/>
                <w:szCs w:val="16"/>
                <w:lang w:eastAsia="es-CO"/>
              </w:rPr>
              <w:t>5.485</w:t>
            </w:r>
          </w:p>
        </w:tc>
        <w:tc>
          <w:tcPr>
            <w:tcW w:w="1093" w:type="pct"/>
            <w:vMerge/>
            <w:shd w:val="clear" w:color="DBE5F1" w:fill="DBE5F1"/>
            <w:noWrap/>
            <w:vAlign w:val="center"/>
            <w:hideMark/>
          </w:tcPr>
          <w:p w:rsidR="00DA252E" w:rsidRPr="00520297" w:rsidRDefault="00DA252E" w:rsidP="00DA252E">
            <w:pPr>
              <w:spacing w:after="0" w:line="240" w:lineRule="auto"/>
              <w:jc w:val="center"/>
              <w:rPr>
                <w:rFonts w:ascii="Verdana" w:eastAsia="Times New Roman" w:hAnsi="Verdana"/>
                <w:color w:val="000000"/>
                <w:sz w:val="16"/>
                <w:szCs w:val="16"/>
                <w:lang w:eastAsia="es-CO"/>
              </w:rPr>
            </w:pPr>
          </w:p>
        </w:tc>
      </w:tr>
      <w:tr w:rsidR="00DA252E" w:rsidRPr="00520297" w:rsidTr="000E611D">
        <w:trPr>
          <w:trHeight w:val="288"/>
        </w:trPr>
        <w:tc>
          <w:tcPr>
            <w:tcW w:w="2344" w:type="pct"/>
            <w:shd w:val="clear" w:color="B8CCE4" w:fill="B8CCE4"/>
            <w:noWrap/>
            <w:vAlign w:val="center"/>
            <w:hideMark/>
          </w:tcPr>
          <w:p w:rsidR="00DA252E" w:rsidRPr="00520297" w:rsidRDefault="00DA252E" w:rsidP="00FE71FF">
            <w:pPr>
              <w:spacing w:after="0" w:line="240" w:lineRule="auto"/>
              <w:rPr>
                <w:rFonts w:ascii="Verdana" w:eastAsia="Times New Roman" w:hAnsi="Verdana"/>
                <w:color w:val="000000"/>
                <w:sz w:val="16"/>
                <w:szCs w:val="16"/>
                <w:lang w:eastAsia="es-CO"/>
              </w:rPr>
            </w:pPr>
            <w:r w:rsidRPr="00520297">
              <w:rPr>
                <w:rFonts w:ascii="Verdana" w:eastAsia="Times New Roman" w:hAnsi="Verdana"/>
                <w:color w:val="000000"/>
                <w:sz w:val="16"/>
                <w:szCs w:val="16"/>
                <w:lang w:eastAsia="es-CO"/>
              </w:rPr>
              <w:t>HABILIDADES SOCIO EMOCIONALES</w:t>
            </w:r>
          </w:p>
        </w:tc>
        <w:tc>
          <w:tcPr>
            <w:tcW w:w="703" w:type="pct"/>
            <w:shd w:val="clear" w:color="B8CCE4" w:fill="B8CCE4"/>
            <w:vAlign w:val="center"/>
          </w:tcPr>
          <w:p w:rsidR="00DA252E" w:rsidRPr="00827043" w:rsidRDefault="00DA252E" w:rsidP="00DA252E">
            <w:pPr>
              <w:spacing w:after="0" w:line="240" w:lineRule="auto"/>
              <w:jc w:val="right"/>
              <w:rPr>
                <w:rFonts w:ascii="Verdana" w:eastAsia="Times New Roman" w:hAnsi="Verdana"/>
                <w:color w:val="000000"/>
                <w:sz w:val="16"/>
                <w:szCs w:val="16"/>
                <w:lang w:eastAsia="es-CO"/>
              </w:rPr>
            </w:pPr>
            <w:r w:rsidRPr="00827043">
              <w:rPr>
                <w:rFonts w:ascii="Verdana" w:eastAsia="Times New Roman" w:hAnsi="Verdana"/>
                <w:color w:val="000000"/>
                <w:sz w:val="16"/>
                <w:szCs w:val="16"/>
                <w:lang w:eastAsia="es-CO"/>
              </w:rPr>
              <w:t>20.000</w:t>
            </w:r>
          </w:p>
        </w:tc>
        <w:tc>
          <w:tcPr>
            <w:tcW w:w="859" w:type="pct"/>
            <w:shd w:val="clear" w:color="B8CCE4" w:fill="B8CCE4"/>
            <w:noWrap/>
            <w:vAlign w:val="center"/>
            <w:hideMark/>
          </w:tcPr>
          <w:p w:rsidR="00DA252E" w:rsidRPr="00827043" w:rsidRDefault="00DA252E" w:rsidP="00DA252E">
            <w:pPr>
              <w:spacing w:after="0" w:line="240" w:lineRule="auto"/>
              <w:jc w:val="right"/>
              <w:rPr>
                <w:rFonts w:ascii="Verdana" w:eastAsia="Times New Roman" w:hAnsi="Verdana"/>
                <w:color w:val="000000"/>
                <w:sz w:val="16"/>
                <w:szCs w:val="16"/>
                <w:lang w:eastAsia="es-CO"/>
              </w:rPr>
            </w:pPr>
            <w:r w:rsidRPr="00827043">
              <w:rPr>
                <w:rFonts w:ascii="Verdana" w:eastAsia="Times New Roman" w:hAnsi="Verdana"/>
                <w:color w:val="000000"/>
                <w:sz w:val="16"/>
                <w:szCs w:val="16"/>
                <w:lang w:eastAsia="es-CO"/>
              </w:rPr>
              <w:t>6.048</w:t>
            </w:r>
          </w:p>
        </w:tc>
        <w:tc>
          <w:tcPr>
            <w:tcW w:w="1093" w:type="pct"/>
            <w:vMerge/>
            <w:shd w:val="clear" w:color="B8CCE4" w:fill="B8CCE4"/>
            <w:noWrap/>
            <w:vAlign w:val="center"/>
            <w:hideMark/>
          </w:tcPr>
          <w:p w:rsidR="00DA252E" w:rsidRPr="00520297" w:rsidRDefault="00DA252E" w:rsidP="00DA252E">
            <w:pPr>
              <w:spacing w:after="0" w:line="240" w:lineRule="auto"/>
              <w:jc w:val="center"/>
              <w:rPr>
                <w:rFonts w:ascii="Verdana" w:eastAsia="Times New Roman" w:hAnsi="Verdana"/>
                <w:color w:val="000000"/>
                <w:sz w:val="16"/>
                <w:szCs w:val="16"/>
                <w:lang w:eastAsia="es-CO"/>
              </w:rPr>
            </w:pPr>
          </w:p>
        </w:tc>
      </w:tr>
      <w:tr w:rsidR="00DA252E" w:rsidRPr="00520297" w:rsidTr="000E611D">
        <w:trPr>
          <w:trHeight w:val="288"/>
        </w:trPr>
        <w:tc>
          <w:tcPr>
            <w:tcW w:w="2344" w:type="pct"/>
            <w:shd w:val="clear" w:color="DBE5F1" w:fill="DBE5F1"/>
            <w:noWrap/>
            <w:vAlign w:val="center"/>
            <w:hideMark/>
          </w:tcPr>
          <w:p w:rsidR="00DA252E" w:rsidRPr="00520297" w:rsidRDefault="00DA252E" w:rsidP="00FE71FF">
            <w:pPr>
              <w:spacing w:after="0" w:line="240" w:lineRule="auto"/>
              <w:rPr>
                <w:rFonts w:ascii="Verdana" w:eastAsia="Times New Roman" w:hAnsi="Verdana"/>
                <w:color w:val="000000"/>
                <w:sz w:val="16"/>
                <w:szCs w:val="16"/>
                <w:lang w:eastAsia="es-CO"/>
              </w:rPr>
            </w:pPr>
            <w:r w:rsidRPr="00520297">
              <w:rPr>
                <w:rFonts w:ascii="Verdana" w:eastAsia="Times New Roman" w:hAnsi="Verdana"/>
                <w:color w:val="000000"/>
                <w:sz w:val="16"/>
                <w:szCs w:val="16"/>
                <w:lang w:eastAsia="es-CO"/>
              </w:rPr>
              <w:t>RUTA DE INGRESOS Y EMPRESARISMO</w:t>
            </w:r>
          </w:p>
        </w:tc>
        <w:tc>
          <w:tcPr>
            <w:tcW w:w="703" w:type="pct"/>
            <w:shd w:val="clear" w:color="DBE5F1" w:fill="DBE5F1"/>
            <w:vAlign w:val="center"/>
          </w:tcPr>
          <w:p w:rsidR="00DA252E" w:rsidRPr="00827043" w:rsidRDefault="00DA252E" w:rsidP="00DA252E">
            <w:pPr>
              <w:spacing w:after="0" w:line="240" w:lineRule="auto"/>
              <w:jc w:val="right"/>
              <w:rPr>
                <w:rFonts w:ascii="Verdana" w:eastAsia="Times New Roman" w:hAnsi="Verdana"/>
                <w:color w:val="000000"/>
                <w:sz w:val="16"/>
                <w:szCs w:val="16"/>
                <w:lang w:eastAsia="es-CO"/>
              </w:rPr>
            </w:pPr>
            <w:r w:rsidRPr="00827043">
              <w:rPr>
                <w:rFonts w:ascii="Verdana" w:eastAsia="Times New Roman" w:hAnsi="Verdana"/>
                <w:color w:val="000000"/>
                <w:sz w:val="16"/>
                <w:szCs w:val="16"/>
                <w:lang w:eastAsia="es-CO"/>
              </w:rPr>
              <w:t>13.098</w:t>
            </w:r>
          </w:p>
        </w:tc>
        <w:tc>
          <w:tcPr>
            <w:tcW w:w="859" w:type="pct"/>
            <w:shd w:val="clear" w:color="DBE5F1" w:fill="DBE5F1"/>
            <w:noWrap/>
            <w:vAlign w:val="center"/>
            <w:hideMark/>
          </w:tcPr>
          <w:p w:rsidR="00DA252E" w:rsidRPr="00827043" w:rsidRDefault="00DA252E" w:rsidP="00DA252E">
            <w:pPr>
              <w:spacing w:after="0" w:line="240" w:lineRule="auto"/>
              <w:jc w:val="right"/>
              <w:rPr>
                <w:rFonts w:ascii="Verdana" w:eastAsia="Times New Roman" w:hAnsi="Verdana"/>
                <w:color w:val="000000"/>
                <w:sz w:val="16"/>
                <w:szCs w:val="16"/>
                <w:lang w:eastAsia="es-CO"/>
              </w:rPr>
            </w:pPr>
            <w:r w:rsidRPr="00827043">
              <w:rPr>
                <w:rFonts w:ascii="Verdana" w:eastAsia="Times New Roman" w:hAnsi="Verdana"/>
                <w:color w:val="000000"/>
                <w:sz w:val="16"/>
                <w:szCs w:val="16"/>
                <w:lang w:eastAsia="es-CO"/>
              </w:rPr>
              <w:t>13.254</w:t>
            </w:r>
          </w:p>
        </w:tc>
        <w:tc>
          <w:tcPr>
            <w:tcW w:w="1093" w:type="pct"/>
            <w:vMerge/>
            <w:shd w:val="clear" w:color="DBE5F1" w:fill="DBE5F1"/>
            <w:noWrap/>
            <w:vAlign w:val="center"/>
            <w:hideMark/>
          </w:tcPr>
          <w:p w:rsidR="00DA252E" w:rsidRPr="00520297" w:rsidRDefault="00DA252E" w:rsidP="00DA252E">
            <w:pPr>
              <w:spacing w:after="0" w:line="240" w:lineRule="auto"/>
              <w:jc w:val="center"/>
              <w:rPr>
                <w:rFonts w:ascii="Verdana" w:eastAsia="Times New Roman" w:hAnsi="Verdana"/>
                <w:color w:val="000000"/>
                <w:sz w:val="16"/>
                <w:szCs w:val="16"/>
                <w:lang w:eastAsia="es-CO"/>
              </w:rPr>
            </w:pPr>
          </w:p>
        </w:tc>
      </w:tr>
      <w:tr w:rsidR="00DA252E" w:rsidRPr="00520297" w:rsidTr="000E611D">
        <w:trPr>
          <w:trHeight w:val="288"/>
        </w:trPr>
        <w:tc>
          <w:tcPr>
            <w:tcW w:w="2344" w:type="pct"/>
            <w:shd w:val="clear" w:color="B8CCE4" w:fill="B8CCE4"/>
            <w:noWrap/>
            <w:vAlign w:val="center"/>
            <w:hideMark/>
          </w:tcPr>
          <w:p w:rsidR="00DA252E" w:rsidRPr="00520297" w:rsidRDefault="00DA252E" w:rsidP="00FE71FF">
            <w:pPr>
              <w:spacing w:after="0" w:line="240" w:lineRule="auto"/>
              <w:rPr>
                <w:rFonts w:ascii="Verdana" w:eastAsia="Times New Roman" w:hAnsi="Verdana"/>
                <w:color w:val="000000"/>
                <w:sz w:val="16"/>
                <w:szCs w:val="16"/>
                <w:lang w:eastAsia="es-CO"/>
              </w:rPr>
            </w:pPr>
            <w:r w:rsidRPr="00520297">
              <w:rPr>
                <w:rFonts w:ascii="Verdana" w:eastAsia="Times New Roman" w:hAnsi="Verdana"/>
                <w:color w:val="000000"/>
                <w:sz w:val="16"/>
                <w:szCs w:val="16"/>
                <w:lang w:eastAsia="es-CO"/>
              </w:rPr>
              <w:t>PRODUCIENDO POR MI FUTURO</w:t>
            </w:r>
          </w:p>
        </w:tc>
        <w:tc>
          <w:tcPr>
            <w:tcW w:w="703" w:type="pct"/>
            <w:shd w:val="clear" w:color="B8CCE4" w:fill="B8CCE4"/>
            <w:vAlign w:val="center"/>
          </w:tcPr>
          <w:p w:rsidR="00DA252E" w:rsidRPr="00827043" w:rsidRDefault="00DA252E" w:rsidP="00DA252E">
            <w:pPr>
              <w:spacing w:after="0" w:line="240" w:lineRule="auto"/>
              <w:jc w:val="right"/>
              <w:rPr>
                <w:rFonts w:ascii="Verdana" w:eastAsia="Times New Roman" w:hAnsi="Verdana"/>
                <w:color w:val="000000"/>
                <w:sz w:val="16"/>
                <w:szCs w:val="16"/>
                <w:lang w:eastAsia="es-CO"/>
              </w:rPr>
            </w:pPr>
            <w:r w:rsidRPr="00827043">
              <w:rPr>
                <w:rFonts w:ascii="Verdana" w:eastAsia="Times New Roman" w:hAnsi="Verdana"/>
                <w:color w:val="000000"/>
                <w:sz w:val="16"/>
                <w:szCs w:val="16"/>
                <w:lang w:eastAsia="es-CO"/>
              </w:rPr>
              <w:t>970</w:t>
            </w:r>
          </w:p>
        </w:tc>
        <w:tc>
          <w:tcPr>
            <w:tcW w:w="859" w:type="pct"/>
            <w:shd w:val="clear" w:color="B8CCE4" w:fill="B8CCE4"/>
            <w:noWrap/>
            <w:vAlign w:val="center"/>
            <w:hideMark/>
          </w:tcPr>
          <w:p w:rsidR="00DA252E" w:rsidRPr="00827043" w:rsidRDefault="00DA252E" w:rsidP="00DA252E">
            <w:pPr>
              <w:spacing w:after="0" w:line="240" w:lineRule="auto"/>
              <w:jc w:val="right"/>
              <w:rPr>
                <w:rFonts w:ascii="Verdana" w:eastAsia="Times New Roman" w:hAnsi="Verdana"/>
                <w:color w:val="000000"/>
                <w:sz w:val="16"/>
                <w:szCs w:val="16"/>
                <w:lang w:eastAsia="es-CO"/>
              </w:rPr>
            </w:pPr>
            <w:r w:rsidRPr="00827043">
              <w:rPr>
                <w:rFonts w:ascii="Verdana" w:eastAsia="Times New Roman" w:hAnsi="Verdana"/>
                <w:color w:val="000000"/>
                <w:sz w:val="16"/>
                <w:szCs w:val="16"/>
                <w:lang w:eastAsia="es-CO"/>
              </w:rPr>
              <w:t>1.003</w:t>
            </w:r>
          </w:p>
        </w:tc>
        <w:tc>
          <w:tcPr>
            <w:tcW w:w="1093" w:type="pct"/>
            <w:vMerge/>
            <w:shd w:val="clear" w:color="B8CCE4" w:fill="B8CCE4"/>
            <w:noWrap/>
            <w:vAlign w:val="center"/>
            <w:hideMark/>
          </w:tcPr>
          <w:p w:rsidR="00DA252E" w:rsidRPr="00520297" w:rsidRDefault="00DA252E" w:rsidP="00DA252E">
            <w:pPr>
              <w:spacing w:after="0" w:line="240" w:lineRule="auto"/>
              <w:jc w:val="center"/>
              <w:rPr>
                <w:rFonts w:ascii="Verdana" w:eastAsia="Times New Roman" w:hAnsi="Verdana"/>
                <w:color w:val="000000"/>
                <w:sz w:val="16"/>
                <w:szCs w:val="16"/>
                <w:lang w:eastAsia="es-CO"/>
              </w:rPr>
            </w:pPr>
          </w:p>
        </w:tc>
      </w:tr>
      <w:tr w:rsidR="00DA252E" w:rsidRPr="00520297" w:rsidTr="000E611D">
        <w:trPr>
          <w:trHeight w:val="288"/>
        </w:trPr>
        <w:tc>
          <w:tcPr>
            <w:tcW w:w="2344" w:type="pct"/>
            <w:shd w:val="clear" w:color="DBE5F1" w:fill="DBE5F1"/>
            <w:noWrap/>
            <w:vAlign w:val="center"/>
            <w:hideMark/>
          </w:tcPr>
          <w:p w:rsidR="00DA252E" w:rsidRPr="00520297" w:rsidRDefault="00DA252E" w:rsidP="00FE71FF">
            <w:pPr>
              <w:spacing w:after="0" w:line="240" w:lineRule="auto"/>
              <w:rPr>
                <w:rFonts w:ascii="Verdana" w:eastAsia="Times New Roman" w:hAnsi="Verdana"/>
                <w:color w:val="000000"/>
                <w:sz w:val="16"/>
                <w:szCs w:val="16"/>
                <w:lang w:eastAsia="es-CO"/>
              </w:rPr>
            </w:pPr>
            <w:r w:rsidRPr="00520297">
              <w:rPr>
                <w:rFonts w:ascii="Verdana" w:eastAsia="Times New Roman" w:hAnsi="Verdana"/>
                <w:color w:val="000000"/>
                <w:sz w:val="16"/>
                <w:szCs w:val="16"/>
                <w:lang w:eastAsia="es-CO"/>
              </w:rPr>
              <w:t>CAPITALIZACION MICROEMPRESARIAL</w:t>
            </w:r>
          </w:p>
        </w:tc>
        <w:tc>
          <w:tcPr>
            <w:tcW w:w="703" w:type="pct"/>
            <w:shd w:val="clear" w:color="DBE5F1" w:fill="DBE5F1"/>
            <w:vAlign w:val="center"/>
          </w:tcPr>
          <w:p w:rsidR="00DA252E" w:rsidRPr="00827043" w:rsidRDefault="00DA252E" w:rsidP="00DA252E">
            <w:pPr>
              <w:spacing w:after="0" w:line="240" w:lineRule="auto"/>
              <w:jc w:val="right"/>
              <w:rPr>
                <w:rFonts w:ascii="Verdana" w:eastAsia="Times New Roman" w:hAnsi="Verdana"/>
                <w:color w:val="000000"/>
                <w:sz w:val="16"/>
                <w:szCs w:val="16"/>
                <w:lang w:eastAsia="es-CO"/>
              </w:rPr>
            </w:pPr>
            <w:r w:rsidRPr="00827043">
              <w:rPr>
                <w:rFonts w:ascii="Verdana" w:eastAsia="Times New Roman" w:hAnsi="Verdana"/>
                <w:color w:val="000000"/>
                <w:sz w:val="16"/>
                <w:szCs w:val="16"/>
                <w:lang w:eastAsia="es-CO"/>
              </w:rPr>
              <w:t>8.782</w:t>
            </w:r>
          </w:p>
        </w:tc>
        <w:tc>
          <w:tcPr>
            <w:tcW w:w="859" w:type="pct"/>
            <w:shd w:val="clear" w:color="DBE5F1" w:fill="DBE5F1"/>
            <w:noWrap/>
            <w:vAlign w:val="center"/>
            <w:hideMark/>
          </w:tcPr>
          <w:p w:rsidR="00DA252E" w:rsidRPr="00827043" w:rsidRDefault="00DA252E" w:rsidP="00DA252E">
            <w:pPr>
              <w:spacing w:after="0" w:line="240" w:lineRule="auto"/>
              <w:jc w:val="right"/>
              <w:rPr>
                <w:rFonts w:ascii="Verdana" w:eastAsia="Times New Roman" w:hAnsi="Verdana"/>
                <w:color w:val="000000"/>
                <w:sz w:val="16"/>
                <w:szCs w:val="16"/>
                <w:lang w:eastAsia="es-CO"/>
              </w:rPr>
            </w:pPr>
            <w:r w:rsidRPr="00827043">
              <w:rPr>
                <w:rFonts w:ascii="Verdana" w:eastAsia="Times New Roman" w:hAnsi="Verdana"/>
                <w:color w:val="000000"/>
                <w:sz w:val="16"/>
                <w:szCs w:val="16"/>
                <w:lang w:eastAsia="es-CO"/>
              </w:rPr>
              <w:t>11.581</w:t>
            </w:r>
          </w:p>
        </w:tc>
        <w:tc>
          <w:tcPr>
            <w:tcW w:w="1093" w:type="pct"/>
            <w:vMerge/>
            <w:shd w:val="clear" w:color="DBE5F1" w:fill="DBE5F1"/>
            <w:noWrap/>
            <w:vAlign w:val="center"/>
            <w:hideMark/>
          </w:tcPr>
          <w:p w:rsidR="00DA252E" w:rsidRPr="00520297" w:rsidRDefault="00DA252E" w:rsidP="00DA252E">
            <w:pPr>
              <w:spacing w:after="0" w:line="240" w:lineRule="auto"/>
              <w:jc w:val="center"/>
              <w:rPr>
                <w:rFonts w:ascii="Verdana" w:eastAsia="Times New Roman" w:hAnsi="Verdana"/>
                <w:color w:val="000000"/>
                <w:sz w:val="16"/>
                <w:szCs w:val="16"/>
                <w:lang w:eastAsia="es-CO"/>
              </w:rPr>
            </w:pPr>
          </w:p>
        </w:tc>
      </w:tr>
      <w:tr w:rsidR="00DA252E" w:rsidRPr="00520297" w:rsidTr="000E611D">
        <w:trPr>
          <w:trHeight w:val="288"/>
        </w:trPr>
        <w:tc>
          <w:tcPr>
            <w:tcW w:w="2344" w:type="pct"/>
            <w:shd w:val="clear" w:color="B8CCE4" w:fill="B8CCE4"/>
            <w:noWrap/>
            <w:vAlign w:val="center"/>
            <w:hideMark/>
          </w:tcPr>
          <w:p w:rsidR="00DA252E" w:rsidRPr="00520297" w:rsidRDefault="00DA252E" w:rsidP="00FE71FF">
            <w:pPr>
              <w:spacing w:after="0" w:line="240" w:lineRule="auto"/>
              <w:rPr>
                <w:rFonts w:ascii="Verdana" w:eastAsia="Times New Roman" w:hAnsi="Verdana"/>
                <w:color w:val="000000"/>
                <w:sz w:val="16"/>
                <w:szCs w:val="16"/>
                <w:lang w:eastAsia="es-CO"/>
              </w:rPr>
            </w:pPr>
            <w:r w:rsidRPr="00520297">
              <w:rPr>
                <w:rFonts w:ascii="Verdana" w:eastAsia="Times New Roman" w:hAnsi="Verdana"/>
                <w:color w:val="000000"/>
                <w:sz w:val="16"/>
                <w:szCs w:val="16"/>
                <w:lang w:eastAsia="es-CO"/>
              </w:rPr>
              <w:t>MUJERES AHORRADORAS EN ACCION</w:t>
            </w:r>
          </w:p>
        </w:tc>
        <w:tc>
          <w:tcPr>
            <w:tcW w:w="703" w:type="pct"/>
            <w:shd w:val="clear" w:color="B8CCE4" w:fill="B8CCE4"/>
            <w:vAlign w:val="center"/>
          </w:tcPr>
          <w:p w:rsidR="00DA252E" w:rsidRPr="00827043" w:rsidRDefault="00DA252E" w:rsidP="00DA252E">
            <w:pPr>
              <w:spacing w:after="0" w:line="240" w:lineRule="auto"/>
              <w:jc w:val="right"/>
              <w:rPr>
                <w:rFonts w:ascii="Verdana" w:eastAsia="Times New Roman" w:hAnsi="Verdana"/>
                <w:color w:val="000000"/>
                <w:sz w:val="16"/>
                <w:szCs w:val="16"/>
                <w:lang w:eastAsia="es-CO"/>
              </w:rPr>
            </w:pPr>
            <w:r>
              <w:rPr>
                <w:rFonts w:ascii="Verdana" w:eastAsia="Times New Roman" w:hAnsi="Verdana"/>
                <w:color w:val="000000"/>
                <w:sz w:val="16"/>
                <w:szCs w:val="16"/>
                <w:lang w:eastAsia="es-CO"/>
              </w:rPr>
              <w:t>54.550</w:t>
            </w:r>
          </w:p>
        </w:tc>
        <w:tc>
          <w:tcPr>
            <w:tcW w:w="859" w:type="pct"/>
            <w:shd w:val="clear" w:color="B8CCE4" w:fill="B8CCE4"/>
            <w:noWrap/>
            <w:vAlign w:val="center"/>
            <w:hideMark/>
          </w:tcPr>
          <w:p w:rsidR="00DA252E" w:rsidRPr="00827043" w:rsidRDefault="00DA252E" w:rsidP="00DA252E">
            <w:pPr>
              <w:spacing w:after="0" w:line="240" w:lineRule="auto"/>
              <w:jc w:val="right"/>
              <w:rPr>
                <w:rFonts w:ascii="Verdana" w:eastAsia="Times New Roman" w:hAnsi="Verdana"/>
                <w:color w:val="000000"/>
                <w:sz w:val="16"/>
                <w:szCs w:val="16"/>
                <w:lang w:eastAsia="es-CO"/>
              </w:rPr>
            </w:pPr>
            <w:r w:rsidRPr="00827043">
              <w:rPr>
                <w:rFonts w:ascii="Verdana" w:eastAsia="Times New Roman" w:hAnsi="Verdana"/>
                <w:color w:val="000000"/>
                <w:sz w:val="16"/>
                <w:szCs w:val="16"/>
                <w:lang w:eastAsia="es-CO"/>
              </w:rPr>
              <w:t>47.043</w:t>
            </w:r>
          </w:p>
        </w:tc>
        <w:tc>
          <w:tcPr>
            <w:tcW w:w="1093" w:type="pct"/>
            <w:vMerge/>
            <w:shd w:val="clear" w:color="B8CCE4" w:fill="B8CCE4"/>
            <w:noWrap/>
            <w:vAlign w:val="center"/>
            <w:hideMark/>
          </w:tcPr>
          <w:p w:rsidR="00DA252E" w:rsidRPr="00520297" w:rsidRDefault="00DA252E" w:rsidP="00DA252E">
            <w:pPr>
              <w:spacing w:after="0" w:line="240" w:lineRule="auto"/>
              <w:jc w:val="center"/>
              <w:rPr>
                <w:rFonts w:ascii="Verdana" w:eastAsia="Times New Roman" w:hAnsi="Verdana"/>
                <w:color w:val="000000"/>
                <w:sz w:val="16"/>
                <w:szCs w:val="16"/>
                <w:lang w:eastAsia="es-CO"/>
              </w:rPr>
            </w:pPr>
          </w:p>
        </w:tc>
      </w:tr>
      <w:tr w:rsidR="00DA252E" w:rsidRPr="00520297" w:rsidTr="000E611D">
        <w:trPr>
          <w:trHeight w:val="288"/>
        </w:trPr>
        <w:tc>
          <w:tcPr>
            <w:tcW w:w="2344" w:type="pct"/>
            <w:shd w:val="clear" w:color="DBE5F1" w:fill="DBE5F1"/>
            <w:noWrap/>
            <w:vAlign w:val="center"/>
            <w:hideMark/>
          </w:tcPr>
          <w:p w:rsidR="00DA252E" w:rsidRPr="00520297" w:rsidRDefault="00DA252E" w:rsidP="00FE71FF">
            <w:pPr>
              <w:spacing w:after="0" w:line="240" w:lineRule="auto"/>
              <w:rPr>
                <w:rFonts w:ascii="Verdana" w:eastAsia="Times New Roman" w:hAnsi="Verdana"/>
                <w:color w:val="000000"/>
                <w:sz w:val="16"/>
                <w:szCs w:val="16"/>
                <w:lang w:eastAsia="es-CO"/>
              </w:rPr>
            </w:pPr>
            <w:r w:rsidRPr="00520297">
              <w:rPr>
                <w:rFonts w:ascii="Verdana" w:eastAsia="Times New Roman" w:hAnsi="Verdana"/>
                <w:color w:val="000000"/>
                <w:sz w:val="16"/>
                <w:szCs w:val="16"/>
                <w:lang w:eastAsia="es-CO"/>
              </w:rPr>
              <w:t>ENFOQUE DIFERENCIAL ETNICO</w:t>
            </w:r>
          </w:p>
        </w:tc>
        <w:tc>
          <w:tcPr>
            <w:tcW w:w="703" w:type="pct"/>
            <w:shd w:val="clear" w:color="DBE5F1" w:fill="DBE5F1"/>
            <w:vAlign w:val="center"/>
          </w:tcPr>
          <w:p w:rsidR="00DA252E" w:rsidRPr="00827043" w:rsidRDefault="00DA252E" w:rsidP="00DA252E">
            <w:pPr>
              <w:spacing w:after="0" w:line="240" w:lineRule="auto"/>
              <w:jc w:val="right"/>
              <w:rPr>
                <w:rFonts w:ascii="Verdana" w:eastAsia="Times New Roman" w:hAnsi="Verdana"/>
                <w:color w:val="000000"/>
                <w:sz w:val="16"/>
                <w:szCs w:val="16"/>
                <w:lang w:eastAsia="es-CO"/>
              </w:rPr>
            </w:pPr>
            <w:r w:rsidRPr="00827043">
              <w:rPr>
                <w:rFonts w:ascii="Verdana" w:eastAsia="Times New Roman" w:hAnsi="Verdana"/>
                <w:color w:val="000000"/>
                <w:sz w:val="16"/>
                <w:szCs w:val="16"/>
                <w:lang w:eastAsia="es-CO"/>
              </w:rPr>
              <w:t>10.000</w:t>
            </w:r>
          </w:p>
        </w:tc>
        <w:tc>
          <w:tcPr>
            <w:tcW w:w="859" w:type="pct"/>
            <w:shd w:val="clear" w:color="DBE5F1" w:fill="DBE5F1"/>
            <w:noWrap/>
            <w:vAlign w:val="center"/>
            <w:hideMark/>
          </w:tcPr>
          <w:p w:rsidR="00DA252E" w:rsidRPr="00827043" w:rsidRDefault="00DA252E" w:rsidP="00DA252E">
            <w:pPr>
              <w:spacing w:after="0" w:line="240" w:lineRule="auto"/>
              <w:jc w:val="right"/>
              <w:rPr>
                <w:rFonts w:ascii="Verdana" w:eastAsia="Times New Roman" w:hAnsi="Verdana"/>
                <w:color w:val="000000"/>
                <w:sz w:val="16"/>
                <w:szCs w:val="16"/>
                <w:lang w:eastAsia="es-CO"/>
              </w:rPr>
            </w:pPr>
            <w:r w:rsidRPr="00827043">
              <w:rPr>
                <w:rFonts w:ascii="Verdana" w:eastAsia="Times New Roman" w:hAnsi="Verdana"/>
                <w:color w:val="000000"/>
                <w:sz w:val="16"/>
                <w:szCs w:val="16"/>
                <w:lang w:eastAsia="es-CO"/>
              </w:rPr>
              <w:t>10.000</w:t>
            </w:r>
          </w:p>
        </w:tc>
        <w:tc>
          <w:tcPr>
            <w:tcW w:w="1093" w:type="pct"/>
            <w:shd w:val="clear" w:color="DBE5F1" w:fill="DBE5F1"/>
            <w:noWrap/>
            <w:vAlign w:val="center"/>
            <w:hideMark/>
          </w:tcPr>
          <w:p w:rsidR="00DA252E" w:rsidRPr="00520297" w:rsidRDefault="00DA252E" w:rsidP="00DA252E">
            <w:pPr>
              <w:spacing w:after="0" w:line="240" w:lineRule="auto"/>
              <w:jc w:val="center"/>
              <w:rPr>
                <w:rFonts w:ascii="Verdana" w:eastAsia="Times New Roman" w:hAnsi="Verdana"/>
                <w:color w:val="000000"/>
                <w:sz w:val="16"/>
                <w:szCs w:val="16"/>
                <w:lang w:eastAsia="es-CO"/>
              </w:rPr>
            </w:pPr>
            <w:r w:rsidRPr="00520297">
              <w:rPr>
                <w:rFonts w:ascii="Verdana" w:eastAsia="Times New Roman" w:hAnsi="Verdana"/>
                <w:color w:val="000000"/>
                <w:sz w:val="16"/>
                <w:szCs w:val="16"/>
                <w:lang w:eastAsia="es-CO"/>
              </w:rPr>
              <w:t>FAMILIAS</w:t>
            </w:r>
          </w:p>
        </w:tc>
      </w:tr>
      <w:tr w:rsidR="00DA252E" w:rsidRPr="00520297" w:rsidTr="000E611D">
        <w:trPr>
          <w:trHeight w:val="288"/>
        </w:trPr>
        <w:tc>
          <w:tcPr>
            <w:tcW w:w="2344" w:type="pct"/>
            <w:shd w:val="clear" w:color="B8CCE4" w:fill="B8CCE4"/>
            <w:noWrap/>
            <w:vAlign w:val="center"/>
            <w:hideMark/>
          </w:tcPr>
          <w:p w:rsidR="00DA252E" w:rsidRPr="00520297" w:rsidRDefault="00DA252E" w:rsidP="00FE71FF">
            <w:pPr>
              <w:spacing w:after="0" w:line="240" w:lineRule="auto"/>
              <w:rPr>
                <w:rFonts w:ascii="Verdana" w:eastAsia="Times New Roman" w:hAnsi="Verdana"/>
                <w:color w:val="000000"/>
                <w:sz w:val="16"/>
                <w:szCs w:val="16"/>
                <w:lang w:eastAsia="es-CO"/>
              </w:rPr>
            </w:pPr>
            <w:r w:rsidRPr="00520297">
              <w:rPr>
                <w:rFonts w:ascii="Verdana" w:eastAsia="Times New Roman" w:hAnsi="Verdana"/>
                <w:color w:val="000000"/>
                <w:sz w:val="16"/>
                <w:szCs w:val="16"/>
                <w:lang w:eastAsia="es-CO"/>
              </w:rPr>
              <w:t>OBSERVATORIOS DE MERCADO LABORAL</w:t>
            </w:r>
          </w:p>
        </w:tc>
        <w:tc>
          <w:tcPr>
            <w:tcW w:w="703" w:type="pct"/>
            <w:shd w:val="clear" w:color="B8CCE4" w:fill="B8CCE4"/>
            <w:vAlign w:val="center"/>
          </w:tcPr>
          <w:p w:rsidR="00DA252E" w:rsidRPr="00827043" w:rsidRDefault="00DA252E" w:rsidP="00DA252E">
            <w:pPr>
              <w:spacing w:after="0" w:line="240" w:lineRule="auto"/>
              <w:jc w:val="right"/>
              <w:rPr>
                <w:rFonts w:ascii="Verdana" w:eastAsia="Times New Roman" w:hAnsi="Verdana"/>
                <w:color w:val="000000"/>
                <w:sz w:val="16"/>
                <w:szCs w:val="16"/>
                <w:lang w:eastAsia="es-CO"/>
              </w:rPr>
            </w:pPr>
            <w:r w:rsidRPr="00827043">
              <w:rPr>
                <w:rFonts w:ascii="Verdana" w:eastAsia="Times New Roman" w:hAnsi="Verdana"/>
                <w:color w:val="000000"/>
                <w:sz w:val="16"/>
                <w:szCs w:val="16"/>
                <w:lang w:eastAsia="es-CO"/>
              </w:rPr>
              <w:t>13</w:t>
            </w:r>
          </w:p>
        </w:tc>
        <w:tc>
          <w:tcPr>
            <w:tcW w:w="859" w:type="pct"/>
            <w:shd w:val="clear" w:color="B8CCE4" w:fill="B8CCE4"/>
            <w:noWrap/>
            <w:vAlign w:val="center"/>
            <w:hideMark/>
          </w:tcPr>
          <w:p w:rsidR="00DA252E" w:rsidRPr="00827043" w:rsidRDefault="00DA252E" w:rsidP="00DA252E">
            <w:pPr>
              <w:spacing w:after="0" w:line="240" w:lineRule="auto"/>
              <w:jc w:val="right"/>
              <w:rPr>
                <w:rFonts w:ascii="Verdana" w:eastAsia="Times New Roman" w:hAnsi="Verdana"/>
                <w:color w:val="000000"/>
                <w:sz w:val="16"/>
                <w:szCs w:val="16"/>
                <w:lang w:eastAsia="es-CO"/>
              </w:rPr>
            </w:pPr>
            <w:r w:rsidRPr="00827043">
              <w:rPr>
                <w:rFonts w:ascii="Verdana" w:eastAsia="Times New Roman" w:hAnsi="Verdana"/>
                <w:color w:val="000000"/>
                <w:sz w:val="16"/>
                <w:szCs w:val="16"/>
                <w:lang w:eastAsia="es-CO"/>
              </w:rPr>
              <w:t>17</w:t>
            </w:r>
          </w:p>
        </w:tc>
        <w:tc>
          <w:tcPr>
            <w:tcW w:w="1093" w:type="pct"/>
            <w:shd w:val="clear" w:color="B8CCE4" w:fill="B8CCE4"/>
            <w:noWrap/>
            <w:vAlign w:val="center"/>
            <w:hideMark/>
          </w:tcPr>
          <w:p w:rsidR="00DA252E" w:rsidRPr="00520297" w:rsidRDefault="00DA252E" w:rsidP="00DA252E">
            <w:pPr>
              <w:spacing w:after="0" w:line="240" w:lineRule="auto"/>
              <w:jc w:val="center"/>
              <w:rPr>
                <w:rFonts w:ascii="Verdana" w:eastAsia="Times New Roman" w:hAnsi="Verdana"/>
                <w:color w:val="000000"/>
                <w:sz w:val="16"/>
                <w:szCs w:val="16"/>
                <w:lang w:eastAsia="es-CO"/>
              </w:rPr>
            </w:pPr>
            <w:r w:rsidRPr="00520297">
              <w:rPr>
                <w:rFonts w:ascii="Verdana" w:eastAsia="Times New Roman" w:hAnsi="Verdana"/>
                <w:color w:val="000000"/>
                <w:sz w:val="16"/>
                <w:szCs w:val="16"/>
                <w:lang w:eastAsia="es-CO"/>
              </w:rPr>
              <w:t>ESTUDIOS</w:t>
            </w:r>
          </w:p>
        </w:tc>
      </w:tr>
    </w:tbl>
    <w:p w:rsidR="00DA252E" w:rsidRPr="00FB7E69" w:rsidRDefault="00DA252E" w:rsidP="00DA252E">
      <w:pPr>
        <w:spacing w:after="0" w:line="240" w:lineRule="auto"/>
        <w:jc w:val="both"/>
        <w:rPr>
          <w:rFonts w:ascii="Verdana" w:hAnsi="Verdana"/>
          <w:b/>
          <w:sz w:val="24"/>
          <w:szCs w:val="24"/>
        </w:rPr>
      </w:pPr>
    </w:p>
    <w:p w:rsidR="00DA252E" w:rsidRDefault="00DA252E" w:rsidP="00DA252E">
      <w:pPr>
        <w:spacing w:after="0" w:line="240" w:lineRule="auto"/>
        <w:jc w:val="both"/>
        <w:rPr>
          <w:rFonts w:ascii="Verdana" w:hAnsi="Verdana"/>
          <w:b/>
          <w:color w:val="548DD4" w:themeColor="text2" w:themeTint="99"/>
          <w:sz w:val="24"/>
          <w:szCs w:val="24"/>
        </w:rPr>
      </w:pPr>
      <w:r w:rsidRPr="00B36FCF">
        <w:rPr>
          <w:rFonts w:ascii="Verdana" w:hAnsi="Verdana"/>
          <w:b/>
          <w:color w:val="548DD4" w:themeColor="text2" w:themeTint="99"/>
          <w:sz w:val="24"/>
          <w:szCs w:val="24"/>
        </w:rPr>
        <w:t xml:space="preserve">Logros </w:t>
      </w:r>
    </w:p>
    <w:p w:rsidR="00DA252E" w:rsidRPr="00B36FCF" w:rsidRDefault="00DA252E" w:rsidP="00DA252E">
      <w:pPr>
        <w:spacing w:after="0" w:line="240" w:lineRule="auto"/>
        <w:jc w:val="both"/>
        <w:rPr>
          <w:rFonts w:ascii="Verdana" w:hAnsi="Verdana"/>
          <w:b/>
          <w:color w:val="548DD4" w:themeColor="text2" w:themeTint="99"/>
          <w:sz w:val="24"/>
          <w:szCs w:val="24"/>
        </w:rPr>
      </w:pPr>
    </w:p>
    <w:p w:rsidR="00DA252E" w:rsidRDefault="00DA252E" w:rsidP="00FF784D">
      <w:pPr>
        <w:pStyle w:val="Prrafodelista"/>
        <w:numPr>
          <w:ilvl w:val="0"/>
          <w:numId w:val="37"/>
        </w:numPr>
        <w:tabs>
          <w:tab w:val="left" w:pos="0"/>
        </w:tabs>
        <w:spacing w:after="0" w:line="240" w:lineRule="auto"/>
        <w:ind w:left="709" w:hanging="284"/>
        <w:jc w:val="both"/>
        <w:rPr>
          <w:rFonts w:ascii="Verdana" w:hAnsi="Verdana"/>
          <w:bCs/>
          <w:i/>
          <w:sz w:val="24"/>
          <w:szCs w:val="24"/>
        </w:rPr>
      </w:pPr>
      <w:r>
        <w:rPr>
          <w:rFonts w:ascii="Verdana" w:hAnsi="Verdana"/>
          <w:i/>
          <w:sz w:val="24"/>
          <w:szCs w:val="24"/>
        </w:rPr>
        <w:t xml:space="preserve">Se unieron </w:t>
      </w:r>
      <w:r w:rsidRPr="00FA5B5F">
        <w:rPr>
          <w:rFonts w:ascii="Verdana" w:eastAsia="Times New Roman" w:hAnsi="Verdana" w:cs="Segoe UI"/>
          <w:i/>
          <w:sz w:val="24"/>
          <w:szCs w:val="24"/>
          <w:lang w:eastAsia="es-CO"/>
        </w:rPr>
        <w:t>esfuerzos con la estrategia del Min. Trabajo para atender población vulnerable y desplazada a través de la</w:t>
      </w:r>
      <w:r w:rsidRPr="00FA5B5F">
        <w:rPr>
          <w:rFonts w:ascii="Verdana" w:hAnsi="Verdana"/>
          <w:i/>
          <w:sz w:val="24"/>
          <w:szCs w:val="24"/>
        </w:rPr>
        <w:t xml:space="preserve"> ventanilla única de atención al ciudadano, entendida como una </w:t>
      </w:r>
      <w:r w:rsidRPr="00FA5B5F">
        <w:rPr>
          <w:rFonts w:ascii="Verdana" w:hAnsi="Verdana"/>
          <w:bCs/>
          <w:i/>
          <w:sz w:val="24"/>
          <w:szCs w:val="24"/>
        </w:rPr>
        <w:t>plataforma organizacional de servicios especializados y a la medida para la población sujeto de atención del DPS, este conjunto de servicios está relacionado con la promoción del empleo, mejora a la empleabilidad, fomento del emprendimiento y desarrollo empresarial.</w:t>
      </w:r>
    </w:p>
    <w:p w:rsidR="00DA252E" w:rsidRDefault="00DA252E" w:rsidP="00FF784D">
      <w:pPr>
        <w:pStyle w:val="Prrafodelista"/>
        <w:numPr>
          <w:ilvl w:val="0"/>
          <w:numId w:val="37"/>
        </w:numPr>
        <w:tabs>
          <w:tab w:val="left" w:pos="0"/>
        </w:tabs>
        <w:spacing w:after="0" w:line="240" w:lineRule="auto"/>
        <w:ind w:left="709" w:hanging="284"/>
        <w:jc w:val="both"/>
        <w:rPr>
          <w:rFonts w:ascii="Verdana" w:hAnsi="Verdana"/>
          <w:bCs/>
          <w:i/>
          <w:sz w:val="24"/>
          <w:szCs w:val="24"/>
        </w:rPr>
      </w:pPr>
      <w:r>
        <w:rPr>
          <w:rFonts w:ascii="Verdana" w:hAnsi="Verdana"/>
          <w:bCs/>
          <w:i/>
          <w:sz w:val="24"/>
          <w:szCs w:val="24"/>
        </w:rPr>
        <w:t>Se</w:t>
      </w:r>
      <w:r w:rsidRPr="00FA5B5F">
        <w:rPr>
          <w:rFonts w:ascii="Verdana" w:hAnsi="Verdana"/>
          <w:bCs/>
          <w:i/>
          <w:sz w:val="24"/>
          <w:szCs w:val="24"/>
        </w:rPr>
        <w:t xml:space="preserve"> logró la consolidación de la Ventanilla Única en 18 ciudades: Cartagena, Ba</w:t>
      </w:r>
      <w:r>
        <w:rPr>
          <w:rFonts w:ascii="Verdana" w:hAnsi="Verdana"/>
          <w:bCs/>
          <w:i/>
          <w:sz w:val="24"/>
          <w:szCs w:val="24"/>
        </w:rPr>
        <w:t xml:space="preserve">rranquilla, Santa Marta, Pasto, </w:t>
      </w:r>
      <w:r w:rsidRPr="00FA5B5F">
        <w:rPr>
          <w:rFonts w:ascii="Verdana" w:hAnsi="Verdana"/>
          <w:bCs/>
          <w:i/>
          <w:sz w:val="24"/>
          <w:szCs w:val="24"/>
        </w:rPr>
        <w:t>Riohacha, Sincelejo, Valledupar, Ibagué, Villavicencio, Tunja, Tumaco, Puerto Asís, Popayán, Neiva, Giron, Jamundí,  Ocaña y Florencia, en cuyo proceso se ha contado con el apoyo, participación y contribución de las Alcaldía Municipales, las cajas de compensación familiar, el SENA y las cámaras de comercio</w:t>
      </w:r>
      <w:r>
        <w:rPr>
          <w:rFonts w:ascii="Verdana" w:hAnsi="Verdana"/>
          <w:bCs/>
          <w:i/>
          <w:sz w:val="24"/>
          <w:szCs w:val="24"/>
        </w:rPr>
        <w:t>.</w:t>
      </w:r>
    </w:p>
    <w:p w:rsidR="00DA252E" w:rsidRDefault="00DA252E" w:rsidP="00FF784D">
      <w:pPr>
        <w:pStyle w:val="Prrafodelista"/>
        <w:numPr>
          <w:ilvl w:val="0"/>
          <w:numId w:val="37"/>
        </w:numPr>
        <w:tabs>
          <w:tab w:val="left" w:pos="0"/>
        </w:tabs>
        <w:spacing w:after="0" w:line="240" w:lineRule="auto"/>
        <w:ind w:left="709" w:hanging="284"/>
        <w:jc w:val="both"/>
        <w:rPr>
          <w:rFonts w:ascii="Verdana" w:hAnsi="Verdana"/>
          <w:bCs/>
          <w:i/>
          <w:sz w:val="24"/>
          <w:szCs w:val="24"/>
        </w:rPr>
      </w:pPr>
      <w:r w:rsidRPr="00FA5B5F">
        <w:rPr>
          <w:rFonts w:ascii="Verdana" w:hAnsi="Verdana"/>
          <w:bCs/>
          <w:i/>
          <w:sz w:val="24"/>
          <w:szCs w:val="24"/>
        </w:rPr>
        <w:t xml:space="preserve">Así mismo, los servicios se prestan sobre un modelo que inicia con un proceso de caracterización socio-productiva y clasificación, cuyo principal instrumento es la  definición de una ruta o itinerario de generación de ingresos, que contiene un paquete de servicios de las necesidades identificadas para cada individuo.  </w:t>
      </w:r>
    </w:p>
    <w:p w:rsidR="00DA252E" w:rsidRPr="00FA5B5F" w:rsidRDefault="00DA252E" w:rsidP="00FF784D">
      <w:pPr>
        <w:pStyle w:val="Prrafodelista"/>
        <w:numPr>
          <w:ilvl w:val="0"/>
          <w:numId w:val="37"/>
        </w:numPr>
        <w:tabs>
          <w:tab w:val="left" w:pos="0"/>
        </w:tabs>
        <w:spacing w:after="0" w:line="240" w:lineRule="auto"/>
        <w:ind w:left="709" w:hanging="284"/>
        <w:jc w:val="both"/>
        <w:rPr>
          <w:rFonts w:ascii="Verdana" w:hAnsi="Verdana"/>
          <w:i/>
          <w:sz w:val="24"/>
          <w:szCs w:val="24"/>
        </w:rPr>
      </w:pPr>
      <w:r w:rsidRPr="00FA5B5F">
        <w:rPr>
          <w:rFonts w:ascii="Verdana" w:hAnsi="Verdana"/>
          <w:i/>
          <w:sz w:val="24"/>
          <w:szCs w:val="24"/>
        </w:rPr>
        <w:t>En relación con el Incentivo a l</w:t>
      </w:r>
      <w:r>
        <w:rPr>
          <w:rFonts w:ascii="Verdana" w:hAnsi="Verdana"/>
          <w:i/>
          <w:sz w:val="24"/>
          <w:szCs w:val="24"/>
        </w:rPr>
        <w:t>a Capacitación para el Empleo, e</w:t>
      </w:r>
      <w:r w:rsidRPr="00FA5B5F">
        <w:rPr>
          <w:rFonts w:ascii="Verdana" w:hAnsi="Verdana"/>
          <w:i/>
          <w:sz w:val="24"/>
          <w:szCs w:val="24"/>
        </w:rPr>
        <w:t xml:space="preserve">l DPS ejerce la ejecución directa del componente y realiza los pagos de los incentivos a los beneficiarios a través del  Sistema Integrado de Información Financiera SIIF, logrando la reducción de los costos financieros y la optimización de los recursos.  A partir de estos ajustes se proyectan otros para 2015 en procura de la generación de mayores oportunidades laborales para la población vulnerable y víctima del desplazamiento forzado por la violencia. </w:t>
      </w:r>
    </w:p>
    <w:p w:rsidR="00DA252E" w:rsidRPr="00FA5B5F" w:rsidRDefault="00DA252E" w:rsidP="00FF784D">
      <w:pPr>
        <w:pStyle w:val="Prrafodelista"/>
        <w:numPr>
          <w:ilvl w:val="0"/>
          <w:numId w:val="37"/>
        </w:numPr>
        <w:tabs>
          <w:tab w:val="left" w:pos="0"/>
        </w:tabs>
        <w:spacing w:after="0" w:line="240" w:lineRule="auto"/>
        <w:ind w:left="709" w:hanging="284"/>
        <w:jc w:val="both"/>
        <w:rPr>
          <w:rFonts w:ascii="Verdana" w:hAnsi="Verdana" w:cs="Arial"/>
          <w:i/>
          <w:sz w:val="24"/>
          <w:szCs w:val="24"/>
        </w:rPr>
      </w:pPr>
      <w:r w:rsidRPr="00FA5B5F">
        <w:rPr>
          <w:rFonts w:ascii="Verdana" w:hAnsi="Verdana"/>
          <w:i/>
          <w:sz w:val="24"/>
          <w:szCs w:val="24"/>
        </w:rPr>
        <w:t xml:space="preserve">Por su parte el componente Mujeres Ahorradoras en Acción en la línea de atención individual logra reducir los tiempos de formación, pasando de 136 a 116 horas, de igual manera ajusta el ciclo de ahorro de 9 a 6 meses, </w:t>
      </w:r>
      <w:r w:rsidRPr="00FA5B5F">
        <w:rPr>
          <w:rFonts w:ascii="Verdana" w:hAnsi="Verdana" w:cs="Arial"/>
          <w:i/>
          <w:sz w:val="24"/>
          <w:szCs w:val="24"/>
        </w:rPr>
        <w:lastRenderedPageBreak/>
        <w:t>formaliza una etapa de alistamiento y de seguimiento del proyecto, mediante el modelo de Mesas Intersectoriales, permitiendo así articular con entidades adscritas y alcaldías.</w:t>
      </w:r>
    </w:p>
    <w:p w:rsidR="00DA252E" w:rsidRPr="00FA5B5F" w:rsidRDefault="00DA252E" w:rsidP="00FF784D">
      <w:pPr>
        <w:pStyle w:val="Prrafodelista"/>
        <w:numPr>
          <w:ilvl w:val="0"/>
          <w:numId w:val="37"/>
        </w:numPr>
        <w:tabs>
          <w:tab w:val="left" w:pos="0"/>
        </w:tabs>
        <w:spacing w:after="0" w:line="240" w:lineRule="auto"/>
        <w:ind w:left="709" w:hanging="284"/>
        <w:jc w:val="both"/>
        <w:rPr>
          <w:rFonts w:ascii="Verdana" w:hAnsi="Verdana"/>
          <w:i/>
          <w:sz w:val="24"/>
          <w:szCs w:val="24"/>
        </w:rPr>
      </w:pPr>
      <w:r w:rsidRPr="00FA5B5F">
        <w:rPr>
          <w:rFonts w:ascii="Verdana" w:hAnsi="Verdana"/>
          <w:i/>
          <w:sz w:val="24"/>
          <w:szCs w:val="24"/>
        </w:rPr>
        <w:t xml:space="preserve">En materia de emprendimiento individual, se destacan los siguientes logros: Los participantes han mejorado los ingresos familiares a partir de la puesta en marcha de los negocios, han adquirido el habito de llevar cuentas al menos en un cuaderno, las unidades de negocio generan al menos una ocupación adicional a la del participante, los participantes aprendieron a destinar un monto para ahorrar, se logro un mayor nivel de satisfacción del participante con la proveeduría local  al ser ellos mismos los encargados de escoger y firmar las cotizaciones, evidenciando igualmente satisfacción al poder elegir y cotizar los productos que deseaban adquirir y finalmente, con el proceso de visitas de seguimiento implementado en 2014, se cuenta con el registro que la Unidades de Negocio después de capitalizadas continúan en funcionamiento después de 2 y 4 meses de su puesta en marcha. </w:t>
      </w:r>
    </w:p>
    <w:p w:rsidR="00DA252E" w:rsidRDefault="00DA252E" w:rsidP="00FF784D">
      <w:pPr>
        <w:pStyle w:val="Prrafodelista"/>
        <w:numPr>
          <w:ilvl w:val="0"/>
          <w:numId w:val="37"/>
        </w:numPr>
        <w:tabs>
          <w:tab w:val="left" w:pos="0"/>
        </w:tabs>
        <w:spacing w:after="0" w:line="240" w:lineRule="auto"/>
        <w:ind w:left="709" w:hanging="284"/>
        <w:jc w:val="both"/>
        <w:rPr>
          <w:rFonts w:ascii="Verdana" w:hAnsi="Verdana"/>
          <w:i/>
          <w:sz w:val="24"/>
          <w:szCs w:val="24"/>
        </w:rPr>
      </w:pPr>
      <w:r w:rsidRPr="00FA5B5F">
        <w:rPr>
          <w:rFonts w:ascii="Verdana" w:hAnsi="Verdana"/>
          <w:i/>
          <w:sz w:val="24"/>
          <w:szCs w:val="24"/>
        </w:rPr>
        <w:t>De igual manera, el Componente Capitalización logr</w:t>
      </w:r>
      <w:r>
        <w:rPr>
          <w:rFonts w:ascii="Verdana" w:hAnsi="Verdana"/>
          <w:i/>
          <w:sz w:val="24"/>
          <w:szCs w:val="24"/>
        </w:rPr>
        <w:t>ó</w:t>
      </w:r>
      <w:r w:rsidRPr="00FA5B5F">
        <w:rPr>
          <w:rFonts w:ascii="Verdana" w:hAnsi="Verdana"/>
          <w:i/>
          <w:sz w:val="24"/>
          <w:szCs w:val="24"/>
        </w:rPr>
        <w:t xml:space="preserve"> la realización de 80 CLAPS en todo el Territorio Nacional, convocando 2.627 organizaciones en 32 departamentos, logrando de esta manera garantizar la cobertura  que durante el periodo de gobierno se ha brindado en cada vigencia. Del total de organizaciones convocadas, asistieron 1.701 y de estas pasaron este proceso de selección 1.363.</w:t>
      </w:r>
    </w:p>
    <w:p w:rsidR="00DA252E" w:rsidRPr="00FA5B5F" w:rsidRDefault="00DA252E" w:rsidP="00FF784D">
      <w:pPr>
        <w:pStyle w:val="Prrafodelista"/>
        <w:numPr>
          <w:ilvl w:val="0"/>
          <w:numId w:val="37"/>
        </w:numPr>
        <w:tabs>
          <w:tab w:val="left" w:pos="0"/>
        </w:tabs>
        <w:spacing w:after="0" w:line="240" w:lineRule="auto"/>
        <w:ind w:left="709" w:hanging="284"/>
        <w:jc w:val="both"/>
        <w:rPr>
          <w:rFonts w:ascii="Verdana" w:hAnsi="Verdana"/>
          <w:i/>
          <w:sz w:val="24"/>
          <w:szCs w:val="24"/>
        </w:rPr>
      </w:pPr>
      <w:r w:rsidRPr="00FA5B5F">
        <w:rPr>
          <w:rFonts w:ascii="Verdana" w:hAnsi="Verdana"/>
          <w:i/>
          <w:sz w:val="24"/>
          <w:szCs w:val="24"/>
        </w:rPr>
        <w:t xml:space="preserve">Con los observatorios Regionales de Mercado de Trabajo, se logró realizar la caracterización de los perfiles ocupacionales de los beneficiarios de vivienda gratuita en 24 proyectos, en las siguientes ciudades: Cartagena, Santa Marta, Barranquilla, Montería,  Soacha, Soledad, Valledupar, Cúcuta, Villa del Rosario, Pereira, Dosquebradas, Cali, Jamundí, Popayán, Pasto y Florencia. Así mismo, se avanza en la formulación y diseño de las rutas de inclusión productiva como estrategia de intervención multisectorial para los beneficiarios de estos proyectos, a partir de los cuales se concertarán planes de acción local como mecanismo de articulación de la oferta institucional. </w:t>
      </w:r>
    </w:p>
    <w:p w:rsidR="00DA252E" w:rsidRDefault="00DA252E" w:rsidP="00DA252E">
      <w:pPr>
        <w:spacing w:after="0" w:line="240" w:lineRule="auto"/>
        <w:jc w:val="both"/>
        <w:rPr>
          <w:rFonts w:ascii="Verdana" w:hAnsi="Verdana"/>
          <w:b/>
          <w:sz w:val="24"/>
          <w:szCs w:val="24"/>
        </w:rPr>
      </w:pPr>
    </w:p>
    <w:p w:rsidR="00DA252E" w:rsidRDefault="00DA252E" w:rsidP="00DA252E">
      <w:pPr>
        <w:spacing w:after="0" w:line="240" w:lineRule="auto"/>
        <w:jc w:val="both"/>
        <w:rPr>
          <w:rFonts w:ascii="Verdana" w:hAnsi="Verdana"/>
          <w:b/>
          <w:color w:val="548DD4" w:themeColor="text2" w:themeTint="99"/>
          <w:sz w:val="24"/>
          <w:szCs w:val="24"/>
        </w:rPr>
      </w:pPr>
      <w:r>
        <w:rPr>
          <w:rFonts w:ascii="Verdana" w:hAnsi="Verdana"/>
          <w:b/>
          <w:color w:val="548DD4" w:themeColor="text2" w:themeTint="99"/>
          <w:sz w:val="24"/>
          <w:szCs w:val="24"/>
        </w:rPr>
        <w:t>Retos</w:t>
      </w:r>
      <w:r w:rsidRPr="00B36FCF">
        <w:rPr>
          <w:rFonts w:ascii="Verdana" w:hAnsi="Verdana"/>
          <w:b/>
          <w:color w:val="548DD4" w:themeColor="text2" w:themeTint="99"/>
          <w:sz w:val="24"/>
          <w:szCs w:val="24"/>
        </w:rPr>
        <w:t xml:space="preserve"> </w:t>
      </w:r>
      <w:r w:rsidR="00C75A93">
        <w:rPr>
          <w:rFonts w:ascii="Verdana" w:hAnsi="Verdana"/>
          <w:b/>
          <w:color w:val="548DD4" w:themeColor="text2" w:themeTint="99"/>
          <w:sz w:val="24"/>
          <w:szCs w:val="24"/>
        </w:rPr>
        <w:t>2015</w:t>
      </w:r>
    </w:p>
    <w:p w:rsidR="00DA252E" w:rsidRPr="00B36FCF" w:rsidRDefault="00DA252E" w:rsidP="00DA252E">
      <w:pPr>
        <w:spacing w:after="0" w:line="240" w:lineRule="auto"/>
        <w:jc w:val="both"/>
        <w:rPr>
          <w:rFonts w:ascii="Verdana" w:hAnsi="Verdana"/>
          <w:b/>
          <w:color w:val="548DD4" w:themeColor="text2" w:themeTint="99"/>
          <w:sz w:val="24"/>
          <w:szCs w:val="24"/>
        </w:rPr>
      </w:pPr>
    </w:p>
    <w:p w:rsidR="00DA252E" w:rsidRPr="00856632" w:rsidRDefault="00DA252E" w:rsidP="00FF784D">
      <w:pPr>
        <w:pStyle w:val="Prrafodelista"/>
        <w:numPr>
          <w:ilvl w:val="0"/>
          <w:numId w:val="37"/>
        </w:numPr>
        <w:tabs>
          <w:tab w:val="left" w:pos="0"/>
        </w:tabs>
        <w:spacing w:after="0" w:line="240" w:lineRule="auto"/>
        <w:ind w:left="709" w:hanging="284"/>
        <w:jc w:val="both"/>
        <w:rPr>
          <w:rFonts w:ascii="Verdana" w:hAnsi="Verdana"/>
          <w:i/>
          <w:sz w:val="24"/>
          <w:szCs w:val="24"/>
        </w:rPr>
      </w:pPr>
      <w:r w:rsidRPr="00856632">
        <w:rPr>
          <w:rFonts w:ascii="Verdana" w:hAnsi="Verdana"/>
          <w:i/>
          <w:sz w:val="24"/>
          <w:szCs w:val="24"/>
        </w:rPr>
        <w:t xml:space="preserve">Se tiene como propósito potenciar los resultados logrados por este componente, transformándolo en una nueva herramienta denominada Inclusión Financiera, como se abordará en el capítulo de retos. </w:t>
      </w:r>
    </w:p>
    <w:p w:rsidR="00DA252E" w:rsidRPr="00856632" w:rsidRDefault="00DA252E" w:rsidP="00FF784D">
      <w:pPr>
        <w:pStyle w:val="Prrafodelista"/>
        <w:numPr>
          <w:ilvl w:val="0"/>
          <w:numId w:val="37"/>
        </w:numPr>
        <w:tabs>
          <w:tab w:val="left" w:pos="0"/>
        </w:tabs>
        <w:spacing w:after="0" w:line="240" w:lineRule="auto"/>
        <w:ind w:left="709" w:hanging="284"/>
        <w:jc w:val="both"/>
        <w:rPr>
          <w:rFonts w:ascii="Verdana" w:hAnsi="Verdana"/>
          <w:i/>
          <w:sz w:val="24"/>
          <w:szCs w:val="24"/>
        </w:rPr>
      </w:pPr>
      <w:r w:rsidRPr="00856632">
        <w:rPr>
          <w:rFonts w:ascii="Verdana" w:hAnsi="Verdana"/>
          <w:i/>
          <w:sz w:val="24"/>
          <w:szCs w:val="24"/>
        </w:rPr>
        <w:lastRenderedPageBreak/>
        <w:t>Aunar esfuerzos a fin de establecer estrategias que permitan incrementar los acuerdos de empleabilidad con el sector privado generando mayores oportunidades de empleo para la población sujeto de atención del DPS.</w:t>
      </w:r>
    </w:p>
    <w:p w:rsidR="00DA252E" w:rsidRPr="00856632" w:rsidRDefault="00DA252E" w:rsidP="00FF784D">
      <w:pPr>
        <w:pStyle w:val="Prrafodelista"/>
        <w:numPr>
          <w:ilvl w:val="0"/>
          <w:numId w:val="37"/>
        </w:numPr>
        <w:tabs>
          <w:tab w:val="left" w:pos="0"/>
        </w:tabs>
        <w:spacing w:after="0" w:line="240" w:lineRule="auto"/>
        <w:ind w:left="709" w:hanging="284"/>
        <w:jc w:val="both"/>
        <w:rPr>
          <w:rFonts w:ascii="Verdana" w:hAnsi="Verdana"/>
          <w:i/>
          <w:sz w:val="24"/>
          <w:szCs w:val="24"/>
        </w:rPr>
      </w:pPr>
      <w:r w:rsidRPr="00856632">
        <w:rPr>
          <w:rFonts w:ascii="Verdana" w:hAnsi="Verdana"/>
          <w:i/>
          <w:sz w:val="24"/>
          <w:szCs w:val="24"/>
        </w:rPr>
        <w:t>Reorientar las estrategias de generación de ingresos de acuerdo con los lineamientos del nuevo plan de desarrollo potenciando la oferta rural y fortaleciendo los procesos de generación de información estratégica que contribuyan al mejoramiento continuo de una oferta pertinente a las necesidades de la población.</w:t>
      </w:r>
    </w:p>
    <w:p w:rsidR="00DA252E" w:rsidRPr="00856632" w:rsidRDefault="00DA252E" w:rsidP="00FF784D">
      <w:pPr>
        <w:pStyle w:val="Prrafodelista"/>
        <w:numPr>
          <w:ilvl w:val="0"/>
          <w:numId w:val="37"/>
        </w:numPr>
        <w:tabs>
          <w:tab w:val="left" w:pos="0"/>
        </w:tabs>
        <w:spacing w:after="0" w:line="240" w:lineRule="auto"/>
        <w:ind w:left="709" w:hanging="284"/>
        <w:jc w:val="both"/>
        <w:rPr>
          <w:rFonts w:ascii="Verdana" w:hAnsi="Verdana"/>
          <w:i/>
          <w:sz w:val="24"/>
          <w:szCs w:val="24"/>
        </w:rPr>
      </w:pPr>
      <w:r w:rsidRPr="00856632">
        <w:rPr>
          <w:rFonts w:ascii="Verdana" w:hAnsi="Verdana"/>
          <w:i/>
          <w:sz w:val="24"/>
          <w:szCs w:val="24"/>
        </w:rPr>
        <w:t>Fortalecer los procesos de articulación interinstitucional en las principales ciudades capitales para el diseño de estrategias territoriales que contribuyan a la inclusión productiva de la población en situación de pobreza extrema y vulnerabilidad, así como de las víctimas de la violencia a partir de las ventanillas únicas.</w:t>
      </w:r>
    </w:p>
    <w:p w:rsidR="00DA252E" w:rsidRDefault="00DA252E" w:rsidP="00DA252E">
      <w:pPr>
        <w:tabs>
          <w:tab w:val="left" w:pos="426"/>
        </w:tabs>
        <w:spacing w:after="0" w:line="240" w:lineRule="auto"/>
        <w:jc w:val="both"/>
        <w:rPr>
          <w:rFonts w:ascii="Verdana" w:hAnsi="Verdana" w:cs="Arial"/>
          <w:i/>
          <w:sz w:val="24"/>
          <w:szCs w:val="24"/>
        </w:rPr>
      </w:pPr>
    </w:p>
    <w:p w:rsidR="00DA252E" w:rsidRPr="00334E15" w:rsidRDefault="00DA252E" w:rsidP="00DA252E">
      <w:pPr>
        <w:pStyle w:val="Ttulo3"/>
        <w:spacing w:before="0" w:after="0" w:line="240" w:lineRule="auto"/>
        <w:rPr>
          <w:rFonts w:ascii="Verdana" w:hAnsi="Verdana"/>
          <w:color w:val="548DD4" w:themeColor="text2" w:themeTint="99"/>
          <w:sz w:val="24"/>
          <w:szCs w:val="24"/>
          <w:u w:val="single"/>
        </w:rPr>
      </w:pPr>
      <w:bookmarkStart w:id="30" w:name="_Toc410376781"/>
      <w:r w:rsidRPr="00334E15">
        <w:rPr>
          <w:rFonts w:ascii="Verdana" w:hAnsi="Verdana"/>
          <w:color w:val="548DD4" w:themeColor="text2" w:themeTint="99"/>
          <w:sz w:val="24"/>
          <w:szCs w:val="24"/>
          <w:u w:val="single"/>
        </w:rPr>
        <w:t>ACTIVOS PARA LA PROSPERIDAD</w:t>
      </w:r>
      <w:bookmarkEnd w:id="30"/>
    </w:p>
    <w:p w:rsidR="00DA252E" w:rsidRPr="00B36FCF" w:rsidRDefault="00DA252E" w:rsidP="00DA252E">
      <w:pPr>
        <w:spacing w:after="0" w:line="240" w:lineRule="auto"/>
        <w:jc w:val="both"/>
        <w:rPr>
          <w:rFonts w:ascii="Verdana" w:hAnsi="Verdana"/>
          <w:b/>
          <w:color w:val="548DD4" w:themeColor="text2" w:themeTint="99"/>
          <w:sz w:val="24"/>
          <w:szCs w:val="24"/>
        </w:rPr>
      </w:pPr>
    </w:p>
    <w:p w:rsidR="00856632" w:rsidRDefault="00856632" w:rsidP="00DA252E">
      <w:pPr>
        <w:spacing w:after="0" w:line="240" w:lineRule="auto"/>
        <w:jc w:val="both"/>
        <w:rPr>
          <w:rFonts w:ascii="Verdana" w:hAnsi="Verdana"/>
          <w:b/>
          <w:color w:val="548DD4" w:themeColor="text2" w:themeTint="99"/>
          <w:sz w:val="24"/>
          <w:szCs w:val="24"/>
        </w:rPr>
      </w:pPr>
    </w:p>
    <w:p w:rsidR="00DA252E" w:rsidRPr="00B36FCF" w:rsidRDefault="00DA252E" w:rsidP="00DA252E">
      <w:pPr>
        <w:spacing w:after="0" w:line="240" w:lineRule="auto"/>
        <w:jc w:val="both"/>
        <w:rPr>
          <w:rFonts w:ascii="Verdana" w:hAnsi="Verdana"/>
          <w:b/>
          <w:color w:val="548DD4" w:themeColor="text2" w:themeTint="99"/>
          <w:sz w:val="24"/>
          <w:szCs w:val="24"/>
        </w:rPr>
      </w:pPr>
      <w:r w:rsidRPr="00B36FCF">
        <w:rPr>
          <w:rFonts w:ascii="Verdana" w:hAnsi="Verdana"/>
          <w:b/>
          <w:color w:val="548DD4" w:themeColor="text2" w:themeTint="99"/>
          <w:sz w:val="24"/>
          <w:szCs w:val="24"/>
        </w:rPr>
        <w:t>Objetivo</w:t>
      </w:r>
    </w:p>
    <w:p w:rsidR="00DA252E" w:rsidRPr="00FB7E69" w:rsidRDefault="00DA252E" w:rsidP="00DA252E">
      <w:pPr>
        <w:spacing w:after="0" w:line="240" w:lineRule="auto"/>
        <w:jc w:val="both"/>
        <w:rPr>
          <w:rFonts w:ascii="Verdana" w:hAnsi="Verdana"/>
          <w:b/>
          <w:sz w:val="24"/>
          <w:szCs w:val="24"/>
        </w:rPr>
      </w:pPr>
    </w:p>
    <w:p w:rsidR="00DA252E" w:rsidRDefault="00DA252E" w:rsidP="00DA252E">
      <w:pPr>
        <w:spacing w:after="0" w:line="240" w:lineRule="auto"/>
        <w:jc w:val="both"/>
        <w:rPr>
          <w:rFonts w:ascii="Verdana" w:hAnsi="Verdana" w:cs="Arial"/>
          <w:sz w:val="24"/>
          <w:szCs w:val="24"/>
        </w:rPr>
      </w:pPr>
      <w:r w:rsidRPr="009017F2">
        <w:rPr>
          <w:rFonts w:ascii="Verdana" w:hAnsi="Verdana" w:cs="Arial"/>
          <w:sz w:val="24"/>
          <w:szCs w:val="24"/>
        </w:rPr>
        <w:t>Contribuir en el mejoramiento de las condiciones sociales y económicas de la población pobre extrema, vulnerable y víctima de la violencia con la distribución de activos en especie en calidad de donación gestionados con fuentes de cooperación pública, privada, nacional e internacional.</w:t>
      </w:r>
    </w:p>
    <w:p w:rsidR="00DA252E" w:rsidRPr="009017F2" w:rsidRDefault="00DA252E" w:rsidP="00DA252E">
      <w:pPr>
        <w:spacing w:after="0" w:line="240" w:lineRule="auto"/>
        <w:jc w:val="both"/>
        <w:rPr>
          <w:rFonts w:ascii="Verdana" w:hAnsi="Verdana"/>
          <w:b/>
          <w:sz w:val="24"/>
          <w:szCs w:val="24"/>
        </w:rPr>
      </w:pPr>
    </w:p>
    <w:p w:rsidR="00DA252E" w:rsidRDefault="00DA252E" w:rsidP="00DA252E">
      <w:pPr>
        <w:spacing w:after="0" w:line="240" w:lineRule="auto"/>
        <w:jc w:val="both"/>
        <w:rPr>
          <w:rFonts w:ascii="Verdana" w:hAnsi="Verdana"/>
          <w:b/>
          <w:color w:val="548DD4" w:themeColor="text2" w:themeTint="99"/>
          <w:sz w:val="24"/>
          <w:szCs w:val="24"/>
        </w:rPr>
      </w:pPr>
      <w:r w:rsidRPr="00B36FCF">
        <w:rPr>
          <w:rFonts w:ascii="Verdana" w:hAnsi="Verdana"/>
          <w:b/>
          <w:color w:val="548DD4" w:themeColor="text2" w:themeTint="99"/>
          <w:sz w:val="24"/>
          <w:szCs w:val="24"/>
        </w:rPr>
        <w:t>Líneas de Acción</w:t>
      </w:r>
    </w:p>
    <w:p w:rsidR="00DA252E" w:rsidRPr="00B36FCF" w:rsidRDefault="00DA252E" w:rsidP="00DA252E">
      <w:pPr>
        <w:spacing w:after="0" w:line="240" w:lineRule="auto"/>
        <w:jc w:val="both"/>
        <w:rPr>
          <w:rFonts w:ascii="Verdana" w:hAnsi="Verdana"/>
          <w:b/>
          <w:color w:val="548DD4" w:themeColor="text2" w:themeTint="99"/>
          <w:sz w:val="24"/>
          <w:szCs w:val="24"/>
        </w:rPr>
      </w:pPr>
    </w:p>
    <w:p w:rsidR="00DA252E" w:rsidRPr="009017F2" w:rsidRDefault="00DA252E" w:rsidP="00DA252E">
      <w:pPr>
        <w:pStyle w:val="Prrafodelista"/>
        <w:spacing w:after="0" w:line="240" w:lineRule="auto"/>
        <w:ind w:left="0"/>
        <w:jc w:val="both"/>
        <w:rPr>
          <w:rFonts w:ascii="Verdana" w:hAnsi="Verdana" w:cs="Arial"/>
          <w:sz w:val="24"/>
          <w:szCs w:val="24"/>
        </w:rPr>
      </w:pPr>
      <w:r w:rsidRPr="009017F2">
        <w:rPr>
          <w:rFonts w:ascii="Verdana" w:hAnsi="Verdana" w:cs="Arial"/>
          <w:sz w:val="24"/>
          <w:szCs w:val="24"/>
        </w:rPr>
        <w:t>Activos para la Prosperidad gestiona y distribuye, de manera oportuna, pertinente y transparente activos en especie que fortalezcan, propicien o complementen iniciativas de:</w:t>
      </w:r>
    </w:p>
    <w:p w:rsidR="00DA252E" w:rsidRPr="00856632" w:rsidRDefault="00DA252E" w:rsidP="00582BDE">
      <w:pPr>
        <w:pStyle w:val="Prrafodelista"/>
        <w:numPr>
          <w:ilvl w:val="0"/>
          <w:numId w:val="126"/>
        </w:numPr>
        <w:spacing w:after="0" w:line="240" w:lineRule="auto"/>
        <w:ind w:left="709"/>
        <w:jc w:val="both"/>
        <w:rPr>
          <w:rFonts w:ascii="Verdana" w:hAnsi="Verdana" w:cs="Arial"/>
          <w:sz w:val="24"/>
          <w:szCs w:val="24"/>
        </w:rPr>
      </w:pPr>
      <w:r w:rsidRPr="00856632">
        <w:rPr>
          <w:rFonts w:ascii="Verdana" w:hAnsi="Verdana" w:cs="Arial"/>
          <w:sz w:val="24"/>
          <w:szCs w:val="24"/>
        </w:rPr>
        <w:t>Inclusión social y  productiva.</w:t>
      </w:r>
    </w:p>
    <w:p w:rsidR="00DA252E" w:rsidRPr="00856632" w:rsidRDefault="00DA252E" w:rsidP="00FF784D">
      <w:pPr>
        <w:pStyle w:val="Prrafodelista"/>
        <w:numPr>
          <w:ilvl w:val="0"/>
          <w:numId w:val="31"/>
        </w:numPr>
        <w:tabs>
          <w:tab w:val="left" w:pos="709"/>
        </w:tabs>
        <w:spacing w:after="0" w:line="240" w:lineRule="auto"/>
        <w:ind w:left="709"/>
        <w:jc w:val="both"/>
        <w:rPr>
          <w:rFonts w:ascii="Verdana" w:hAnsi="Verdana" w:cs="Arial"/>
          <w:sz w:val="24"/>
          <w:szCs w:val="24"/>
        </w:rPr>
      </w:pPr>
      <w:r w:rsidRPr="00856632">
        <w:rPr>
          <w:rFonts w:ascii="Verdana" w:hAnsi="Verdana" w:cs="Arial"/>
          <w:sz w:val="24"/>
          <w:szCs w:val="24"/>
        </w:rPr>
        <w:t>Prevención, atención humanitaria, retornos y reubicaciones, de procesos de reconciliación y de consolidación territorial.</w:t>
      </w:r>
    </w:p>
    <w:p w:rsidR="00DA252E" w:rsidRPr="00856632" w:rsidRDefault="00DA252E" w:rsidP="00FF784D">
      <w:pPr>
        <w:pStyle w:val="Prrafodelista"/>
        <w:numPr>
          <w:ilvl w:val="0"/>
          <w:numId w:val="31"/>
        </w:numPr>
        <w:tabs>
          <w:tab w:val="left" w:pos="709"/>
        </w:tabs>
        <w:spacing w:after="0" w:line="240" w:lineRule="auto"/>
        <w:ind w:left="709"/>
        <w:jc w:val="both"/>
        <w:rPr>
          <w:rFonts w:ascii="Verdana" w:hAnsi="Verdana" w:cs="Arial"/>
          <w:sz w:val="24"/>
          <w:szCs w:val="24"/>
        </w:rPr>
      </w:pPr>
      <w:r w:rsidRPr="00856632">
        <w:rPr>
          <w:rFonts w:ascii="Verdana" w:hAnsi="Verdana" w:cs="Arial"/>
          <w:sz w:val="24"/>
          <w:szCs w:val="24"/>
        </w:rPr>
        <w:t>Fortalecimiento institucional del Sector de Inclusión Social y Reconciliación.</w:t>
      </w:r>
    </w:p>
    <w:p w:rsidR="00DA252E" w:rsidRPr="009017F2" w:rsidRDefault="00DA252E" w:rsidP="00DA252E">
      <w:pPr>
        <w:pStyle w:val="Prrafodelista"/>
        <w:spacing w:after="0" w:line="240" w:lineRule="auto"/>
        <w:jc w:val="both"/>
        <w:rPr>
          <w:rFonts w:ascii="Verdana" w:hAnsi="Verdana" w:cs="Arial"/>
          <w:sz w:val="24"/>
          <w:szCs w:val="24"/>
        </w:rPr>
      </w:pPr>
    </w:p>
    <w:p w:rsidR="00DA252E" w:rsidRDefault="00DA252E" w:rsidP="00DA252E">
      <w:pPr>
        <w:spacing w:after="0" w:line="240" w:lineRule="auto"/>
        <w:jc w:val="both"/>
        <w:rPr>
          <w:rFonts w:ascii="Verdana" w:hAnsi="Verdana"/>
          <w:b/>
          <w:color w:val="548DD4" w:themeColor="text2" w:themeTint="99"/>
          <w:sz w:val="24"/>
          <w:szCs w:val="24"/>
        </w:rPr>
      </w:pPr>
      <w:r w:rsidRPr="00B36FCF">
        <w:rPr>
          <w:rFonts w:ascii="Verdana" w:hAnsi="Verdana"/>
          <w:b/>
          <w:color w:val="548DD4" w:themeColor="text2" w:themeTint="99"/>
          <w:sz w:val="24"/>
          <w:szCs w:val="24"/>
        </w:rPr>
        <w:t>Cumplimiento Metas</w:t>
      </w:r>
    </w:p>
    <w:p w:rsidR="00DA252E" w:rsidRDefault="00DA252E" w:rsidP="00DA252E">
      <w:pPr>
        <w:spacing w:after="0" w:line="240" w:lineRule="auto"/>
        <w:jc w:val="both"/>
        <w:rPr>
          <w:rFonts w:ascii="Verdana" w:hAnsi="Verdana"/>
          <w:b/>
          <w:color w:val="548DD4" w:themeColor="text2" w:themeTint="99"/>
          <w:sz w:val="24"/>
          <w:szCs w:val="24"/>
        </w:rPr>
      </w:pPr>
    </w:p>
    <w:p w:rsidR="00DA252E" w:rsidRDefault="00DA252E" w:rsidP="00DA252E">
      <w:pPr>
        <w:spacing w:after="0" w:line="240" w:lineRule="auto"/>
        <w:rPr>
          <w:rFonts w:ascii="Verdana" w:hAnsi="Verdana"/>
          <w:sz w:val="24"/>
          <w:szCs w:val="24"/>
        </w:rPr>
      </w:pPr>
      <w:r w:rsidRPr="00B618EA">
        <w:rPr>
          <w:rFonts w:ascii="Verdana" w:hAnsi="Verdana"/>
          <w:sz w:val="24"/>
          <w:szCs w:val="24"/>
        </w:rPr>
        <w:t>Meta 2014: $</w:t>
      </w:r>
      <w:r>
        <w:rPr>
          <w:rFonts w:ascii="Verdana" w:hAnsi="Verdana"/>
          <w:sz w:val="24"/>
          <w:szCs w:val="24"/>
        </w:rPr>
        <w:t>10.000</w:t>
      </w:r>
      <w:r w:rsidR="00636B9E">
        <w:rPr>
          <w:rFonts w:ascii="Verdana" w:hAnsi="Verdana"/>
          <w:sz w:val="24"/>
          <w:szCs w:val="24"/>
        </w:rPr>
        <w:t xml:space="preserve"> millones.</w:t>
      </w:r>
    </w:p>
    <w:p w:rsidR="00DA252E" w:rsidRPr="00FC270C" w:rsidRDefault="00DA252E" w:rsidP="00DA252E">
      <w:pPr>
        <w:spacing w:after="0" w:line="240" w:lineRule="auto"/>
        <w:jc w:val="both"/>
        <w:rPr>
          <w:rFonts w:ascii="Verdana" w:hAnsi="Verdana"/>
          <w:sz w:val="24"/>
          <w:szCs w:val="24"/>
        </w:rPr>
      </w:pPr>
      <w:r>
        <w:rPr>
          <w:rFonts w:ascii="Verdana" w:hAnsi="Verdana"/>
          <w:sz w:val="24"/>
          <w:szCs w:val="24"/>
        </w:rPr>
        <w:t>Avance Meta</w:t>
      </w:r>
      <w:r w:rsidRPr="00FC270C">
        <w:rPr>
          <w:rFonts w:ascii="Verdana" w:hAnsi="Verdana"/>
          <w:sz w:val="24"/>
          <w:szCs w:val="24"/>
        </w:rPr>
        <w:t>: $7.171 millones representados en activos en especie.</w:t>
      </w:r>
    </w:p>
    <w:p w:rsidR="00DA252E" w:rsidRPr="00FC270C" w:rsidRDefault="00DA252E" w:rsidP="00DA252E">
      <w:pPr>
        <w:spacing w:after="0" w:line="240" w:lineRule="auto"/>
        <w:jc w:val="both"/>
        <w:rPr>
          <w:rFonts w:ascii="Verdana" w:hAnsi="Verdana"/>
          <w:sz w:val="24"/>
          <w:szCs w:val="24"/>
        </w:rPr>
      </w:pPr>
    </w:p>
    <w:p w:rsidR="00DA252E" w:rsidRPr="00A86F56" w:rsidRDefault="00DA252E" w:rsidP="00DA252E">
      <w:pPr>
        <w:spacing w:after="0" w:line="240" w:lineRule="auto"/>
        <w:jc w:val="both"/>
        <w:rPr>
          <w:rFonts w:ascii="Verdana" w:hAnsi="Verdana"/>
          <w:i/>
          <w:sz w:val="24"/>
          <w:szCs w:val="24"/>
          <w:highlight w:val="cyan"/>
        </w:rPr>
      </w:pPr>
      <w:r w:rsidRPr="00FC270C">
        <w:rPr>
          <w:rFonts w:ascii="Verdana" w:hAnsi="Verdana"/>
          <w:sz w:val="24"/>
          <w:szCs w:val="24"/>
        </w:rPr>
        <w:lastRenderedPageBreak/>
        <w:t>Se logra gestionar $8.180 millones en activos en especie, entregando a la población sujeto de atención del DPS $7.171 millones</w:t>
      </w:r>
      <w:r w:rsidRPr="009017F2">
        <w:rPr>
          <w:rFonts w:ascii="Verdana" w:hAnsi="Verdana"/>
          <w:sz w:val="24"/>
          <w:szCs w:val="24"/>
        </w:rPr>
        <w:t>.</w:t>
      </w:r>
      <w:r>
        <w:rPr>
          <w:rFonts w:ascii="Verdana" w:hAnsi="Verdana"/>
          <w:sz w:val="24"/>
          <w:szCs w:val="24"/>
        </w:rPr>
        <w:t xml:space="preserve"> </w:t>
      </w:r>
      <w:r>
        <w:rPr>
          <w:rFonts w:ascii="Verdana" w:hAnsi="Verdana"/>
          <w:i/>
          <w:sz w:val="24"/>
          <w:szCs w:val="24"/>
        </w:rPr>
        <w:t xml:space="preserve"> </w:t>
      </w:r>
      <w:r w:rsidRPr="00A86F56">
        <w:rPr>
          <w:rFonts w:ascii="Verdana" w:hAnsi="Verdana"/>
          <w:sz w:val="24"/>
          <w:szCs w:val="24"/>
        </w:rPr>
        <w:t>La diferencia entre el valor gestionado y el entregado, corresponde a diferencias entre los activos y valores reportados y notificados por</w:t>
      </w:r>
      <w:r>
        <w:rPr>
          <w:rFonts w:ascii="Verdana" w:hAnsi="Verdana"/>
          <w:sz w:val="24"/>
          <w:szCs w:val="24"/>
        </w:rPr>
        <w:t xml:space="preserve"> el principal socio donante,</w:t>
      </w:r>
      <w:r w:rsidRPr="00A86F56">
        <w:rPr>
          <w:rFonts w:ascii="Verdana" w:hAnsi="Verdana"/>
          <w:sz w:val="24"/>
          <w:szCs w:val="24"/>
        </w:rPr>
        <w:t xml:space="preserve"> Dirección de Impuestos y Aduanas Nacionales - DIAN y los efectivamente recibidos y distribuidos por el DPS.</w:t>
      </w:r>
    </w:p>
    <w:p w:rsidR="00DA252E" w:rsidRPr="00B36FCF" w:rsidRDefault="00DA252E" w:rsidP="00DA252E">
      <w:pPr>
        <w:spacing w:after="0" w:line="240" w:lineRule="auto"/>
        <w:jc w:val="both"/>
        <w:rPr>
          <w:rFonts w:ascii="Verdana" w:hAnsi="Verdana"/>
          <w:color w:val="548DD4" w:themeColor="text2" w:themeTint="99"/>
          <w:sz w:val="24"/>
          <w:szCs w:val="24"/>
        </w:rPr>
      </w:pPr>
    </w:p>
    <w:p w:rsidR="00856632" w:rsidRDefault="00856632" w:rsidP="00DA252E">
      <w:pPr>
        <w:spacing w:after="0" w:line="240" w:lineRule="auto"/>
        <w:jc w:val="both"/>
        <w:rPr>
          <w:rFonts w:ascii="Verdana" w:hAnsi="Verdana"/>
          <w:b/>
          <w:color w:val="548DD4" w:themeColor="text2" w:themeTint="99"/>
          <w:sz w:val="24"/>
          <w:szCs w:val="24"/>
        </w:rPr>
      </w:pPr>
    </w:p>
    <w:p w:rsidR="00DA252E" w:rsidRPr="00B36FCF" w:rsidRDefault="00DA252E" w:rsidP="00DA252E">
      <w:pPr>
        <w:spacing w:after="0" w:line="240" w:lineRule="auto"/>
        <w:jc w:val="both"/>
        <w:rPr>
          <w:rFonts w:ascii="Verdana" w:hAnsi="Verdana"/>
          <w:b/>
          <w:color w:val="548DD4" w:themeColor="text2" w:themeTint="99"/>
          <w:sz w:val="24"/>
          <w:szCs w:val="24"/>
        </w:rPr>
      </w:pPr>
      <w:r w:rsidRPr="00B36FCF">
        <w:rPr>
          <w:rFonts w:ascii="Verdana" w:hAnsi="Verdana"/>
          <w:b/>
          <w:color w:val="548DD4" w:themeColor="text2" w:themeTint="99"/>
          <w:sz w:val="24"/>
          <w:szCs w:val="24"/>
        </w:rPr>
        <w:t xml:space="preserve">Logros </w:t>
      </w:r>
    </w:p>
    <w:p w:rsidR="00DA252E" w:rsidRPr="008E5714" w:rsidRDefault="00DA252E" w:rsidP="00DA252E">
      <w:pPr>
        <w:spacing w:after="0" w:line="240" w:lineRule="auto"/>
        <w:jc w:val="both"/>
        <w:rPr>
          <w:rFonts w:ascii="Verdana" w:hAnsi="Verdana"/>
          <w:sz w:val="24"/>
          <w:szCs w:val="24"/>
        </w:rPr>
      </w:pPr>
    </w:p>
    <w:p w:rsidR="00DA252E" w:rsidRPr="002D199E" w:rsidRDefault="00DA252E" w:rsidP="00FF784D">
      <w:pPr>
        <w:pStyle w:val="Prrafodelista"/>
        <w:numPr>
          <w:ilvl w:val="0"/>
          <w:numId w:val="40"/>
        </w:numPr>
        <w:spacing w:after="0" w:line="240" w:lineRule="auto"/>
        <w:ind w:left="851" w:hanging="284"/>
        <w:jc w:val="both"/>
        <w:rPr>
          <w:rFonts w:ascii="Verdana" w:hAnsi="Verdana"/>
          <w:i/>
          <w:sz w:val="24"/>
          <w:szCs w:val="24"/>
        </w:rPr>
      </w:pPr>
      <w:r w:rsidRPr="0089610E">
        <w:rPr>
          <w:rFonts w:ascii="Verdana" w:hAnsi="Verdana"/>
          <w:i/>
          <w:sz w:val="24"/>
          <w:szCs w:val="24"/>
        </w:rPr>
        <w:t>Se contribuyó a la superación de la pobreza con activos en calidad de donación a través de la Consejería Presidencial para la Primera Infancia – CPPI; la Subdirección de Seguridad Alimentaria y Nutrición, el Grupo de Apoyo Misional GAM; Jóvenes en Acción y Música para la Reconciliación, logrando aportar en el mejoramiento de la calidad de vida de la población sujeto de atención del DPS.</w:t>
      </w:r>
    </w:p>
    <w:p w:rsidR="00DA252E" w:rsidRPr="00F70AAA" w:rsidRDefault="00DA252E" w:rsidP="00DA252E">
      <w:pPr>
        <w:spacing w:after="0" w:line="240" w:lineRule="auto"/>
        <w:jc w:val="both"/>
        <w:rPr>
          <w:rFonts w:ascii="Verdana" w:hAnsi="Verdana"/>
          <w:i/>
          <w:sz w:val="24"/>
          <w:szCs w:val="24"/>
        </w:rPr>
      </w:pPr>
    </w:p>
    <w:p w:rsidR="00DA252E" w:rsidRPr="00334E15" w:rsidRDefault="00DA252E" w:rsidP="00DA252E">
      <w:pPr>
        <w:pStyle w:val="Ttulo3"/>
        <w:spacing w:before="0" w:after="0" w:line="240" w:lineRule="auto"/>
        <w:rPr>
          <w:rFonts w:ascii="Verdana" w:hAnsi="Verdana"/>
          <w:color w:val="548DD4" w:themeColor="text2" w:themeTint="99"/>
          <w:sz w:val="24"/>
          <w:szCs w:val="24"/>
          <w:u w:val="single"/>
        </w:rPr>
      </w:pPr>
      <w:bookmarkStart w:id="31" w:name="_Toc410376782"/>
      <w:r w:rsidRPr="00334E15">
        <w:rPr>
          <w:rFonts w:ascii="Verdana" w:hAnsi="Verdana"/>
          <w:color w:val="548DD4" w:themeColor="text2" w:themeTint="99"/>
          <w:sz w:val="24"/>
          <w:szCs w:val="24"/>
          <w:u w:val="single"/>
        </w:rPr>
        <w:t>EMPLEO TEMPORAL</w:t>
      </w:r>
      <w:bookmarkEnd w:id="31"/>
    </w:p>
    <w:p w:rsidR="00DA252E" w:rsidRPr="00FB7E69" w:rsidRDefault="00DA252E" w:rsidP="00DA252E">
      <w:pPr>
        <w:spacing w:after="0" w:line="240" w:lineRule="auto"/>
        <w:jc w:val="both"/>
        <w:rPr>
          <w:rFonts w:ascii="Verdana" w:hAnsi="Verdana"/>
          <w:b/>
          <w:sz w:val="24"/>
          <w:szCs w:val="24"/>
        </w:rPr>
      </w:pPr>
    </w:p>
    <w:p w:rsidR="00DA252E" w:rsidRPr="00B36FCF" w:rsidRDefault="00DA252E" w:rsidP="00DA252E">
      <w:pPr>
        <w:spacing w:after="0" w:line="240" w:lineRule="auto"/>
        <w:jc w:val="both"/>
        <w:rPr>
          <w:rFonts w:ascii="Verdana" w:hAnsi="Verdana"/>
          <w:b/>
          <w:color w:val="548DD4" w:themeColor="text2" w:themeTint="99"/>
          <w:sz w:val="24"/>
          <w:szCs w:val="24"/>
        </w:rPr>
      </w:pPr>
      <w:r w:rsidRPr="00B36FCF">
        <w:rPr>
          <w:rFonts w:ascii="Verdana" w:hAnsi="Verdana"/>
          <w:b/>
          <w:color w:val="548DD4" w:themeColor="text2" w:themeTint="99"/>
          <w:sz w:val="24"/>
          <w:szCs w:val="24"/>
        </w:rPr>
        <w:t>Objetivo</w:t>
      </w:r>
    </w:p>
    <w:p w:rsidR="00DA252E" w:rsidRPr="00FB7E69" w:rsidRDefault="00DA252E" w:rsidP="00DA252E">
      <w:pPr>
        <w:spacing w:after="0" w:line="240" w:lineRule="auto"/>
        <w:jc w:val="both"/>
        <w:rPr>
          <w:rFonts w:ascii="Verdana" w:hAnsi="Verdana"/>
          <w:b/>
          <w:sz w:val="24"/>
          <w:szCs w:val="24"/>
        </w:rPr>
      </w:pPr>
    </w:p>
    <w:p w:rsidR="00DA252E" w:rsidRDefault="00DA252E" w:rsidP="00DA252E">
      <w:pPr>
        <w:spacing w:after="0" w:line="240" w:lineRule="auto"/>
        <w:jc w:val="both"/>
        <w:rPr>
          <w:rFonts w:ascii="Verdana" w:hAnsi="Verdana" w:cs="Calibri"/>
          <w:sz w:val="24"/>
          <w:szCs w:val="24"/>
        </w:rPr>
      </w:pPr>
      <w:r w:rsidRPr="009017F2">
        <w:rPr>
          <w:rFonts w:ascii="Verdana" w:hAnsi="Verdana" w:cs="Calibri"/>
          <w:sz w:val="24"/>
          <w:szCs w:val="24"/>
        </w:rPr>
        <w:t>Mejorar temporalmente los ingresos de la población vulnerable, pobre extrema y/o víctima de la violencia en condición de desplazamiento y/o damnificada en situaciones coyunturales determinados por el Gobierno Nacional.</w:t>
      </w:r>
    </w:p>
    <w:p w:rsidR="00DA252E" w:rsidRPr="00FB7E69" w:rsidRDefault="00DA252E" w:rsidP="00DA252E">
      <w:pPr>
        <w:spacing w:after="0" w:line="240" w:lineRule="auto"/>
        <w:jc w:val="both"/>
        <w:rPr>
          <w:rFonts w:ascii="Verdana" w:hAnsi="Verdana"/>
          <w:b/>
          <w:sz w:val="24"/>
          <w:szCs w:val="24"/>
        </w:rPr>
      </w:pPr>
    </w:p>
    <w:p w:rsidR="00DA252E" w:rsidRPr="00B36FCF" w:rsidRDefault="00DA252E" w:rsidP="00DA252E">
      <w:pPr>
        <w:spacing w:after="0" w:line="240" w:lineRule="auto"/>
        <w:jc w:val="both"/>
        <w:rPr>
          <w:rFonts w:ascii="Verdana" w:hAnsi="Verdana"/>
          <w:b/>
          <w:color w:val="548DD4" w:themeColor="text2" w:themeTint="99"/>
          <w:sz w:val="24"/>
          <w:szCs w:val="24"/>
        </w:rPr>
      </w:pPr>
      <w:r w:rsidRPr="00B36FCF">
        <w:rPr>
          <w:rFonts w:ascii="Verdana" w:hAnsi="Verdana"/>
          <w:b/>
          <w:color w:val="548DD4" w:themeColor="text2" w:themeTint="99"/>
          <w:sz w:val="24"/>
          <w:szCs w:val="24"/>
        </w:rPr>
        <w:t>Líneas de Acción</w:t>
      </w:r>
    </w:p>
    <w:p w:rsidR="00DA252E" w:rsidRPr="00FB7E69" w:rsidRDefault="00DA252E" w:rsidP="00DA252E">
      <w:pPr>
        <w:spacing w:after="0" w:line="240" w:lineRule="auto"/>
        <w:jc w:val="both"/>
        <w:rPr>
          <w:rFonts w:ascii="Verdana" w:hAnsi="Verdana"/>
          <w:sz w:val="24"/>
          <w:szCs w:val="24"/>
        </w:rPr>
      </w:pPr>
    </w:p>
    <w:p w:rsidR="00DA252E" w:rsidRDefault="00DA252E" w:rsidP="00DA252E">
      <w:pPr>
        <w:spacing w:after="0" w:line="240" w:lineRule="auto"/>
        <w:jc w:val="both"/>
        <w:rPr>
          <w:rFonts w:ascii="Verdana" w:eastAsia="Times New Roman" w:hAnsi="Verdana"/>
          <w:sz w:val="24"/>
          <w:szCs w:val="24"/>
        </w:rPr>
      </w:pPr>
      <w:r>
        <w:rPr>
          <w:rFonts w:ascii="Verdana" w:eastAsia="Times New Roman" w:hAnsi="Verdana" w:cs="Calibri"/>
          <w:sz w:val="24"/>
          <w:szCs w:val="24"/>
        </w:rPr>
        <w:t xml:space="preserve">El Programa Empleo Temporal genera empleos de medio tiempo y de corto plazo, con una duración promedio de cuatros meses, a través de los cuales </w:t>
      </w:r>
      <w:r w:rsidRPr="009B0A1A">
        <w:rPr>
          <w:rFonts w:ascii="Verdana" w:eastAsia="Times New Roman" w:hAnsi="Verdana"/>
          <w:sz w:val="24"/>
          <w:szCs w:val="24"/>
        </w:rPr>
        <w:t>brinda la posibilidad de obten</w:t>
      </w:r>
      <w:r>
        <w:rPr>
          <w:rFonts w:ascii="Verdana" w:eastAsia="Times New Roman" w:hAnsi="Verdana"/>
          <w:sz w:val="24"/>
          <w:szCs w:val="24"/>
        </w:rPr>
        <w:t xml:space="preserve">er ingresos de manera inmediata. </w:t>
      </w:r>
    </w:p>
    <w:p w:rsidR="00DA252E" w:rsidRPr="009B0A1A" w:rsidRDefault="00DA252E" w:rsidP="00DA252E">
      <w:pPr>
        <w:spacing w:after="0" w:line="240" w:lineRule="auto"/>
        <w:jc w:val="both"/>
        <w:rPr>
          <w:rFonts w:ascii="Verdana" w:eastAsia="MS Gothic" w:hAnsi="Verdana" w:cs="MS Gothic"/>
          <w:sz w:val="24"/>
          <w:szCs w:val="24"/>
        </w:rPr>
      </w:pPr>
      <w:r>
        <w:rPr>
          <w:rFonts w:ascii="Verdana" w:eastAsia="MS Gothic" w:hAnsi="Verdana" w:cs="MS Gothic"/>
          <w:sz w:val="24"/>
          <w:szCs w:val="24"/>
        </w:rPr>
        <w:t>Así mismo, contribuye al m</w:t>
      </w:r>
      <w:r w:rsidRPr="009B0A1A">
        <w:rPr>
          <w:rFonts w:ascii="Verdana" w:eastAsia="MS Gothic" w:hAnsi="Verdana" w:cs="MS Gothic"/>
          <w:sz w:val="24"/>
          <w:szCs w:val="24"/>
        </w:rPr>
        <w:t>ejoramiento de los bienes públicos</w:t>
      </w:r>
      <w:r>
        <w:rPr>
          <w:rFonts w:ascii="Verdana" w:eastAsia="MS Gothic" w:hAnsi="Verdana" w:cs="MS Gothic"/>
          <w:sz w:val="24"/>
          <w:szCs w:val="24"/>
        </w:rPr>
        <w:t xml:space="preserve"> locales</w:t>
      </w:r>
      <w:r w:rsidRPr="009B0A1A">
        <w:rPr>
          <w:rFonts w:ascii="Verdana" w:eastAsia="MS Gothic" w:hAnsi="Verdana" w:cs="MS Gothic"/>
          <w:sz w:val="24"/>
          <w:szCs w:val="24"/>
        </w:rPr>
        <w:t>, impactando la calidad de vida de sus habitantes</w:t>
      </w:r>
      <w:r w:rsidRPr="009B0A1A">
        <w:rPr>
          <w:rFonts w:ascii="Verdana" w:eastAsia="Times New Roman" w:hAnsi="Verdana" w:cs="MS Gothic"/>
          <w:sz w:val="24"/>
          <w:szCs w:val="24"/>
        </w:rPr>
        <w:t>.</w:t>
      </w:r>
    </w:p>
    <w:p w:rsidR="00DA252E" w:rsidRDefault="00DA252E" w:rsidP="00DA252E">
      <w:pPr>
        <w:spacing w:after="0" w:line="240" w:lineRule="auto"/>
        <w:jc w:val="both"/>
        <w:rPr>
          <w:rFonts w:ascii="Verdana" w:hAnsi="Verdana"/>
          <w:b/>
          <w:sz w:val="24"/>
          <w:szCs w:val="24"/>
        </w:rPr>
      </w:pPr>
    </w:p>
    <w:p w:rsidR="00DA252E" w:rsidRPr="00B36FCF" w:rsidRDefault="00DA252E" w:rsidP="00DA252E">
      <w:pPr>
        <w:spacing w:after="0" w:line="240" w:lineRule="auto"/>
        <w:jc w:val="both"/>
        <w:rPr>
          <w:rFonts w:ascii="Verdana" w:hAnsi="Verdana"/>
          <w:b/>
          <w:color w:val="548DD4" w:themeColor="text2" w:themeTint="99"/>
          <w:sz w:val="24"/>
          <w:szCs w:val="24"/>
        </w:rPr>
      </w:pPr>
      <w:r w:rsidRPr="00B36FCF">
        <w:rPr>
          <w:rFonts w:ascii="Verdana" w:hAnsi="Verdana"/>
          <w:b/>
          <w:color w:val="548DD4" w:themeColor="text2" w:themeTint="99"/>
          <w:sz w:val="24"/>
          <w:szCs w:val="24"/>
        </w:rPr>
        <w:t>Cumplimiento Metas</w:t>
      </w:r>
    </w:p>
    <w:p w:rsidR="00DA252E" w:rsidRDefault="00DA252E" w:rsidP="00DA252E">
      <w:pPr>
        <w:spacing w:after="0" w:line="240" w:lineRule="auto"/>
        <w:jc w:val="both"/>
        <w:rPr>
          <w:rFonts w:ascii="Verdana" w:hAnsi="Verdana"/>
          <w:sz w:val="24"/>
          <w:szCs w:val="24"/>
          <w:highlight w:val="red"/>
        </w:rPr>
      </w:pPr>
    </w:p>
    <w:p w:rsidR="00DA252E" w:rsidRPr="009D5814" w:rsidRDefault="00DA252E" w:rsidP="00DA252E">
      <w:pPr>
        <w:spacing w:after="0" w:line="240" w:lineRule="auto"/>
        <w:jc w:val="both"/>
        <w:rPr>
          <w:rFonts w:ascii="Verdana" w:hAnsi="Verdana"/>
          <w:sz w:val="24"/>
          <w:szCs w:val="24"/>
        </w:rPr>
      </w:pPr>
      <w:r w:rsidRPr="009D5814">
        <w:rPr>
          <w:rFonts w:ascii="Verdana" w:hAnsi="Verdana"/>
          <w:sz w:val="24"/>
          <w:szCs w:val="24"/>
        </w:rPr>
        <w:t>Meta 2014: 11.706</w:t>
      </w:r>
    </w:p>
    <w:p w:rsidR="00DA252E" w:rsidRPr="009D5814" w:rsidRDefault="00DA252E" w:rsidP="00DA252E">
      <w:pPr>
        <w:spacing w:after="0" w:line="240" w:lineRule="auto"/>
        <w:jc w:val="both"/>
        <w:rPr>
          <w:rFonts w:ascii="Verdana" w:hAnsi="Verdana"/>
          <w:sz w:val="24"/>
          <w:szCs w:val="24"/>
        </w:rPr>
      </w:pPr>
      <w:r w:rsidRPr="009D5814">
        <w:rPr>
          <w:rFonts w:ascii="Verdana" w:hAnsi="Verdana"/>
          <w:sz w:val="24"/>
          <w:szCs w:val="24"/>
        </w:rPr>
        <w:t>Avance Meta: 11.325</w:t>
      </w:r>
    </w:p>
    <w:p w:rsidR="00DA252E" w:rsidRDefault="00DA252E" w:rsidP="00DA252E">
      <w:pPr>
        <w:spacing w:after="0" w:line="240" w:lineRule="auto"/>
        <w:jc w:val="both"/>
        <w:rPr>
          <w:rFonts w:ascii="Verdana" w:hAnsi="Verdana"/>
          <w:sz w:val="24"/>
          <w:szCs w:val="24"/>
        </w:rPr>
      </w:pPr>
    </w:p>
    <w:p w:rsidR="00DA252E" w:rsidRDefault="00DA252E" w:rsidP="00DA252E">
      <w:pPr>
        <w:spacing w:after="0" w:line="240" w:lineRule="auto"/>
        <w:jc w:val="both"/>
        <w:rPr>
          <w:rFonts w:ascii="Verdana" w:hAnsi="Verdana"/>
          <w:sz w:val="24"/>
          <w:szCs w:val="24"/>
        </w:rPr>
      </w:pPr>
      <w:r w:rsidRPr="00A07F2A">
        <w:rPr>
          <w:rFonts w:ascii="Verdana" w:hAnsi="Verdana"/>
          <w:sz w:val="24"/>
          <w:szCs w:val="24"/>
        </w:rPr>
        <w:lastRenderedPageBreak/>
        <w:t>Se atendieron 11.325 colombianos en situación de pobreza extrema, vulnerabilidad y víctimas del</w:t>
      </w:r>
      <w:r>
        <w:rPr>
          <w:rFonts w:ascii="Verdana" w:hAnsi="Verdana"/>
          <w:sz w:val="24"/>
          <w:szCs w:val="24"/>
        </w:rPr>
        <w:t xml:space="preserve"> desplazamiento forzado por la violencia.</w:t>
      </w:r>
    </w:p>
    <w:p w:rsidR="00DA252E" w:rsidRDefault="00DA252E" w:rsidP="00DA252E">
      <w:pPr>
        <w:spacing w:after="0" w:line="240" w:lineRule="auto"/>
        <w:jc w:val="both"/>
        <w:rPr>
          <w:rFonts w:ascii="Verdana" w:hAnsi="Verdana"/>
          <w:b/>
          <w:color w:val="548DD4" w:themeColor="text2" w:themeTint="99"/>
          <w:sz w:val="24"/>
          <w:szCs w:val="24"/>
        </w:rPr>
      </w:pPr>
    </w:p>
    <w:p w:rsidR="00DA252E" w:rsidRPr="00B36FCF" w:rsidRDefault="00DA252E" w:rsidP="00DA252E">
      <w:pPr>
        <w:spacing w:after="0" w:line="240" w:lineRule="auto"/>
        <w:jc w:val="both"/>
        <w:rPr>
          <w:rFonts w:ascii="Verdana" w:hAnsi="Verdana"/>
          <w:b/>
          <w:color w:val="548DD4" w:themeColor="text2" w:themeTint="99"/>
          <w:sz w:val="24"/>
          <w:szCs w:val="24"/>
        </w:rPr>
      </w:pPr>
      <w:r w:rsidRPr="00B36FCF">
        <w:rPr>
          <w:rFonts w:ascii="Verdana" w:hAnsi="Verdana"/>
          <w:b/>
          <w:color w:val="548DD4" w:themeColor="text2" w:themeTint="99"/>
          <w:sz w:val="24"/>
          <w:szCs w:val="24"/>
        </w:rPr>
        <w:t xml:space="preserve">Logros </w:t>
      </w:r>
    </w:p>
    <w:p w:rsidR="00DA252E" w:rsidRDefault="00DA252E" w:rsidP="00FF784D">
      <w:pPr>
        <w:pStyle w:val="Prrafodelista"/>
        <w:numPr>
          <w:ilvl w:val="0"/>
          <w:numId w:val="38"/>
        </w:numPr>
        <w:spacing w:after="0" w:line="240" w:lineRule="auto"/>
        <w:ind w:left="709" w:hanging="283"/>
        <w:jc w:val="both"/>
        <w:rPr>
          <w:rFonts w:ascii="Verdana" w:eastAsia="Times New Roman" w:hAnsi="Verdana"/>
          <w:sz w:val="24"/>
          <w:szCs w:val="24"/>
        </w:rPr>
      </w:pPr>
      <w:r w:rsidRPr="00D84DA4">
        <w:rPr>
          <w:rFonts w:ascii="Verdana" w:hAnsi="Verdana"/>
          <w:i/>
          <w:sz w:val="24"/>
          <w:szCs w:val="24"/>
        </w:rPr>
        <w:t xml:space="preserve">El programa logra consolidarse como </w:t>
      </w:r>
      <w:r w:rsidRPr="00D84DA4">
        <w:rPr>
          <w:rFonts w:ascii="Verdana" w:eastAsia="Times New Roman" w:hAnsi="Verdana"/>
          <w:i/>
          <w:sz w:val="24"/>
          <w:szCs w:val="24"/>
        </w:rPr>
        <w:t xml:space="preserve"> una herramienta de respuesta inmediata que el Gobierno Nacional tiene para atender situaciones de coyuntura</w:t>
      </w:r>
      <w:r w:rsidRPr="00D84DA4">
        <w:rPr>
          <w:rFonts w:ascii="Verdana" w:eastAsia="Times New Roman" w:hAnsi="Verdana"/>
          <w:sz w:val="24"/>
          <w:szCs w:val="24"/>
        </w:rPr>
        <w:t>.</w:t>
      </w:r>
    </w:p>
    <w:p w:rsidR="00DA252E" w:rsidRDefault="00DA252E" w:rsidP="00DA252E">
      <w:pPr>
        <w:spacing w:after="0" w:line="240" w:lineRule="auto"/>
        <w:jc w:val="both"/>
        <w:rPr>
          <w:rFonts w:ascii="Verdana" w:eastAsia="Times New Roman" w:hAnsi="Verdana"/>
          <w:sz w:val="24"/>
          <w:szCs w:val="24"/>
        </w:rPr>
      </w:pPr>
    </w:p>
    <w:p w:rsidR="00DA252E" w:rsidRPr="00334E15" w:rsidRDefault="00DA252E" w:rsidP="00DA252E">
      <w:pPr>
        <w:pStyle w:val="Ttulo3"/>
        <w:spacing w:before="0" w:after="0" w:line="240" w:lineRule="auto"/>
        <w:rPr>
          <w:rFonts w:ascii="Verdana" w:hAnsi="Verdana"/>
          <w:color w:val="548DD4" w:themeColor="text2" w:themeTint="99"/>
          <w:sz w:val="24"/>
          <w:szCs w:val="24"/>
          <w:u w:val="single"/>
        </w:rPr>
      </w:pPr>
      <w:bookmarkStart w:id="32" w:name="_Toc410376783"/>
      <w:r w:rsidRPr="00334E15">
        <w:rPr>
          <w:rFonts w:ascii="Verdana" w:hAnsi="Verdana"/>
          <w:color w:val="548DD4" w:themeColor="text2" w:themeTint="99"/>
          <w:sz w:val="24"/>
          <w:szCs w:val="24"/>
          <w:u w:val="single"/>
        </w:rPr>
        <w:t>SOSTENIBILIDAD ESTRATÉGICA</w:t>
      </w:r>
      <w:bookmarkEnd w:id="32"/>
    </w:p>
    <w:p w:rsidR="00DA252E" w:rsidRPr="00B36FCF" w:rsidRDefault="00DA252E" w:rsidP="00DA252E">
      <w:pPr>
        <w:spacing w:after="0" w:line="240" w:lineRule="auto"/>
        <w:jc w:val="both"/>
        <w:rPr>
          <w:rFonts w:ascii="Verdana" w:hAnsi="Verdana"/>
          <w:b/>
          <w:color w:val="548DD4" w:themeColor="text2" w:themeTint="99"/>
          <w:sz w:val="24"/>
          <w:szCs w:val="24"/>
        </w:rPr>
      </w:pPr>
    </w:p>
    <w:p w:rsidR="00DA252E" w:rsidRPr="00B36FCF" w:rsidRDefault="00DA252E" w:rsidP="00DA252E">
      <w:pPr>
        <w:spacing w:after="0" w:line="240" w:lineRule="auto"/>
        <w:jc w:val="both"/>
        <w:rPr>
          <w:rFonts w:ascii="Verdana" w:hAnsi="Verdana"/>
          <w:b/>
          <w:color w:val="548DD4" w:themeColor="text2" w:themeTint="99"/>
          <w:sz w:val="24"/>
          <w:szCs w:val="24"/>
        </w:rPr>
      </w:pPr>
      <w:r w:rsidRPr="00B36FCF">
        <w:rPr>
          <w:rFonts w:ascii="Verdana" w:hAnsi="Verdana"/>
          <w:b/>
          <w:color w:val="548DD4" w:themeColor="text2" w:themeTint="99"/>
          <w:sz w:val="24"/>
          <w:szCs w:val="24"/>
        </w:rPr>
        <w:t>Objetivo</w:t>
      </w:r>
    </w:p>
    <w:p w:rsidR="00DA252E" w:rsidRPr="00FB7E69" w:rsidRDefault="00DA252E" w:rsidP="00DA252E">
      <w:pPr>
        <w:spacing w:after="0" w:line="240" w:lineRule="auto"/>
        <w:jc w:val="both"/>
        <w:rPr>
          <w:rFonts w:ascii="Verdana" w:hAnsi="Verdana"/>
          <w:b/>
          <w:sz w:val="24"/>
          <w:szCs w:val="24"/>
        </w:rPr>
      </w:pPr>
    </w:p>
    <w:p w:rsidR="00DA252E" w:rsidRPr="009017F2" w:rsidRDefault="00DA252E" w:rsidP="00DA252E">
      <w:pPr>
        <w:autoSpaceDE w:val="0"/>
        <w:autoSpaceDN w:val="0"/>
        <w:adjustRightInd w:val="0"/>
        <w:spacing w:after="0" w:line="240" w:lineRule="auto"/>
        <w:jc w:val="both"/>
        <w:rPr>
          <w:rFonts w:ascii="Verdana" w:hAnsi="Verdana" w:cs="Arial"/>
          <w:sz w:val="24"/>
          <w:szCs w:val="24"/>
        </w:rPr>
      </w:pPr>
      <w:r w:rsidRPr="009017F2">
        <w:rPr>
          <w:rFonts w:ascii="Verdana" w:hAnsi="Verdana" w:cs="Arial"/>
          <w:sz w:val="24"/>
          <w:szCs w:val="24"/>
        </w:rPr>
        <w:t>Promover la sostenibilidad productiva en las Unidades Productivas apoyadas por el Sector de la Inclusión Social y la Reconciliación.</w:t>
      </w:r>
    </w:p>
    <w:p w:rsidR="00DA252E" w:rsidRPr="00FB7E69" w:rsidRDefault="00DA252E" w:rsidP="00DA252E">
      <w:pPr>
        <w:autoSpaceDE w:val="0"/>
        <w:autoSpaceDN w:val="0"/>
        <w:adjustRightInd w:val="0"/>
        <w:spacing w:after="0" w:line="240" w:lineRule="auto"/>
        <w:jc w:val="both"/>
        <w:rPr>
          <w:rFonts w:ascii="Verdana" w:hAnsi="Verdana" w:cs="Arial"/>
          <w:i/>
          <w:sz w:val="24"/>
          <w:szCs w:val="24"/>
        </w:rPr>
      </w:pPr>
    </w:p>
    <w:p w:rsidR="00DA252E" w:rsidRDefault="00DA252E" w:rsidP="00DA252E">
      <w:pPr>
        <w:spacing w:after="0" w:line="240" w:lineRule="auto"/>
        <w:jc w:val="both"/>
        <w:rPr>
          <w:rFonts w:ascii="Verdana" w:hAnsi="Verdana"/>
          <w:b/>
          <w:color w:val="548DD4" w:themeColor="text2" w:themeTint="99"/>
          <w:sz w:val="24"/>
          <w:szCs w:val="24"/>
        </w:rPr>
      </w:pPr>
      <w:r w:rsidRPr="00B36FCF">
        <w:rPr>
          <w:rFonts w:ascii="Verdana" w:hAnsi="Verdana"/>
          <w:b/>
          <w:color w:val="548DD4" w:themeColor="text2" w:themeTint="99"/>
          <w:sz w:val="24"/>
          <w:szCs w:val="24"/>
        </w:rPr>
        <w:t>Líneas de Acción</w:t>
      </w:r>
    </w:p>
    <w:p w:rsidR="00DA252E" w:rsidRPr="00B36FCF" w:rsidRDefault="00DA252E" w:rsidP="00DA252E">
      <w:pPr>
        <w:spacing w:after="0" w:line="240" w:lineRule="auto"/>
        <w:jc w:val="both"/>
        <w:rPr>
          <w:rFonts w:ascii="Verdana" w:hAnsi="Verdana"/>
          <w:b/>
          <w:color w:val="548DD4" w:themeColor="text2" w:themeTint="99"/>
          <w:sz w:val="24"/>
          <w:szCs w:val="24"/>
        </w:rPr>
      </w:pPr>
    </w:p>
    <w:p w:rsidR="00DA252E" w:rsidRPr="00856632" w:rsidRDefault="00DA252E" w:rsidP="00FF784D">
      <w:pPr>
        <w:pStyle w:val="Prrafodelista"/>
        <w:widowControl w:val="0"/>
        <w:numPr>
          <w:ilvl w:val="0"/>
          <w:numId w:val="32"/>
        </w:numPr>
        <w:spacing w:after="0" w:line="240" w:lineRule="auto"/>
        <w:ind w:left="709" w:hanging="283"/>
        <w:jc w:val="both"/>
        <w:rPr>
          <w:rFonts w:ascii="Verdana" w:hAnsi="Verdana" w:cs="Calibri"/>
          <w:sz w:val="24"/>
          <w:szCs w:val="24"/>
        </w:rPr>
      </w:pPr>
      <w:r w:rsidRPr="00856632">
        <w:rPr>
          <w:rFonts w:ascii="Verdana" w:hAnsi="Verdana" w:cs="Calibri"/>
          <w:sz w:val="24"/>
          <w:szCs w:val="24"/>
        </w:rPr>
        <w:t>Fortalecimiento de capacidades de las Unidades Productivas en temas organizacionales, técnicos y comerciales.</w:t>
      </w:r>
    </w:p>
    <w:p w:rsidR="00DA252E" w:rsidRPr="00856632" w:rsidRDefault="00DA252E" w:rsidP="00FF784D">
      <w:pPr>
        <w:pStyle w:val="Prrafodelista"/>
        <w:widowControl w:val="0"/>
        <w:numPr>
          <w:ilvl w:val="0"/>
          <w:numId w:val="32"/>
        </w:numPr>
        <w:spacing w:after="0" w:line="240" w:lineRule="auto"/>
        <w:ind w:left="709" w:hanging="283"/>
        <w:jc w:val="both"/>
        <w:rPr>
          <w:rFonts w:ascii="Verdana" w:hAnsi="Verdana" w:cs="Calibri"/>
          <w:sz w:val="24"/>
          <w:szCs w:val="24"/>
        </w:rPr>
      </w:pPr>
      <w:r w:rsidRPr="00856632">
        <w:rPr>
          <w:rFonts w:ascii="Verdana" w:hAnsi="Verdana" w:cs="Calibri"/>
          <w:sz w:val="24"/>
          <w:szCs w:val="24"/>
        </w:rPr>
        <w:t>Mejoramiento de la competitividad de los productos de las Unidades Productivas.</w:t>
      </w:r>
    </w:p>
    <w:p w:rsidR="00DA252E" w:rsidRPr="00856632" w:rsidRDefault="00DA252E" w:rsidP="00FF784D">
      <w:pPr>
        <w:pStyle w:val="Prrafodelista"/>
        <w:widowControl w:val="0"/>
        <w:numPr>
          <w:ilvl w:val="0"/>
          <w:numId w:val="32"/>
        </w:numPr>
        <w:spacing w:after="0" w:line="240" w:lineRule="auto"/>
        <w:ind w:left="709" w:hanging="283"/>
        <w:jc w:val="both"/>
        <w:rPr>
          <w:rFonts w:ascii="Verdana" w:hAnsi="Verdana" w:cs="Calibri"/>
          <w:sz w:val="24"/>
          <w:szCs w:val="24"/>
        </w:rPr>
      </w:pPr>
      <w:r w:rsidRPr="00856632">
        <w:rPr>
          <w:rFonts w:ascii="Verdana" w:hAnsi="Verdana" w:cs="Calibri"/>
          <w:sz w:val="24"/>
          <w:szCs w:val="24"/>
        </w:rPr>
        <w:t>Identificar avances y resultados de las Unidades Productivas en aspectos organizacionales, técnicos, comerciales y financieros, durante su intervención.</w:t>
      </w:r>
    </w:p>
    <w:p w:rsidR="00DA252E" w:rsidRDefault="00DA252E" w:rsidP="00DA252E">
      <w:pPr>
        <w:spacing w:after="0" w:line="240" w:lineRule="auto"/>
        <w:jc w:val="both"/>
        <w:rPr>
          <w:rFonts w:ascii="Verdana" w:hAnsi="Verdana"/>
          <w:b/>
          <w:color w:val="548DD4" w:themeColor="text2" w:themeTint="99"/>
          <w:sz w:val="24"/>
          <w:szCs w:val="24"/>
        </w:rPr>
      </w:pPr>
    </w:p>
    <w:p w:rsidR="00DA252E" w:rsidRDefault="00DA252E" w:rsidP="00DA252E">
      <w:pPr>
        <w:spacing w:after="0" w:line="240" w:lineRule="auto"/>
        <w:jc w:val="both"/>
        <w:rPr>
          <w:rFonts w:ascii="Verdana" w:hAnsi="Verdana"/>
          <w:b/>
          <w:color w:val="548DD4" w:themeColor="text2" w:themeTint="99"/>
          <w:sz w:val="24"/>
          <w:szCs w:val="24"/>
        </w:rPr>
      </w:pPr>
      <w:r w:rsidRPr="00B36FCF">
        <w:rPr>
          <w:rFonts w:ascii="Verdana" w:hAnsi="Verdana"/>
          <w:b/>
          <w:color w:val="548DD4" w:themeColor="text2" w:themeTint="99"/>
          <w:sz w:val="24"/>
          <w:szCs w:val="24"/>
        </w:rPr>
        <w:t>Cumplimiento Metas</w:t>
      </w:r>
    </w:p>
    <w:p w:rsidR="00DA252E" w:rsidRDefault="00DA252E" w:rsidP="00DA252E">
      <w:pPr>
        <w:spacing w:after="0" w:line="240" w:lineRule="auto"/>
        <w:jc w:val="both"/>
        <w:rPr>
          <w:rFonts w:ascii="Verdana" w:hAnsi="Verdana"/>
          <w:b/>
          <w:color w:val="548DD4" w:themeColor="text2" w:themeTint="99"/>
          <w:sz w:val="24"/>
          <w:szCs w:val="24"/>
        </w:rPr>
      </w:pPr>
    </w:p>
    <w:p w:rsidR="00DA252E" w:rsidRPr="00FB7E69" w:rsidRDefault="00DA252E" w:rsidP="00DA252E">
      <w:pPr>
        <w:spacing w:after="0" w:line="240" w:lineRule="auto"/>
        <w:jc w:val="both"/>
        <w:rPr>
          <w:rFonts w:ascii="Verdana" w:hAnsi="Verdana"/>
          <w:sz w:val="24"/>
          <w:szCs w:val="24"/>
        </w:rPr>
      </w:pPr>
      <w:r>
        <w:rPr>
          <w:rFonts w:ascii="Verdana" w:hAnsi="Verdana"/>
          <w:sz w:val="24"/>
          <w:szCs w:val="24"/>
        </w:rPr>
        <w:t xml:space="preserve">Se realizaron 244 Diagnósticos de Unidades Productivas, que se encuentran en proceso de selección para ser atendidas a través de las líneas de fortalecimiento comercial y organizacional, así como con asistencia técnica.  Así mismo se suscribieron 30 memorandos de acuerdo con las Unidades Productivas que contarán con cofinanciación para su fortalecimiento productivo. </w:t>
      </w:r>
    </w:p>
    <w:p w:rsidR="00DA252E" w:rsidRDefault="00DA252E" w:rsidP="00DA252E">
      <w:pPr>
        <w:spacing w:after="0" w:line="240" w:lineRule="auto"/>
        <w:jc w:val="both"/>
        <w:rPr>
          <w:rFonts w:ascii="Verdana" w:hAnsi="Verdana"/>
          <w:b/>
          <w:color w:val="548DD4" w:themeColor="text2" w:themeTint="99"/>
          <w:sz w:val="24"/>
          <w:szCs w:val="24"/>
        </w:rPr>
      </w:pPr>
    </w:p>
    <w:p w:rsidR="00DA252E" w:rsidRDefault="00DA252E" w:rsidP="00DA252E">
      <w:pPr>
        <w:spacing w:after="0" w:line="240" w:lineRule="auto"/>
        <w:jc w:val="both"/>
        <w:rPr>
          <w:rFonts w:ascii="Verdana" w:hAnsi="Verdana"/>
          <w:b/>
          <w:color w:val="548DD4" w:themeColor="text2" w:themeTint="99"/>
          <w:sz w:val="24"/>
          <w:szCs w:val="24"/>
        </w:rPr>
      </w:pPr>
      <w:r w:rsidRPr="00B36FCF">
        <w:rPr>
          <w:rFonts w:ascii="Verdana" w:hAnsi="Verdana"/>
          <w:b/>
          <w:color w:val="548DD4" w:themeColor="text2" w:themeTint="99"/>
          <w:sz w:val="24"/>
          <w:szCs w:val="24"/>
        </w:rPr>
        <w:t xml:space="preserve">Logros </w:t>
      </w:r>
    </w:p>
    <w:p w:rsidR="00DA252E" w:rsidRPr="00B36FCF" w:rsidRDefault="00DA252E" w:rsidP="00DA252E">
      <w:pPr>
        <w:spacing w:after="0" w:line="240" w:lineRule="auto"/>
        <w:jc w:val="both"/>
        <w:rPr>
          <w:rFonts w:ascii="Verdana" w:hAnsi="Verdana"/>
          <w:b/>
          <w:color w:val="548DD4" w:themeColor="text2" w:themeTint="99"/>
          <w:sz w:val="24"/>
          <w:szCs w:val="24"/>
        </w:rPr>
      </w:pPr>
    </w:p>
    <w:p w:rsidR="00DA252E" w:rsidRDefault="00DA252E" w:rsidP="00FF784D">
      <w:pPr>
        <w:pStyle w:val="Prrafodelista"/>
        <w:numPr>
          <w:ilvl w:val="0"/>
          <w:numId w:val="33"/>
        </w:numPr>
        <w:spacing w:after="0" w:line="240" w:lineRule="auto"/>
        <w:ind w:left="851" w:hanging="284"/>
        <w:contextualSpacing w:val="0"/>
        <w:jc w:val="both"/>
        <w:rPr>
          <w:rFonts w:ascii="Verdana" w:hAnsi="Verdana"/>
          <w:i/>
          <w:sz w:val="24"/>
          <w:szCs w:val="24"/>
        </w:rPr>
      </w:pPr>
      <w:r w:rsidRPr="00E876E8">
        <w:rPr>
          <w:rFonts w:ascii="Verdana" w:hAnsi="Verdana"/>
          <w:i/>
          <w:sz w:val="24"/>
          <w:szCs w:val="24"/>
        </w:rPr>
        <w:t xml:space="preserve">Se Intervinieron 170 unidades productivas en 23 departamentos y 119 municipios, para aplicación de fortalecimiento organizacional y asistencia técnica y apalancamiento con lo cual se promovió la sostenibilidad </w:t>
      </w:r>
      <w:r w:rsidRPr="00E876E8">
        <w:rPr>
          <w:rFonts w:ascii="Verdana" w:hAnsi="Verdana"/>
          <w:i/>
          <w:sz w:val="24"/>
          <w:szCs w:val="24"/>
        </w:rPr>
        <w:lastRenderedPageBreak/>
        <w:t>productiva en las Unidades Productivas apoyadas por el Sector de la Inclusión Social y la Reconciliación.</w:t>
      </w:r>
    </w:p>
    <w:p w:rsidR="00DA252E" w:rsidRPr="00E876E8" w:rsidRDefault="00DA252E" w:rsidP="00FF784D">
      <w:pPr>
        <w:pStyle w:val="Prrafodelista"/>
        <w:numPr>
          <w:ilvl w:val="0"/>
          <w:numId w:val="33"/>
        </w:numPr>
        <w:spacing w:after="0" w:line="240" w:lineRule="auto"/>
        <w:ind w:left="851" w:hanging="284"/>
        <w:contextualSpacing w:val="0"/>
        <w:jc w:val="both"/>
        <w:rPr>
          <w:rFonts w:ascii="Verdana" w:hAnsi="Verdana"/>
          <w:i/>
          <w:sz w:val="24"/>
          <w:szCs w:val="24"/>
        </w:rPr>
      </w:pPr>
      <w:r w:rsidRPr="00E876E8">
        <w:rPr>
          <w:rFonts w:ascii="Verdana" w:hAnsi="Verdana"/>
          <w:i/>
          <w:sz w:val="24"/>
          <w:szCs w:val="24"/>
        </w:rPr>
        <w:t>Se intervinieron 150 unidades productivas para desarrollar Asistencia Técnica las cuales se Fortalecieron en temas organizacionales, técnicos y comerciales Contribuyendo al mejoramiento de la asociatividad y competitividad de las Unidades Productivas apoyadas por el Sector de la Inclusión Social y la Reconciliación.</w:t>
      </w:r>
    </w:p>
    <w:p w:rsidR="00DA252E" w:rsidRDefault="00DA252E" w:rsidP="00FF784D">
      <w:pPr>
        <w:pStyle w:val="Prrafodelista"/>
        <w:numPr>
          <w:ilvl w:val="0"/>
          <w:numId w:val="33"/>
        </w:numPr>
        <w:spacing w:after="0" w:line="240" w:lineRule="auto"/>
        <w:ind w:left="851" w:hanging="284"/>
        <w:contextualSpacing w:val="0"/>
        <w:jc w:val="both"/>
        <w:rPr>
          <w:rFonts w:ascii="Verdana" w:hAnsi="Verdana"/>
          <w:i/>
          <w:sz w:val="24"/>
          <w:szCs w:val="24"/>
        </w:rPr>
      </w:pPr>
      <w:r w:rsidRPr="00EE6813">
        <w:rPr>
          <w:rFonts w:ascii="Verdana" w:hAnsi="Verdana"/>
          <w:i/>
          <w:sz w:val="24"/>
          <w:szCs w:val="24"/>
        </w:rPr>
        <w:t>Se hizo entrega de apalancamiento financiero a 20 unidades productivas, para dar un valor agregado a los productos ofrecidos por estas, que permitió generar un aumento en los ingresos, contribuyendo así al mejoramiento de la calidad de vida de los asociados a las Unidades Productivas apoyadas por el Sector de la Inclusión Social y la Reconciliación.</w:t>
      </w:r>
    </w:p>
    <w:p w:rsidR="00DA252E" w:rsidRDefault="00DA252E" w:rsidP="00DA252E">
      <w:pPr>
        <w:spacing w:after="0" w:line="240" w:lineRule="auto"/>
        <w:jc w:val="both"/>
        <w:rPr>
          <w:rFonts w:ascii="Verdana" w:hAnsi="Verdana"/>
          <w:i/>
          <w:sz w:val="24"/>
          <w:szCs w:val="24"/>
        </w:rPr>
      </w:pPr>
    </w:p>
    <w:p w:rsidR="00DA252E" w:rsidRDefault="00DA252E" w:rsidP="00DA252E">
      <w:pPr>
        <w:spacing w:after="0" w:line="240" w:lineRule="auto"/>
        <w:rPr>
          <w:rFonts w:ascii="Verdana" w:hAnsi="Verdana"/>
          <w:i/>
          <w:sz w:val="24"/>
          <w:szCs w:val="24"/>
        </w:rPr>
      </w:pPr>
    </w:p>
    <w:p w:rsidR="00DA252E" w:rsidRDefault="00DA252E" w:rsidP="00856632">
      <w:pPr>
        <w:pStyle w:val="Ttulo2"/>
        <w:spacing w:before="0" w:after="0" w:line="240" w:lineRule="auto"/>
        <w:rPr>
          <w:rFonts w:ascii="Verdana" w:hAnsi="Verdana"/>
          <w:i w:val="0"/>
          <w:color w:val="548DD4" w:themeColor="text2" w:themeTint="99"/>
        </w:rPr>
      </w:pPr>
      <w:bookmarkStart w:id="33" w:name="_Toc410111289"/>
      <w:bookmarkStart w:id="34" w:name="_Toc410376784"/>
      <w:r w:rsidRPr="00523BA1">
        <w:rPr>
          <w:rFonts w:ascii="Verdana" w:hAnsi="Verdana"/>
          <w:i w:val="0"/>
          <w:color w:val="548DD4" w:themeColor="text2" w:themeTint="99"/>
        </w:rPr>
        <w:t>VIVIENDA Y PEQUEÑA INFRAESTRUCTURA</w:t>
      </w:r>
      <w:bookmarkEnd w:id="33"/>
      <w:bookmarkEnd w:id="34"/>
    </w:p>
    <w:p w:rsidR="00DA252E" w:rsidRPr="004269DC" w:rsidRDefault="00DA252E" w:rsidP="00DA252E"/>
    <w:p w:rsidR="00DA252E" w:rsidRPr="00334E15" w:rsidRDefault="00DA252E" w:rsidP="00DA252E">
      <w:pPr>
        <w:pStyle w:val="Textoindependiente21"/>
        <w:adjustRightInd w:val="0"/>
        <w:jc w:val="left"/>
        <w:outlineLvl w:val="2"/>
        <w:rPr>
          <w:b/>
          <w:sz w:val="24"/>
          <w:szCs w:val="24"/>
          <w:u w:val="single"/>
          <w:lang w:val="es-ES"/>
        </w:rPr>
      </w:pPr>
      <w:bookmarkStart w:id="35" w:name="_Toc410035278"/>
      <w:bookmarkStart w:id="36" w:name="_Toc410111290"/>
      <w:bookmarkStart w:id="37" w:name="_Toc410376785"/>
      <w:r w:rsidRPr="00334E15">
        <w:rPr>
          <w:b/>
          <w:color w:val="548DD4" w:themeColor="text2" w:themeTint="99"/>
          <w:sz w:val="24"/>
          <w:szCs w:val="24"/>
          <w:u w:val="single"/>
          <w:lang w:val="es-ES"/>
        </w:rPr>
        <w:t>INFRAESTRUCTURA Y HÁBITAT</w:t>
      </w:r>
      <w:bookmarkEnd w:id="35"/>
      <w:bookmarkEnd w:id="36"/>
      <w:bookmarkEnd w:id="37"/>
    </w:p>
    <w:p w:rsidR="00DA252E" w:rsidRPr="00BE78B0" w:rsidRDefault="00DA252E" w:rsidP="00DA252E">
      <w:pPr>
        <w:pStyle w:val="Textoindependiente21"/>
        <w:adjustRightInd w:val="0"/>
        <w:rPr>
          <w:b/>
          <w:sz w:val="24"/>
          <w:szCs w:val="24"/>
          <w:lang w:val="es-ES"/>
        </w:rPr>
      </w:pPr>
    </w:p>
    <w:p w:rsidR="00DA252E" w:rsidRPr="00F71B84" w:rsidRDefault="00DA252E" w:rsidP="00DA252E">
      <w:pPr>
        <w:pStyle w:val="Textoindependiente21"/>
        <w:adjustRightInd w:val="0"/>
        <w:rPr>
          <w:b/>
          <w:sz w:val="24"/>
          <w:szCs w:val="24"/>
          <w:lang w:val="es-ES"/>
        </w:rPr>
      </w:pPr>
    </w:p>
    <w:p w:rsidR="00DA252E" w:rsidRPr="00405354" w:rsidRDefault="00DA252E" w:rsidP="00DA252E">
      <w:pPr>
        <w:pStyle w:val="Textoindependiente21"/>
        <w:adjustRightInd w:val="0"/>
        <w:rPr>
          <w:b/>
          <w:color w:val="548DD4" w:themeColor="text2" w:themeTint="99"/>
          <w:sz w:val="24"/>
          <w:szCs w:val="24"/>
        </w:rPr>
      </w:pPr>
      <w:r w:rsidRPr="00405354">
        <w:rPr>
          <w:b/>
          <w:color w:val="548DD4" w:themeColor="text2" w:themeTint="99"/>
          <w:sz w:val="24"/>
          <w:szCs w:val="24"/>
          <w:lang w:val="es-ES"/>
        </w:rPr>
        <w:t>Objetivo</w:t>
      </w:r>
    </w:p>
    <w:p w:rsidR="00DA252E" w:rsidRPr="00F71B84" w:rsidRDefault="00DA252E" w:rsidP="00DA252E">
      <w:pPr>
        <w:pStyle w:val="Textoindependiente21"/>
        <w:adjustRightInd w:val="0"/>
        <w:jc w:val="center"/>
        <w:rPr>
          <w:b/>
          <w:sz w:val="24"/>
          <w:szCs w:val="24"/>
        </w:rPr>
      </w:pPr>
    </w:p>
    <w:p w:rsidR="00DA252E" w:rsidRPr="00F71B84" w:rsidRDefault="00DA252E" w:rsidP="00DA252E">
      <w:pPr>
        <w:pStyle w:val="Textoindependiente21"/>
        <w:rPr>
          <w:sz w:val="24"/>
          <w:szCs w:val="24"/>
        </w:rPr>
      </w:pPr>
      <w:r>
        <w:rPr>
          <w:rFonts w:cs="Arial"/>
          <w:color w:val="000000"/>
          <w:sz w:val="24"/>
          <w:szCs w:val="24"/>
        </w:rPr>
        <w:t>B</w:t>
      </w:r>
      <w:r w:rsidRPr="00F71B84">
        <w:rPr>
          <w:rFonts w:cs="Arial"/>
          <w:color w:val="000000"/>
          <w:sz w:val="24"/>
          <w:szCs w:val="24"/>
        </w:rPr>
        <w:t>usca promover oportunidades a través de la construcción de activos que contribuyan con la inclusión socioeconómica, la generación de empleo, la superación de la pobreza, la reconciliación de los ciudadanos y la consolida</w:t>
      </w:r>
      <w:r>
        <w:rPr>
          <w:rFonts w:cs="Arial"/>
          <w:color w:val="000000"/>
          <w:sz w:val="24"/>
          <w:szCs w:val="24"/>
        </w:rPr>
        <w:t>ción de territorios focalizados,</w:t>
      </w:r>
      <w:r w:rsidRPr="00F71B84">
        <w:rPr>
          <w:rFonts w:cs="Arial"/>
          <w:color w:val="000000"/>
          <w:sz w:val="24"/>
          <w:szCs w:val="24"/>
        </w:rPr>
        <w:t xml:space="preserve">  </w:t>
      </w:r>
      <w:r>
        <w:rPr>
          <w:rFonts w:cs="Arial"/>
          <w:color w:val="000000"/>
          <w:sz w:val="24"/>
          <w:szCs w:val="24"/>
        </w:rPr>
        <w:t>g</w:t>
      </w:r>
      <w:r w:rsidRPr="00F71B84">
        <w:rPr>
          <w:sz w:val="24"/>
          <w:szCs w:val="24"/>
        </w:rPr>
        <w:t xml:space="preserve">estionando proyectos de infraestructura en los diferentes sectores: </w:t>
      </w:r>
    </w:p>
    <w:p w:rsidR="00DA252E" w:rsidRPr="00F71B84" w:rsidRDefault="00DA252E" w:rsidP="00DA252E">
      <w:pPr>
        <w:pStyle w:val="Textoindependiente21"/>
        <w:rPr>
          <w:sz w:val="24"/>
          <w:szCs w:val="24"/>
        </w:rPr>
      </w:pPr>
    </w:p>
    <w:p w:rsidR="00DA252E" w:rsidRPr="00F71B84" w:rsidRDefault="00DA252E" w:rsidP="00FF784D">
      <w:pPr>
        <w:pStyle w:val="Textoindependiente21"/>
        <w:numPr>
          <w:ilvl w:val="0"/>
          <w:numId w:val="10"/>
        </w:numPr>
        <w:rPr>
          <w:sz w:val="24"/>
          <w:szCs w:val="24"/>
        </w:rPr>
      </w:pPr>
      <w:r w:rsidRPr="00F71B84">
        <w:rPr>
          <w:sz w:val="24"/>
          <w:szCs w:val="24"/>
        </w:rPr>
        <w:t>Proyectos de infraestructura vial.</w:t>
      </w:r>
    </w:p>
    <w:p w:rsidR="00DA252E" w:rsidRPr="00F71B84" w:rsidRDefault="00DA252E" w:rsidP="00FF784D">
      <w:pPr>
        <w:pStyle w:val="Textoindependiente21"/>
        <w:numPr>
          <w:ilvl w:val="0"/>
          <w:numId w:val="10"/>
        </w:numPr>
        <w:rPr>
          <w:sz w:val="24"/>
          <w:szCs w:val="24"/>
        </w:rPr>
      </w:pPr>
      <w:r w:rsidRPr="00F71B84">
        <w:rPr>
          <w:sz w:val="24"/>
          <w:szCs w:val="24"/>
        </w:rPr>
        <w:t>Proyectos en los sectores de inversión social y comunitaria.</w:t>
      </w:r>
    </w:p>
    <w:p w:rsidR="00DA252E" w:rsidRPr="00F71B84" w:rsidRDefault="00DA252E" w:rsidP="00FF784D">
      <w:pPr>
        <w:pStyle w:val="Textoindependiente21"/>
        <w:numPr>
          <w:ilvl w:val="0"/>
          <w:numId w:val="10"/>
        </w:numPr>
        <w:rPr>
          <w:sz w:val="24"/>
          <w:szCs w:val="24"/>
        </w:rPr>
      </w:pPr>
      <w:r w:rsidRPr="00F71B84">
        <w:rPr>
          <w:sz w:val="24"/>
          <w:szCs w:val="24"/>
        </w:rPr>
        <w:t>Proyectos de mejoramiento de vivienda y condiciones de habitabilidad.</w:t>
      </w:r>
    </w:p>
    <w:p w:rsidR="00DA252E" w:rsidRPr="00F71B84" w:rsidRDefault="00DA252E" w:rsidP="00FF784D">
      <w:pPr>
        <w:pStyle w:val="Textoindependiente21"/>
        <w:numPr>
          <w:ilvl w:val="0"/>
          <w:numId w:val="10"/>
        </w:numPr>
        <w:adjustRightInd w:val="0"/>
        <w:rPr>
          <w:b/>
          <w:sz w:val="24"/>
          <w:szCs w:val="24"/>
          <w:lang w:val="es-ES"/>
        </w:rPr>
      </w:pPr>
      <w:r w:rsidRPr="00F71B84">
        <w:rPr>
          <w:sz w:val="24"/>
          <w:szCs w:val="24"/>
        </w:rPr>
        <w:t>Proyectos de reconstrucción de viviendas y edificaciones afectadas por hechos violentos.</w:t>
      </w:r>
    </w:p>
    <w:p w:rsidR="00DA252E" w:rsidRPr="00F71B84" w:rsidRDefault="00DA252E" w:rsidP="00DA252E">
      <w:pPr>
        <w:pStyle w:val="Textoindependiente21"/>
        <w:adjustRightInd w:val="0"/>
        <w:jc w:val="left"/>
        <w:rPr>
          <w:rFonts w:cs="Arial"/>
          <w:color w:val="000000"/>
          <w:sz w:val="24"/>
          <w:szCs w:val="24"/>
        </w:rPr>
      </w:pPr>
    </w:p>
    <w:p w:rsidR="00DA252E" w:rsidRPr="00F71B84" w:rsidRDefault="00DA252E" w:rsidP="00DA252E">
      <w:pPr>
        <w:pStyle w:val="Textoindependiente21"/>
        <w:adjustRightInd w:val="0"/>
        <w:rPr>
          <w:rFonts w:cs="Arial"/>
          <w:color w:val="000000"/>
          <w:sz w:val="24"/>
          <w:szCs w:val="24"/>
        </w:rPr>
      </w:pPr>
      <w:r>
        <w:rPr>
          <w:rFonts w:cs="Arial"/>
          <w:color w:val="000000"/>
          <w:sz w:val="24"/>
          <w:szCs w:val="24"/>
        </w:rPr>
        <w:t>C</w:t>
      </w:r>
      <w:r w:rsidRPr="00F71B84">
        <w:rPr>
          <w:rFonts w:cs="Arial"/>
          <w:color w:val="000000"/>
          <w:sz w:val="24"/>
          <w:szCs w:val="24"/>
        </w:rPr>
        <w:t xml:space="preserve">ontempla inversiones en infraestructura social y mejora de condiciones de habitabilidad que, en línea con el Plan Nacional de Desarrollo “Prosperidad para Todos”, aportan a la inclusión socioeconómica, la generación de ingresos, la superación de la pobreza y la consolidación de territorios. </w:t>
      </w:r>
      <w:r>
        <w:rPr>
          <w:rFonts w:cs="Arial"/>
          <w:color w:val="000000"/>
          <w:sz w:val="24"/>
          <w:szCs w:val="24"/>
        </w:rPr>
        <w:t>R</w:t>
      </w:r>
      <w:r w:rsidRPr="00F71B84">
        <w:rPr>
          <w:rFonts w:cs="Arial"/>
          <w:color w:val="000000"/>
          <w:sz w:val="24"/>
          <w:szCs w:val="24"/>
        </w:rPr>
        <w:t xml:space="preserve">esponde a las </w:t>
      </w:r>
      <w:r w:rsidRPr="00F71B84">
        <w:rPr>
          <w:rFonts w:cs="Arial"/>
          <w:color w:val="000000"/>
          <w:sz w:val="24"/>
          <w:szCs w:val="24"/>
        </w:rPr>
        <w:lastRenderedPageBreak/>
        <w:t xml:space="preserve">solicitudes presentadas por los Entes Territoriales, el Gobierno Nacional, y las entidades adscritas y vinculadas al </w:t>
      </w:r>
      <w:r>
        <w:rPr>
          <w:rFonts w:cs="Arial"/>
          <w:color w:val="000000"/>
          <w:sz w:val="24"/>
          <w:szCs w:val="24"/>
        </w:rPr>
        <w:t>Sector</w:t>
      </w:r>
      <w:r w:rsidRPr="00F71B84">
        <w:rPr>
          <w:rFonts w:cs="Arial"/>
          <w:color w:val="000000"/>
          <w:sz w:val="24"/>
          <w:szCs w:val="24"/>
        </w:rPr>
        <w:t>, por lo que su desarrollo requiere desplegar una operación articulada a nivel regional.</w:t>
      </w:r>
    </w:p>
    <w:p w:rsidR="00DA252E" w:rsidRDefault="00DA252E" w:rsidP="00DA252E">
      <w:pPr>
        <w:pStyle w:val="Textoindependiente21"/>
        <w:adjustRightInd w:val="0"/>
        <w:ind w:left="720"/>
        <w:jc w:val="left"/>
        <w:rPr>
          <w:b/>
          <w:sz w:val="24"/>
          <w:szCs w:val="24"/>
          <w:lang w:val="es-ES"/>
        </w:rPr>
      </w:pPr>
    </w:p>
    <w:p w:rsidR="00DA252E" w:rsidRDefault="00DA252E" w:rsidP="00DA252E">
      <w:pPr>
        <w:spacing w:after="0" w:line="240" w:lineRule="auto"/>
        <w:jc w:val="both"/>
        <w:rPr>
          <w:rFonts w:ascii="Verdana" w:hAnsi="Verdana"/>
          <w:b/>
          <w:color w:val="548DD4" w:themeColor="text2" w:themeTint="99"/>
          <w:sz w:val="24"/>
          <w:szCs w:val="24"/>
        </w:rPr>
      </w:pPr>
      <w:r w:rsidRPr="00405354">
        <w:rPr>
          <w:rFonts w:ascii="Verdana" w:hAnsi="Verdana"/>
          <w:b/>
          <w:color w:val="548DD4" w:themeColor="text2" w:themeTint="99"/>
          <w:sz w:val="24"/>
          <w:szCs w:val="24"/>
        </w:rPr>
        <w:t xml:space="preserve">Líneas de acción </w:t>
      </w:r>
    </w:p>
    <w:p w:rsidR="00DA252E" w:rsidRPr="00405354" w:rsidRDefault="00DA252E" w:rsidP="00DA252E">
      <w:pPr>
        <w:spacing w:after="0" w:line="240" w:lineRule="auto"/>
        <w:jc w:val="both"/>
        <w:rPr>
          <w:rFonts w:ascii="Verdana" w:hAnsi="Verdana"/>
          <w:b/>
          <w:color w:val="548DD4" w:themeColor="text2" w:themeTint="99"/>
          <w:sz w:val="24"/>
          <w:szCs w:val="24"/>
        </w:rPr>
      </w:pPr>
    </w:p>
    <w:p w:rsidR="00DA252E" w:rsidRPr="00B03526" w:rsidRDefault="00DA252E" w:rsidP="00FF784D">
      <w:pPr>
        <w:pStyle w:val="Prrafodelista"/>
        <w:numPr>
          <w:ilvl w:val="0"/>
          <w:numId w:val="11"/>
        </w:numPr>
        <w:spacing w:after="0" w:line="240" w:lineRule="auto"/>
        <w:ind w:left="851" w:hanging="284"/>
        <w:contextualSpacing w:val="0"/>
        <w:jc w:val="both"/>
        <w:rPr>
          <w:rFonts w:ascii="Verdana" w:hAnsi="Verdana" w:cs="Tahoma"/>
          <w:i/>
          <w:color w:val="000000"/>
          <w:sz w:val="24"/>
          <w:szCs w:val="24"/>
          <w:lang w:eastAsia="es-CO"/>
        </w:rPr>
      </w:pPr>
      <w:r w:rsidRPr="00B03526">
        <w:rPr>
          <w:rFonts w:ascii="Verdana" w:hAnsi="Verdana" w:cs="Tahoma"/>
          <w:i/>
          <w:color w:val="000000"/>
          <w:sz w:val="24"/>
          <w:szCs w:val="24"/>
          <w:lang w:eastAsia="es-CO"/>
        </w:rPr>
        <w:t xml:space="preserve"> Análisis de necesidades y pre-factibilidad de proyectos</w:t>
      </w:r>
    </w:p>
    <w:p w:rsidR="00DA252E" w:rsidRPr="00B03526" w:rsidRDefault="00DA252E" w:rsidP="00DA252E">
      <w:pPr>
        <w:pStyle w:val="Prrafodelista"/>
        <w:spacing w:after="0" w:line="240" w:lineRule="auto"/>
        <w:ind w:left="851" w:hanging="284"/>
        <w:jc w:val="both"/>
        <w:rPr>
          <w:rFonts w:ascii="Verdana" w:hAnsi="Verdana" w:cs="Tahoma"/>
          <w:b/>
          <w:i/>
          <w:color w:val="000000"/>
          <w:sz w:val="24"/>
          <w:szCs w:val="24"/>
          <w:lang w:eastAsia="es-CO"/>
        </w:rPr>
      </w:pPr>
    </w:p>
    <w:p w:rsidR="00DA252E" w:rsidRPr="00B03526" w:rsidRDefault="00DA252E" w:rsidP="00856632">
      <w:pPr>
        <w:spacing w:after="0" w:line="240" w:lineRule="auto"/>
        <w:ind w:left="851"/>
        <w:jc w:val="both"/>
        <w:rPr>
          <w:rFonts w:ascii="Verdana" w:hAnsi="Verdana" w:cs="Tahoma"/>
          <w:i/>
          <w:sz w:val="24"/>
          <w:szCs w:val="24"/>
          <w:lang w:eastAsia="es-CO"/>
        </w:rPr>
      </w:pPr>
      <w:r w:rsidRPr="00B03526">
        <w:rPr>
          <w:rFonts w:ascii="Verdana" w:hAnsi="Verdana" w:cs="Tahoma"/>
          <w:i/>
          <w:sz w:val="24"/>
          <w:szCs w:val="24"/>
          <w:lang w:eastAsia="es-CO"/>
        </w:rPr>
        <w:t>El análisis se realiz</w:t>
      </w:r>
      <w:r>
        <w:rPr>
          <w:rFonts w:ascii="Verdana" w:hAnsi="Verdana" w:cs="Tahoma"/>
          <w:i/>
          <w:sz w:val="24"/>
          <w:szCs w:val="24"/>
          <w:lang w:eastAsia="es-CO"/>
        </w:rPr>
        <w:t>ó</w:t>
      </w:r>
      <w:r w:rsidRPr="00B03526">
        <w:rPr>
          <w:rFonts w:ascii="Verdana" w:hAnsi="Verdana" w:cs="Tahoma"/>
          <w:i/>
          <w:sz w:val="24"/>
          <w:szCs w:val="24"/>
          <w:lang w:eastAsia="es-CO"/>
        </w:rPr>
        <w:t xml:space="preserve"> a través de los talleres de socialización de los proyectos priorizados y los talleres con la comunidad para identificación  de los proyectos. </w:t>
      </w:r>
    </w:p>
    <w:p w:rsidR="00DA252E" w:rsidRPr="00B03526" w:rsidRDefault="00DA252E" w:rsidP="00DA252E">
      <w:pPr>
        <w:spacing w:after="0" w:line="240" w:lineRule="auto"/>
        <w:ind w:left="851" w:hanging="284"/>
        <w:jc w:val="both"/>
        <w:rPr>
          <w:rFonts w:ascii="Verdana" w:hAnsi="Verdana"/>
          <w:i/>
          <w:sz w:val="24"/>
          <w:szCs w:val="24"/>
        </w:rPr>
      </w:pPr>
    </w:p>
    <w:p w:rsidR="00DA252E" w:rsidRPr="00B03526" w:rsidRDefault="00DA252E" w:rsidP="00FF784D">
      <w:pPr>
        <w:pStyle w:val="Prrafodelista"/>
        <w:numPr>
          <w:ilvl w:val="0"/>
          <w:numId w:val="11"/>
        </w:numPr>
        <w:spacing w:after="0" w:line="240" w:lineRule="auto"/>
        <w:ind w:left="851" w:hanging="284"/>
        <w:contextualSpacing w:val="0"/>
        <w:jc w:val="both"/>
        <w:rPr>
          <w:rFonts w:ascii="Verdana" w:hAnsi="Verdana" w:cs="Tahoma"/>
          <w:i/>
          <w:color w:val="000000"/>
          <w:sz w:val="24"/>
          <w:szCs w:val="24"/>
          <w:lang w:eastAsia="es-CO"/>
        </w:rPr>
      </w:pPr>
      <w:r w:rsidRPr="00B03526">
        <w:rPr>
          <w:rFonts w:ascii="Verdana" w:hAnsi="Verdana" w:cs="Tahoma"/>
          <w:i/>
          <w:color w:val="000000"/>
          <w:sz w:val="24"/>
          <w:szCs w:val="24"/>
          <w:lang w:eastAsia="es-CO"/>
        </w:rPr>
        <w:t>Estructuración y viabilización de proyectos de infraestructura:</w:t>
      </w:r>
    </w:p>
    <w:p w:rsidR="00DA252E" w:rsidRPr="00B03526" w:rsidRDefault="00DA252E" w:rsidP="00DA252E">
      <w:pPr>
        <w:pStyle w:val="Prrafodelista"/>
        <w:spacing w:after="0" w:line="240" w:lineRule="auto"/>
        <w:ind w:left="851" w:hanging="284"/>
        <w:jc w:val="both"/>
        <w:rPr>
          <w:rFonts w:ascii="Verdana" w:hAnsi="Verdana" w:cs="Tahoma"/>
          <w:b/>
          <w:i/>
          <w:color w:val="000000"/>
          <w:sz w:val="24"/>
          <w:szCs w:val="24"/>
          <w:lang w:eastAsia="es-CO"/>
        </w:rPr>
      </w:pPr>
    </w:p>
    <w:p w:rsidR="00DA252E" w:rsidRPr="00B03526" w:rsidRDefault="00DA252E" w:rsidP="00FF784D">
      <w:pPr>
        <w:pStyle w:val="Prrafodelista"/>
        <w:numPr>
          <w:ilvl w:val="0"/>
          <w:numId w:val="26"/>
        </w:numPr>
        <w:spacing w:after="0" w:line="240" w:lineRule="auto"/>
        <w:ind w:left="851" w:hanging="284"/>
        <w:jc w:val="both"/>
        <w:rPr>
          <w:rFonts w:ascii="Verdana" w:hAnsi="Verdana"/>
          <w:i/>
          <w:sz w:val="24"/>
          <w:szCs w:val="24"/>
        </w:rPr>
      </w:pPr>
      <w:r w:rsidRPr="00B03526">
        <w:rPr>
          <w:rFonts w:ascii="Verdana" w:hAnsi="Verdana"/>
          <w:i/>
          <w:sz w:val="24"/>
          <w:szCs w:val="24"/>
        </w:rPr>
        <w:t>Verificación de la completitud y calidad de los estudios y diseños.</w:t>
      </w:r>
    </w:p>
    <w:p w:rsidR="00DA252E" w:rsidRPr="00B03526" w:rsidRDefault="00DA252E" w:rsidP="00FF784D">
      <w:pPr>
        <w:pStyle w:val="Prrafodelista"/>
        <w:numPr>
          <w:ilvl w:val="0"/>
          <w:numId w:val="26"/>
        </w:numPr>
        <w:spacing w:after="0" w:line="240" w:lineRule="auto"/>
        <w:ind w:left="851" w:hanging="284"/>
        <w:jc w:val="both"/>
        <w:rPr>
          <w:rFonts w:ascii="Verdana" w:hAnsi="Verdana"/>
          <w:i/>
          <w:sz w:val="24"/>
          <w:szCs w:val="24"/>
        </w:rPr>
      </w:pPr>
      <w:r w:rsidRPr="00B03526">
        <w:rPr>
          <w:rFonts w:ascii="Verdana" w:hAnsi="Verdana"/>
          <w:i/>
          <w:sz w:val="24"/>
          <w:szCs w:val="24"/>
        </w:rPr>
        <w:t>Verificación de la viabilidad de los proyectos pre-factilizados.</w:t>
      </w:r>
    </w:p>
    <w:p w:rsidR="00DA252E" w:rsidRDefault="00DA252E" w:rsidP="00FF784D">
      <w:pPr>
        <w:pStyle w:val="Prrafodelista"/>
        <w:numPr>
          <w:ilvl w:val="0"/>
          <w:numId w:val="26"/>
        </w:numPr>
        <w:spacing w:after="0" w:line="240" w:lineRule="auto"/>
        <w:ind w:left="851" w:hanging="284"/>
        <w:jc w:val="both"/>
        <w:rPr>
          <w:rFonts w:ascii="Verdana" w:hAnsi="Verdana"/>
          <w:i/>
          <w:sz w:val="24"/>
          <w:szCs w:val="24"/>
        </w:rPr>
      </w:pPr>
      <w:r w:rsidRPr="00B03526">
        <w:rPr>
          <w:rFonts w:ascii="Verdana" w:hAnsi="Verdana"/>
          <w:i/>
          <w:sz w:val="24"/>
          <w:szCs w:val="24"/>
        </w:rPr>
        <w:t>Avances técnicos y operativos, en el que cuenta el proceso de estructuración y viabilidad de cada proyecto, para esto se tienen definidas las fases de maduración de los mismos, de tal manera que estos puedan ser ejecutados exitosamente bajo los parámetros sociales, jurídicos, económicos, técnicos y ambientales requeridos.</w:t>
      </w:r>
    </w:p>
    <w:p w:rsidR="00DA252E" w:rsidRPr="00B03526" w:rsidRDefault="00DA252E" w:rsidP="00DA252E">
      <w:pPr>
        <w:pStyle w:val="Prrafodelista"/>
        <w:spacing w:after="0" w:line="240" w:lineRule="auto"/>
        <w:ind w:left="851" w:hanging="284"/>
        <w:jc w:val="both"/>
        <w:rPr>
          <w:rFonts w:ascii="Verdana" w:hAnsi="Verdana"/>
          <w:i/>
          <w:sz w:val="24"/>
          <w:szCs w:val="24"/>
        </w:rPr>
      </w:pPr>
    </w:p>
    <w:p w:rsidR="00DA252E" w:rsidRPr="00B03526" w:rsidRDefault="00DA252E" w:rsidP="00FF784D">
      <w:pPr>
        <w:pStyle w:val="Prrafodelista"/>
        <w:numPr>
          <w:ilvl w:val="0"/>
          <w:numId w:val="11"/>
        </w:numPr>
        <w:spacing w:after="0" w:line="240" w:lineRule="auto"/>
        <w:ind w:left="851" w:hanging="284"/>
        <w:contextualSpacing w:val="0"/>
        <w:jc w:val="both"/>
        <w:rPr>
          <w:rFonts w:ascii="Verdana" w:hAnsi="Verdana" w:cs="Tahoma"/>
          <w:i/>
          <w:color w:val="000000"/>
          <w:sz w:val="24"/>
          <w:szCs w:val="24"/>
          <w:lang w:eastAsia="es-CO"/>
        </w:rPr>
      </w:pPr>
      <w:r w:rsidRPr="00B03526">
        <w:rPr>
          <w:rFonts w:ascii="Verdana" w:hAnsi="Verdana" w:cs="Tahoma"/>
          <w:i/>
          <w:color w:val="000000"/>
          <w:sz w:val="24"/>
          <w:szCs w:val="24"/>
          <w:lang w:eastAsia="es-CO"/>
        </w:rPr>
        <w:t>Seguimiento y acompañamiento en la ejecución de proyectos de infraestructura viabilizados:</w:t>
      </w:r>
    </w:p>
    <w:p w:rsidR="00DA252E" w:rsidRPr="00B03526" w:rsidRDefault="00DA252E" w:rsidP="00DA252E">
      <w:pPr>
        <w:pStyle w:val="Prrafodelista"/>
        <w:spacing w:after="0" w:line="240" w:lineRule="auto"/>
        <w:ind w:left="851" w:hanging="284"/>
        <w:jc w:val="both"/>
        <w:rPr>
          <w:rFonts w:ascii="Verdana" w:hAnsi="Verdana" w:cs="Tahoma"/>
          <w:b/>
          <w:i/>
          <w:color w:val="000000"/>
          <w:sz w:val="24"/>
          <w:szCs w:val="24"/>
          <w:lang w:eastAsia="es-CO"/>
        </w:rPr>
      </w:pPr>
    </w:p>
    <w:p w:rsidR="00DA252E" w:rsidRPr="00B03526" w:rsidRDefault="00DA252E" w:rsidP="00FF784D">
      <w:pPr>
        <w:pStyle w:val="Prrafodelista"/>
        <w:numPr>
          <w:ilvl w:val="0"/>
          <w:numId w:val="27"/>
        </w:numPr>
        <w:spacing w:after="0" w:line="240" w:lineRule="auto"/>
        <w:ind w:left="851" w:hanging="284"/>
        <w:jc w:val="both"/>
        <w:rPr>
          <w:rFonts w:ascii="Verdana" w:hAnsi="Verdana" w:cs="Tahoma"/>
          <w:i/>
          <w:sz w:val="24"/>
          <w:szCs w:val="24"/>
          <w:lang w:eastAsia="es-CO"/>
        </w:rPr>
      </w:pPr>
      <w:r w:rsidRPr="00B03526">
        <w:rPr>
          <w:rFonts w:ascii="Verdana" w:hAnsi="Verdana" w:cs="Tahoma"/>
          <w:i/>
          <w:sz w:val="24"/>
          <w:szCs w:val="24"/>
          <w:lang w:eastAsia="es-CO"/>
        </w:rPr>
        <w:t xml:space="preserve">Acompañamiento y verificación al proceso precontractual y contractual de las convocatorias públicas de los entes territoriales. </w:t>
      </w:r>
    </w:p>
    <w:p w:rsidR="00DA252E" w:rsidRPr="00B03526" w:rsidRDefault="00DA252E" w:rsidP="00FF784D">
      <w:pPr>
        <w:pStyle w:val="Prrafodelista"/>
        <w:numPr>
          <w:ilvl w:val="0"/>
          <w:numId w:val="27"/>
        </w:numPr>
        <w:spacing w:after="0" w:line="240" w:lineRule="auto"/>
        <w:ind w:left="851" w:hanging="284"/>
        <w:jc w:val="both"/>
        <w:rPr>
          <w:rFonts w:ascii="Verdana" w:hAnsi="Verdana" w:cs="Tahoma"/>
          <w:i/>
          <w:sz w:val="24"/>
          <w:szCs w:val="24"/>
          <w:lang w:eastAsia="es-CO"/>
        </w:rPr>
      </w:pPr>
      <w:r w:rsidRPr="00B03526">
        <w:rPr>
          <w:rFonts w:ascii="Verdana" w:hAnsi="Verdana" w:cs="Tahoma"/>
          <w:i/>
          <w:sz w:val="24"/>
          <w:szCs w:val="24"/>
          <w:lang w:eastAsia="es-CO"/>
        </w:rPr>
        <w:t>Adelantar la estrategia de auditoría visible con la realización de foros de control social a cada uno de los proyectos de infraestructura.</w:t>
      </w:r>
    </w:p>
    <w:p w:rsidR="00DA252E" w:rsidRPr="00B03526" w:rsidRDefault="00DA252E" w:rsidP="00FF784D">
      <w:pPr>
        <w:pStyle w:val="Prrafodelista"/>
        <w:numPr>
          <w:ilvl w:val="0"/>
          <w:numId w:val="27"/>
        </w:numPr>
        <w:spacing w:after="0" w:line="240" w:lineRule="auto"/>
        <w:ind w:left="851" w:hanging="284"/>
        <w:jc w:val="both"/>
        <w:rPr>
          <w:rFonts w:ascii="Verdana" w:hAnsi="Verdana" w:cs="Tahoma"/>
          <w:i/>
          <w:sz w:val="24"/>
          <w:szCs w:val="24"/>
          <w:lang w:eastAsia="es-CO"/>
        </w:rPr>
      </w:pPr>
      <w:r w:rsidRPr="00B03526">
        <w:rPr>
          <w:rFonts w:ascii="Verdana" w:hAnsi="Verdana" w:cs="Tahoma"/>
          <w:i/>
          <w:sz w:val="24"/>
          <w:szCs w:val="24"/>
          <w:lang w:eastAsia="es-CO"/>
        </w:rPr>
        <w:t>Formular y publicar un instrumento de información y difusión web del estado de intervenciones en materia de infraestructura y hábitat mediante un sistema gr</w:t>
      </w:r>
      <w:r>
        <w:rPr>
          <w:rFonts w:ascii="Verdana" w:hAnsi="Verdana" w:cs="Tahoma"/>
          <w:i/>
          <w:sz w:val="24"/>
          <w:szCs w:val="24"/>
          <w:lang w:eastAsia="es-CO"/>
        </w:rPr>
        <w:t>á</w:t>
      </w:r>
      <w:r w:rsidRPr="00B03526">
        <w:rPr>
          <w:rFonts w:ascii="Verdana" w:hAnsi="Verdana" w:cs="Tahoma"/>
          <w:i/>
          <w:sz w:val="24"/>
          <w:szCs w:val="24"/>
          <w:lang w:eastAsia="es-CO"/>
        </w:rPr>
        <w:t>fico de geor</w:t>
      </w:r>
      <w:r>
        <w:rPr>
          <w:rFonts w:ascii="Verdana" w:hAnsi="Verdana" w:cs="Tahoma"/>
          <w:i/>
          <w:sz w:val="24"/>
          <w:szCs w:val="24"/>
          <w:lang w:eastAsia="es-CO"/>
        </w:rPr>
        <w:t>r</w:t>
      </w:r>
      <w:r w:rsidRPr="00B03526">
        <w:rPr>
          <w:rFonts w:ascii="Verdana" w:hAnsi="Verdana" w:cs="Tahoma"/>
          <w:i/>
          <w:sz w:val="24"/>
          <w:szCs w:val="24"/>
          <w:lang w:eastAsia="es-CO"/>
        </w:rPr>
        <w:t>eferenciación.</w:t>
      </w:r>
    </w:p>
    <w:p w:rsidR="00DA252E" w:rsidRPr="00B03526" w:rsidRDefault="00DA252E" w:rsidP="00FF784D">
      <w:pPr>
        <w:pStyle w:val="Prrafodelista"/>
        <w:numPr>
          <w:ilvl w:val="0"/>
          <w:numId w:val="27"/>
        </w:numPr>
        <w:spacing w:after="0" w:line="240" w:lineRule="auto"/>
        <w:ind w:left="851" w:hanging="284"/>
        <w:jc w:val="both"/>
        <w:rPr>
          <w:rFonts w:ascii="Verdana" w:hAnsi="Verdana" w:cs="Tahoma"/>
          <w:i/>
          <w:sz w:val="24"/>
          <w:szCs w:val="24"/>
          <w:lang w:eastAsia="es-CO"/>
        </w:rPr>
      </w:pPr>
      <w:r w:rsidRPr="00B03526">
        <w:rPr>
          <w:rFonts w:ascii="Verdana" w:hAnsi="Verdana" w:cs="Tahoma"/>
          <w:i/>
          <w:sz w:val="24"/>
          <w:szCs w:val="24"/>
          <w:lang w:eastAsia="es-CO"/>
        </w:rPr>
        <w:t>Adelantar el acompañamiento a la elaboración de los planes de mantenimiento y sostenibilidad de las obras en ejecución.</w:t>
      </w:r>
    </w:p>
    <w:p w:rsidR="00DA252E" w:rsidRPr="00B03526" w:rsidRDefault="00DA252E" w:rsidP="00DA252E">
      <w:pPr>
        <w:spacing w:after="0" w:line="240" w:lineRule="auto"/>
        <w:ind w:left="851" w:hanging="284"/>
        <w:jc w:val="both"/>
        <w:rPr>
          <w:rFonts w:ascii="Verdana" w:hAnsi="Verdana" w:cs="Tahoma"/>
          <w:b/>
          <w:i/>
          <w:color w:val="000000"/>
          <w:sz w:val="24"/>
          <w:szCs w:val="24"/>
          <w:lang w:eastAsia="es-CO"/>
        </w:rPr>
      </w:pPr>
    </w:p>
    <w:p w:rsidR="00DA252E" w:rsidRPr="00B03526" w:rsidRDefault="00DA252E" w:rsidP="00FF784D">
      <w:pPr>
        <w:pStyle w:val="Prrafodelista"/>
        <w:numPr>
          <w:ilvl w:val="0"/>
          <w:numId w:val="11"/>
        </w:numPr>
        <w:spacing w:after="0" w:line="240" w:lineRule="auto"/>
        <w:ind w:left="851" w:hanging="284"/>
        <w:contextualSpacing w:val="0"/>
        <w:jc w:val="both"/>
        <w:rPr>
          <w:rFonts w:ascii="Verdana" w:hAnsi="Verdana" w:cs="Tahoma"/>
          <w:i/>
          <w:color w:val="000000"/>
          <w:sz w:val="24"/>
          <w:szCs w:val="24"/>
          <w:lang w:eastAsia="es-CO"/>
        </w:rPr>
      </w:pPr>
      <w:r w:rsidRPr="00B03526">
        <w:rPr>
          <w:rFonts w:ascii="Verdana" w:hAnsi="Verdana" w:cs="Tahoma"/>
          <w:i/>
          <w:color w:val="000000"/>
          <w:sz w:val="24"/>
          <w:szCs w:val="24"/>
          <w:lang w:eastAsia="es-CO"/>
        </w:rPr>
        <w:t>Gestión de liquidaciones y/o cierres financieros:</w:t>
      </w:r>
    </w:p>
    <w:p w:rsidR="00DA252E" w:rsidRPr="00B03526" w:rsidRDefault="00DA252E" w:rsidP="00DA252E">
      <w:pPr>
        <w:spacing w:after="0" w:line="240" w:lineRule="auto"/>
        <w:ind w:left="851" w:hanging="284"/>
        <w:jc w:val="both"/>
        <w:rPr>
          <w:rFonts w:ascii="Verdana" w:hAnsi="Verdana" w:cs="Tahoma"/>
          <w:i/>
          <w:sz w:val="24"/>
          <w:szCs w:val="24"/>
        </w:rPr>
      </w:pPr>
    </w:p>
    <w:p w:rsidR="00DA252E" w:rsidRPr="00B33920" w:rsidRDefault="00DA252E" w:rsidP="00FF784D">
      <w:pPr>
        <w:pStyle w:val="Prrafodelista"/>
        <w:numPr>
          <w:ilvl w:val="0"/>
          <w:numId w:val="27"/>
        </w:numPr>
        <w:spacing w:after="0" w:line="240" w:lineRule="auto"/>
        <w:ind w:left="851" w:hanging="284"/>
        <w:jc w:val="both"/>
        <w:rPr>
          <w:rFonts w:ascii="Verdana" w:hAnsi="Verdana" w:cs="Tahoma"/>
          <w:i/>
          <w:sz w:val="24"/>
          <w:szCs w:val="24"/>
          <w:lang w:eastAsia="es-CO"/>
        </w:rPr>
      </w:pPr>
      <w:r w:rsidRPr="00B33920">
        <w:rPr>
          <w:rFonts w:ascii="Verdana" w:hAnsi="Verdana" w:cs="Tahoma"/>
          <w:i/>
          <w:sz w:val="24"/>
          <w:szCs w:val="24"/>
          <w:lang w:eastAsia="es-CO"/>
        </w:rPr>
        <w:t>Realizar la gestión con los supervisores de las liquidaciones y/o cierres financieros pendientes.</w:t>
      </w:r>
    </w:p>
    <w:p w:rsidR="00DA252E" w:rsidRPr="00B03526" w:rsidRDefault="00DA252E" w:rsidP="00DA252E">
      <w:pPr>
        <w:pStyle w:val="Prrafodelista"/>
        <w:spacing w:after="0" w:line="240" w:lineRule="auto"/>
        <w:ind w:left="851" w:hanging="284"/>
        <w:jc w:val="both"/>
        <w:rPr>
          <w:rFonts w:ascii="Verdana" w:hAnsi="Verdana" w:cs="Tahoma"/>
          <w:b/>
          <w:i/>
          <w:color w:val="000000"/>
          <w:sz w:val="24"/>
          <w:szCs w:val="24"/>
          <w:lang w:eastAsia="es-CO"/>
        </w:rPr>
      </w:pPr>
    </w:p>
    <w:p w:rsidR="00DA252E" w:rsidRPr="00B03526" w:rsidRDefault="00DA252E" w:rsidP="00FF784D">
      <w:pPr>
        <w:pStyle w:val="Prrafodelista"/>
        <w:numPr>
          <w:ilvl w:val="0"/>
          <w:numId w:val="11"/>
        </w:numPr>
        <w:spacing w:after="0" w:line="240" w:lineRule="auto"/>
        <w:ind w:left="851" w:hanging="284"/>
        <w:contextualSpacing w:val="0"/>
        <w:jc w:val="both"/>
        <w:rPr>
          <w:rFonts w:ascii="Verdana" w:hAnsi="Verdana" w:cs="Tahoma"/>
          <w:i/>
          <w:color w:val="000000"/>
          <w:sz w:val="24"/>
          <w:szCs w:val="24"/>
          <w:lang w:eastAsia="es-CO"/>
        </w:rPr>
      </w:pPr>
      <w:r w:rsidRPr="00B03526">
        <w:rPr>
          <w:rFonts w:ascii="Verdana" w:hAnsi="Verdana" w:cs="Tahoma"/>
          <w:i/>
          <w:color w:val="000000"/>
          <w:sz w:val="24"/>
          <w:szCs w:val="24"/>
          <w:lang w:eastAsia="es-CO"/>
        </w:rPr>
        <w:t>Evaluación de resultado e impacto de las obras ejecutadas:</w:t>
      </w:r>
    </w:p>
    <w:p w:rsidR="00DA252E" w:rsidRPr="00B03526" w:rsidRDefault="00DA252E" w:rsidP="00DA252E">
      <w:pPr>
        <w:spacing w:after="0" w:line="240" w:lineRule="auto"/>
        <w:ind w:left="851" w:hanging="284"/>
        <w:jc w:val="both"/>
        <w:rPr>
          <w:rFonts w:ascii="Verdana" w:hAnsi="Verdana" w:cs="Tahoma"/>
          <w:i/>
          <w:color w:val="000000"/>
          <w:sz w:val="24"/>
          <w:szCs w:val="24"/>
          <w:lang w:eastAsia="es-CO"/>
        </w:rPr>
      </w:pPr>
    </w:p>
    <w:p w:rsidR="00DA252E" w:rsidRPr="00B33920" w:rsidRDefault="00DA252E" w:rsidP="00FF784D">
      <w:pPr>
        <w:pStyle w:val="Prrafodelista"/>
        <w:numPr>
          <w:ilvl w:val="0"/>
          <w:numId w:val="27"/>
        </w:numPr>
        <w:spacing w:after="0" w:line="240" w:lineRule="auto"/>
        <w:ind w:left="851" w:hanging="284"/>
        <w:jc w:val="both"/>
        <w:rPr>
          <w:rFonts w:ascii="Verdana" w:hAnsi="Verdana" w:cs="Tahoma"/>
          <w:i/>
          <w:sz w:val="24"/>
          <w:szCs w:val="24"/>
          <w:lang w:eastAsia="es-CO"/>
        </w:rPr>
      </w:pPr>
      <w:r w:rsidRPr="00B33920">
        <w:rPr>
          <w:rFonts w:ascii="Verdana" w:hAnsi="Verdana" w:cs="Tahoma"/>
          <w:i/>
          <w:sz w:val="24"/>
          <w:szCs w:val="24"/>
          <w:lang w:eastAsia="es-CO"/>
        </w:rPr>
        <w:t>Proveer de una firma para la realización de auditoría y evaluación del impacto de los activos construidos.</w:t>
      </w:r>
    </w:p>
    <w:p w:rsidR="00DA252E" w:rsidRDefault="00DA252E" w:rsidP="00DA252E">
      <w:pPr>
        <w:spacing w:after="0" w:line="240" w:lineRule="auto"/>
        <w:jc w:val="both"/>
        <w:rPr>
          <w:rFonts w:ascii="Verdana" w:hAnsi="Verdana" w:cs="Tahoma"/>
          <w:sz w:val="24"/>
          <w:szCs w:val="24"/>
          <w:lang w:eastAsia="es-CO"/>
        </w:rPr>
      </w:pPr>
    </w:p>
    <w:p w:rsidR="00856632" w:rsidRDefault="00856632" w:rsidP="00DA252E">
      <w:pPr>
        <w:spacing w:after="0" w:line="240" w:lineRule="auto"/>
        <w:jc w:val="both"/>
        <w:rPr>
          <w:rFonts w:ascii="Verdana" w:hAnsi="Verdana" w:cs="Tahoma"/>
          <w:sz w:val="24"/>
          <w:szCs w:val="24"/>
          <w:lang w:eastAsia="es-CO"/>
        </w:rPr>
      </w:pPr>
    </w:p>
    <w:p w:rsidR="00DA252E" w:rsidRDefault="00DA252E" w:rsidP="00DA252E">
      <w:pPr>
        <w:spacing w:after="0" w:line="240" w:lineRule="auto"/>
        <w:jc w:val="both"/>
        <w:rPr>
          <w:rFonts w:ascii="Verdana" w:hAnsi="Verdana" w:cs="Tahoma"/>
          <w:b/>
          <w:color w:val="548DD4" w:themeColor="text2" w:themeTint="99"/>
          <w:sz w:val="24"/>
          <w:szCs w:val="24"/>
          <w:lang w:eastAsia="es-CO"/>
        </w:rPr>
      </w:pPr>
      <w:r w:rsidRPr="00405354">
        <w:rPr>
          <w:rFonts w:ascii="Verdana" w:hAnsi="Verdana" w:cs="Tahoma"/>
          <w:b/>
          <w:color w:val="548DD4" w:themeColor="text2" w:themeTint="99"/>
          <w:sz w:val="24"/>
          <w:szCs w:val="24"/>
          <w:lang w:eastAsia="es-CO"/>
        </w:rPr>
        <w:t>Cumplimiento de metas</w:t>
      </w:r>
    </w:p>
    <w:p w:rsidR="00DA252E" w:rsidRDefault="00DA252E" w:rsidP="00DA252E">
      <w:pPr>
        <w:spacing w:after="0" w:line="240" w:lineRule="auto"/>
        <w:jc w:val="both"/>
        <w:rPr>
          <w:rFonts w:ascii="Verdana" w:hAnsi="Verdana" w:cs="Tahoma"/>
          <w:b/>
          <w:color w:val="548DD4" w:themeColor="text2" w:themeTint="99"/>
          <w:sz w:val="24"/>
          <w:szCs w:val="24"/>
          <w:lang w:eastAsia="es-CO"/>
        </w:rPr>
      </w:pPr>
    </w:p>
    <w:p w:rsidR="00DA252E" w:rsidRPr="00597E1B" w:rsidRDefault="00DA252E" w:rsidP="00DA252E">
      <w:pPr>
        <w:spacing w:after="0" w:line="240" w:lineRule="auto"/>
        <w:jc w:val="both"/>
        <w:rPr>
          <w:rFonts w:ascii="Verdana" w:hAnsi="Verdana"/>
          <w:sz w:val="24"/>
          <w:szCs w:val="24"/>
        </w:rPr>
      </w:pPr>
      <w:r w:rsidRPr="00597E1B">
        <w:rPr>
          <w:rFonts w:ascii="Verdana" w:hAnsi="Verdana"/>
          <w:sz w:val="24"/>
          <w:szCs w:val="24"/>
        </w:rPr>
        <w:t>Meta 2014: 126 Obras</w:t>
      </w:r>
    </w:p>
    <w:p w:rsidR="00DA252E" w:rsidRPr="00597E1B" w:rsidRDefault="00DA252E" w:rsidP="00DA252E">
      <w:pPr>
        <w:spacing w:after="0" w:line="240" w:lineRule="auto"/>
        <w:jc w:val="both"/>
        <w:rPr>
          <w:rFonts w:ascii="Verdana" w:hAnsi="Verdana"/>
          <w:sz w:val="24"/>
          <w:szCs w:val="24"/>
        </w:rPr>
      </w:pPr>
      <w:r w:rsidRPr="00597E1B">
        <w:rPr>
          <w:rFonts w:ascii="Verdana" w:hAnsi="Verdana"/>
          <w:sz w:val="24"/>
          <w:szCs w:val="24"/>
        </w:rPr>
        <w:t>Avance Meta: 115 Obras</w:t>
      </w:r>
    </w:p>
    <w:p w:rsidR="00DA252E" w:rsidRPr="00F71B84" w:rsidRDefault="00DA252E" w:rsidP="00DA252E">
      <w:pPr>
        <w:spacing w:after="0" w:line="240" w:lineRule="auto"/>
        <w:jc w:val="both"/>
        <w:rPr>
          <w:rFonts w:ascii="Verdana" w:hAnsi="Verdana" w:cs="Tahoma"/>
          <w:b/>
          <w:color w:val="000000"/>
          <w:sz w:val="24"/>
          <w:szCs w:val="24"/>
          <w:lang w:eastAsia="es-CO"/>
        </w:rPr>
      </w:pPr>
    </w:p>
    <w:p w:rsidR="00DA252E" w:rsidRPr="00F71B84" w:rsidRDefault="00DA252E" w:rsidP="00DA252E">
      <w:pPr>
        <w:spacing w:after="0" w:line="240" w:lineRule="auto"/>
        <w:jc w:val="both"/>
        <w:rPr>
          <w:rFonts w:ascii="Verdana" w:hAnsi="Verdana" w:cs="Calibri"/>
          <w:sz w:val="24"/>
          <w:szCs w:val="24"/>
        </w:rPr>
      </w:pPr>
      <w:r w:rsidRPr="00F71B84">
        <w:rPr>
          <w:rFonts w:ascii="Verdana" w:hAnsi="Verdana" w:cs="Tahoma"/>
          <w:color w:val="000000"/>
          <w:sz w:val="24"/>
          <w:szCs w:val="24"/>
          <w:lang w:eastAsia="es-CO"/>
        </w:rPr>
        <w:t xml:space="preserve">Las metas propuestas se relaciona con la </w:t>
      </w:r>
      <w:r w:rsidRPr="00F71B84">
        <w:rPr>
          <w:rFonts w:ascii="Verdana" w:hAnsi="Verdana"/>
          <w:noProof/>
          <w:sz w:val="24"/>
          <w:szCs w:val="24"/>
        </w:rPr>
        <w:t xml:space="preserve">suscripción de 286 convenios </w:t>
      </w:r>
      <w:r w:rsidRPr="00F71B84">
        <w:rPr>
          <w:rFonts w:ascii="Verdana" w:hAnsi="Verdana"/>
          <w:sz w:val="24"/>
          <w:szCs w:val="24"/>
        </w:rPr>
        <w:t xml:space="preserve">con Entes Territoriales (que corresponde a 496 proyectos con Entes Territoriales y 10 proyectos de la estrategia Pueblos Indígenas) para un total de </w:t>
      </w:r>
      <w:r w:rsidRPr="00BA0E62">
        <w:rPr>
          <w:rFonts w:ascii="Verdana" w:hAnsi="Verdana"/>
          <w:sz w:val="24"/>
          <w:szCs w:val="24"/>
        </w:rPr>
        <w:t>506</w:t>
      </w:r>
      <w:r w:rsidRPr="00F71B84">
        <w:rPr>
          <w:rFonts w:ascii="Verdana" w:hAnsi="Verdana"/>
          <w:sz w:val="24"/>
          <w:szCs w:val="24"/>
        </w:rPr>
        <w:t xml:space="preserve"> proyectos, en 24 departamentos, 317 municipios proyectos que cumplieron con los requisitos mínimos exigidos por la entidad en </w:t>
      </w:r>
      <w:r w:rsidRPr="00F71B84">
        <w:rPr>
          <w:rFonts w:ascii="Verdana" w:hAnsi="Verdana" w:cs="Calibri"/>
          <w:sz w:val="24"/>
          <w:szCs w:val="24"/>
        </w:rPr>
        <w:t xml:space="preserve">los sectores de intervención; </w:t>
      </w:r>
      <w:r w:rsidRPr="00F71B84">
        <w:rPr>
          <w:rFonts w:ascii="Verdana" w:hAnsi="Verdana"/>
          <w:sz w:val="24"/>
          <w:szCs w:val="24"/>
        </w:rPr>
        <w:t xml:space="preserve">Infraestructura Vial, Social Comunitario, Mejoramiento de Condiciones de Habitabilidad, Agua Potable y Saneamiento Básico; incluyendo los proyectos de la estrategia de Cordón Ambiental junto  </w:t>
      </w:r>
      <w:r w:rsidRPr="00F71B84">
        <w:rPr>
          <w:rFonts w:ascii="Verdana" w:hAnsi="Verdana" w:cs="Calibri"/>
          <w:sz w:val="24"/>
          <w:szCs w:val="24"/>
        </w:rPr>
        <w:t>con la asignación de recursos para cumplir con los compromisos. Se adicionaron 134 proyectos al listado de obras CONPES 3821 de 2014, modificación al CONPES 3777 de 2013.</w:t>
      </w:r>
    </w:p>
    <w:p w:rsidR="00DA252E" w:rsidRDefault="00DA252E" w:rsidP="00DA252E">
      <w:pPr>
        <w:spacing w:after="0" w:line="240" w:lineRule="auto"/>
        <w:jc w:val="both"/>
        <w:rPr>
          <w:rFonts w:ascii="Verdana" w:hAnsi="Verdana" w:cs="Tahoma"/>
          <w:b/>
          <w:color w:val="000000"/>
          <w:sz w:val="24"/>
          <w:szCs w:val="24"/>
          <w:lang w:eastAsia="es-CO"/>
        </w:rPr>
      </w:pPr>
    </w:p>
    <w:p w:rsidR="00DA252E" w:rsidRDefault="00DA252E" w:rsidP="00DA252E">
      <w:pPr>
        <w:spacing w:after="0" w:line="240" w:lineRule="auto"/>
        <w:jc w:val="both"/>
        <w:rPr>
          <w:rFonts w:ascii="Verdana" w:hAnsi="Verdana" w:cs="Tahoma"/>
          <w:b/>
          <w:color w:val="548DD4" w:themeColor="text2" w:themeTint="99"/>
          <w:sz w:val="24"/>
          <w:szCs w:val="24"/>
          <w:lang w:eastAsia="es-CO"/>
        </w:rPr>
      </w:pPr>
      <w:r w:rsidRPr="00405354">
        <w:rPr>
          <w:rFonts w:ascii="Verdana" w:hAnsi="Verdana" w:cs="Tahoma"/>
          <w:b/>
          <w:color w:val="548DD4" w:themeColor="text2" w:themeTint="99"/>
          <w:sz w:val="24"/>
          <w:szCs w:val="24"/>
          <w:lang w:eastAsia="es-CO"/>
        </w:rPr>
        <w:t>Logros 2014</w:t>
      </w:r>
    </w:p>
    <w:p w:rsidR="00DA252E" w:rsidRPr="00405354" w:rsidRDefault="00DA252E" w:rsidP="00DA252E">
      <w:pPr>
        <w:spacing w:after="0" w:line="240" w:lineRule="auto"/>
        <w:jc w:val="both"/>
        <w:rPr>
          <w:rFonts w:ascii="Verdana" w:hAnsi="Verdana" w:cs="Tahoma"/>
          <w:b/>
          <w:color w:val="548DD4" w:themeColor="text2" w:themeTint="99"/>
          <w:sz w:val="24"/>
          <w:szCs w:val="24"/>
          <w:lang w:eastAsia="es-CO"/>
        </w:rPr>
      </w:pPr>
    </w:p>
    <w:p w:rsidR="00DA252E" w:rsidRPr="00E84CE8" w:rsidRDefault="00DA252E" w:rsidP="00FF784D">
      <w:pPr>
        <w:pStyle w:val="Prrafodelista"/>
        <w:numPr>
          <w:ilvl w:val="0"/>
          <w:numId w:val="12"/>
        </w:numPr>
        <w:spacing w:after="0" w:line="240" w:lineRule="auto"/>
        <w:ind w:left="709" w:hanging="283"/>
        <w:jc w:val="both"/>
        <w:rPr>
          <w:rFonts w:ascii="Verdana" w:hAnsi="Verdana" w:cs="Calibri"/>
          <w:i/>
          <w:sz w:val="24"/>
          <w:szCs w:val="24"/>
        </w:rPr>
      </w:pPr>
      <w:r w:rsidRPr="00B03526">
        <w:rPr>
          <w:rFonts w:ascii="Verdana" w:hAnsi="Verdana" w:cs="Calibri"/>
          <w:i/>
          <w:sz w:val="24"/>
          <w:szCs w:val="24"/>
        </w:rPr>
        <w:t xml:space="preserve">Se ha logrado continuidad en la construcción de activos para beneficio de la comunidad siendo entregadas las obras terminadas a los Entes Territoriales y veedurías </w:t>
      </w:r>
      <w:r w:rsidRPr="00E84CE8">
        <w:rPr>
          <w:rFonts w:ascii="Verdana" w:hAnsi="Verdana" w:cs="Calibri"/>
          <w:i/>
          <w:sz w:val="24"/>
          <w:szCs w:val="24"/>
        </w:rPr>
        <w:t xml:space="preserve">ciudadanas para su uso adecuado, administración y sostenibilidad de </w:t>
      </w:r>
      <w:r w:rsidRPr="00E84CE8">
        <w:rPr>
          <w:rFonts w:ascii="Verdana" w:hAnsi="Verdana" w:cs="Tahoma"/>
          <w:i/>
          <w:sz w:val="24"/>
          <w:szCs w:val="24"/>
          <w:lang w:eastAsia="es-CO"/>
        </w:rPr>
        <w:t>115 obras que se venían ejecutando de años anteriores con una inversión de $143.301 millones en los sectores de infraestructura vial, Social comunitario y Mejoramiento de Condiciones de Habitabilidad.</w:t>
      </w:r>
    </w:p>
    <w:p w:rsidR="00DA252E" w:rsidRPr="00E84CE8" w:rsidRDefault="00DA252E" w:rsidP="00FF784D">
      <w:pPr>
        <w:pStyle w:val="Prrafodelista"/>
        <w:numPr>
          <w:ilvl w:val="0"/>
          <w:numId w:val="12"/>
        </w:numPr>
        <w:spacing w:after="0" w:line="240" w:lineRule="auto"/>
        <w:ind w:left="709" w:hanging="283"/>
        <w:contextualSpacing w:val="0"/>
        <w:jc w:val="both"/>
        <w:rPr>
          <w:rFonts w:ascii="Verdana" w:hAnsi="Verdana" w:cs="Tahoma"/>
          <w:i/>
          <w:sz w:val="24"/>
          <w:szCs w:val="24"/>
          <w:lang w:eastAsia="es-CO"/>
        </w:rPr>
      </w:pPr>
      <w:r w:rsidRPr="00E84CE8">
        <w:rPr>
          <w:rFonts w:ascii="Verdana" w:hAnsi="Verdana" w:cs="Tahoma"/>
          <w:i/>
          <w:sz w:val="24"/>
          <w:szCs w:val="24"/>
          <w:lang w:eastAsia="es-CO"/>
        </w:rPr>
        <w:t>Se lograron 209 proyectos de los suscritos en el año 2013, en fase de maduración alta y con diseños aprobados de los cuales 93 proyectos se encuentran adjudicados, 33 en proceso licitatorio y 83 por iniciar proceso licitatorio y 297 sin diseños para un total de 506 proyectos.</w:t>
      </w:r>
    </w:p>
    <w:p w:rsidR="00DA252E" w:rsidRPr="002D199E" w:rsidRDefault="00DA252E" w:rsidP="00FF784D">
      <w:pPr>
        <w:pStyle w:val="Prrafodelista"/>
        <w:numPr>
          <w:ilvl w:val="0"/>
          <w:numId w:val="12"/>
        </w:numPr>
        <w:spacing w:after="0" w:line="240" w:lineRule="auto"/>
        <w:ind w:left="709" w:hanging="283"/>
        <w:contextualSpacing w:val="0"/>
        <w:jc w:val="both"/>
        <w:rPr>
          <w:rFonts w:ascii="Verdana" w:hAnsi="Verdana" w:cs="Tahoma"/>
          <w:i/>
          <w:sz w:val="24"/>
          <w:szCs w:val="24"/>
          <w:lang w:eastAsia="es-CO"/>
        </w:rPr>
      </w:pPr>
      <w:r w:rsidRPr="00B03526">
        <w:rPr>
          <w:rFonts w:ascii="Verdana" w:hAnsi="Verdana"/>
          <w:i/>
          <w:sz w:val="24"/>
          <w:szCs w:val="24"/>
        </w:rPr>
        <w:t xml:space="preserve">Se adicionaron 134 nuevos proyectos, con resultado de 102 convenios legalizados con los Entes Territoriales en diciembre de 2014 por un valor  aproximado de </w:t>
      </w:r>
      <w:r>
        <w:rPr>
          <w:rFonts w:ascii="Verdana" w:hAnsi="Verdana"/>
          <w:i/>
          <w:sz w:val="24"/>
          <w:szCs w:val="24"/>
        </w:rPr>
        <w:t>$</w:t>
      </w:r>
      <w:r w:rsidRPr="00B03526">
        <w:rPr>
          <w:rFonts w:ascii="Verdana" w:hAnsi="Verdana"/>
          <w:i/>
          <w:sz w:val="24"/>
          <w:szCs w:val="24"/>
        </w:rPr>
        <w:t>292 mil millones.</w:t>
      </w:r>
    </w:p>
    <w:p w:rsidR="00DA252E" w:rsidRPr="00B03526" w:rsidRDefault="00DA252E" w:rsidP="00DA252E">
      <w:pPr>
        <w:pStyle w:val="Prrafodelista"/>
        <w:spacing w:after="0" w:line="240" w:lineRule="auto"/>
        <w:ind w:left="851"/>
        <w:contextualSpacing w:val="0"/>
        <w:jc w:val="both"/>
        <w:rPr>
          <w:rFonts w:ascii="Verdana" w:hAnsi="Verdana" w:cs="Tahoma"/>
          <w:i/>
          <w:sz w:val="24"/>
          <w:szCs w:val="24"/>
          <w:lang w:eastAsia="es-CO"/>
        </w:rPr>
      </w:pPr>
    </w:p>
    <w:p w:rsidR="00DA252E" w:rsidRDefault="00DA252E" w:rsidP="00DA252E">
      <w:pPr>
        <w:spacing w:after="0" w:line="240" w:lineRule="auto"/>
        <w:jc w:val="both"/>
        <w:rPr>
          <w:rFonts w:ascii="Verdana" w:hAnsi="Verdana" w:cs="Tahoma"/>
          <w:b/>
          <w:color w:val="548DD4" w:themeColor="text2" w:themeTint="99"/>
          <w:sz w:val="24"/>
          <w:szCs w:val="24"/>
          <w:lang w:eastAsia="es-CO"/>
        </w:rPr>
      </w:pPr>
      <w:r w:rsidRPr="00405354">
        <w:rPr>
          <w:rFonts w:ascii="Verdana" w:hAnsi="Verdana" w:cs="Tahoma"/>
          <w:b/>
          <w:color w:val="548DD4" w:themeColor="text2" w:themeTint="99"/>
          <w:sz w:val="24"/>
          <w:szCs w:val="24"/>
          <w:lang w:eastAsia="es-CO"/>
        </w:rPr>
        <w:lastRenderedPageBreak/>
        <w:t>Retos 2015</w:t>
      </w:r>
    </w:p>
    <w:p w:rsidR="00DA252E" w:rsidRPr="00405354" w:rsidRDefault="00DA252E" w:rsidP="00DA252E">
      <w:pPr>
        <w:spacing w:after="0" w:line="240" w:lineRule="auto"/>
        <w:jc w:val="both"/>
        <w:rPr>
          <w:rFonts w:ascii="Verdana" w:hAnsi="Verdana" w:cs="Tahoma"/>
          <w:b/>
          <w:color w:val="548DD4" w:themeColor="text2" w:themeTint="99"/>
          <w:sz w:val="24"/>
          <w:szCs w:val="24"/>
          <w:lang w:eastAsia="es-CO"/>
        </w:rPr>
      </w:pPr>
    </w:p>
    <w:p w:rsidR="00DA252E" w:rsidRPr="0038192B" w:rsidRDefault="00DA252E" w:rsidP="00FF784D">
      <w:pPr>
        <w:pStyle w:val="Prrafodelista"/>
        <w:numPr>
          <w:ilvl w:val="0"/>
          <w:numId w:val="12"/>
        </w:numPr>
        <w:spacing w:after="0" w:line="240" w:lineRule="auto"/>
        <w:ind w:left="709" w:hanging="283"/>
        <w:jc w:val="both"/>
        <w:rPr>
          <w:rFonts w:ascii="Verdana" w:hAnsi="Verdana" w:cs="Calibri"/>
          <w:i/>
          <w:sz w:val="24"/>
          <w:szCs w:val="24"/>
        </w:rPr>
      </w:pPr>
      <w:r w:rsidRPr="0038192B">
        <w:rPr>
          <w:rFonts w:ascii="Verdana" w:hAnsi="Verdana" w:cs="Calibri"/>
          <w:i/>
          <w:sz w:val="24"/>
          <w:szCs w:val="24"/>
        </w:rPr>
        <w:t>Cumplir con los indicadores propuestos, en la plataforma de los aplicativos propuestos por DNP para la vigencia 2015.</w:t>
      </w:r>
    </w:p>
    <w:p w:rsidR="00DA252E" w:rsidRPr="00856632" w:rsidRDefault="00DA252E" w:rsidP="00FF784D">
      <w:pPr>
        <w:pStyle w:val="Prrafodelista"/>
        <w:numPr>
          <w:ilvl w:val="0"/>
          <w:numId w:val="12"/>
        </w:numPr>
        <w:spacing w:after="0" w:line="240" w:lineRule="auto"/>
        <w:ind w:left="709" w:hanging="283"/>
        <w:jc w:val="both"/>
        <w:rPr>
          <w:rFonts w:ascii="Verdana" w:hAnsi="Verdana" w:cs="Calibri"/>
          <w:i/>
          <w:sz w:val="24"/>
          <w:szCs w:val="24"/>
        </w:rPr>
      </w:pPr>
      <w:r>
        <w:rPr>
          <w:rFonts w:ascii="Verdana" w:hAnsi="Verdana" w:cs="Calibri"/>
          <w:i/>
          <w:sz w:val="24"/>
          <w:szCs w:val="24"/>
        </w:rPr>
        <w:t xml:space="preserve">Acelerar la ejecución a través de la identificación de </w:t>
      </w:r>
      <w:r w:rsidRPr="0038192B">
        <w:rPr>
          <w:rFonts w:ascii="Verdana" w:hAnsi="Verdana" w:cs="Calibri"/>
          <w:i/>
          <w:sz w:val="24"/>
          <w:szCs w:val="24"/>
        </w:rPr>
        <w:t xml:space="preserve">proyectos </w:t>
      </w:r>
      <w:r>
        <w:rPr>
          <w:rFonts w:ascii="Verdana" w:hAnsi="Verdana" w:cs="Calibri"/>
          <w:i/>
          <w:sz w:val="24"/>
          <w:szCs w:val="24"/>
        </w:rPr>
        <w:t>con</w:t>
      </w:r>
      <w:r w:rsidRPr="0038192B">
        <w:rPr>
          <w:rFonts w:ascii="Verdana" w:hAnsi="Verdana" w:cs="Calibri"/>
          <w:i/>
          <w:sz w:val="24"/>
          <w:szCs w:val="24"/>
        </w:rPr>
        <w:t xml:space="preserve"> un nivel de maduración alto</w:t>
      </w:r>
      <w:r>
        <w:rPr>
          <w:rFonts w:ascii="Verdana" w:hAnsi="Verdana" w:cs="Calibri"/>
          <w:i/>
          <w:sz w:val="24"/>
          <w:szCs w:val="24"/>
        </w:rPr>
        <w:t xml:space="preserve"> y la definición de proyectos tipo para dinamizar la estructuración en las obras propuestas por los entes territoriales.</w:t>
      </w:r>
    </w:p>
    <w:p w:rsidR="00DA252E" w:rsidRPr="00856632" w:rsidRDefault="00DA252E" w:rsidP="00FF784D">
      <w:pPr>
        <w:pStyle w:val="Prrafodelista"/>
        <w:numPr>
          <w:ilvl w:val="0"/>
          <w:numId w:val="12"/>
        </w:numPr>
        <w:spacing w:after="0" w:line="240" w:lineRule="auto"/>
        <w:ind w:left="709" w:hanging="283"/>
        <w:jc w:val="both"/>
        <w:rPr>
          <w:rFonts w:ascii="Verdana" w:hAnsi="Verdana" w:cs="Calibri"/>
          <w:i/>
          <w:sz w:val="24"/>
          <w:szCs w:val="24"/>
        </w:rPr>
      </w:pPr>
      <w:r>
        <w:rPr>
          <w:rFonts w:ascii="Verdana" w:hAnsi="Verdana" w:cs="Calibri"/>
          <w:i/>
          <w:sz w:val="24"/>
          <w:szCs w:val="24"/>
        </w:rPr>
        <w:t>Elaborar</w:t>
      </w:r>
      <w:r w:rsidRPr="0038192B">
        <w:rPr>
          <w:rFonts w:ascii="Verdana" w:hAnsi="Verdana" w:cs="Calibri"/>
          <w:i/>
          <w:sz w:val="24"/>
          <w:szCs w:val="24"/>
        </w:rPr>
        <w:t xml:space="preserve"> e implement</w:t>
      </w:r>
      <w:r>
        <w:rPr>
          <w:rFonts w:ascii="Verdana" w:hAnsi="Verdana" w:cs="Calibri"/>
          <w:i/>
          <w:sz w:val="24"/>
          <w:szCs w:val="24"/>
        </w:rPr>
        <w:t>ar</w:t>
      </w:r>
      <w:r w:rsidRPr="0038192B">
        <w:rPr>
          <w:rFonts w:ascii="Verdana" w:hAnsi="Verdana" w:cs="Calibri"/>
          <w:i/>
          <w:sz w:val="24"/>
          <w:szCs w:val="24"/>
        </w:rPr>
        <w:t xml:space="preserve"> los planes de sostenibilidad de las obras bajo el compromiso de los Entes Territoriales como primer responsable de estos activos y el compromiso de las comunidades en el cuidado y adecuado uso de los proyectos.</w:t>
      </w:r>
    </w:p>
    <w:p w:rsidR="00DA252E" w:rsidRDefault="00DA252E" w:rsidP="00856632">
      <w:pPr>
        <w:pStyle w:val="Prrafodelista"/>
        <w:spacing w:after="0" w:line="240" w:lineRule="auto"/>
        <w:ind w:left="709"/>
        <w:jc w:val="both"/>
        <w:rPr>
          <w:rFonts w:ascii="Verdana" w:hAnsi="Verdana" w:cs="Calibri"/>
          <w:i/>
          <w:sz w:val="24"/>
          <w:szCs w:val="24"/>
        </w:rPr>
      </w:pPr>
    </w:p>
    <w:p w:rsidR="00856632" w:rsidRPr="00856632" w:rsidRDefault="00856632" w:rsidP="00856632">
      <w:pPr>
        <w:pStyle w:val="Prrafodelista"/>
        <w:spacing w:after="0" w:line="240" w:lineRule="auto"/>
        <w:ind w:left="709"/>
        <w:jc w:val="both"/>
        <w:rPr>
          <w:rFonts w:ascii="Verdana" w:hAnsi="Verdana" w:cs="Calibri"/>
          <w:i/>
          <w:sz w:val="24"/>
          <w:szCs w:val="24"/>
        </w:rPr>
      </w:pPr>
    </w:p>
    <w:p w:rsidR="00DA252E" w:rsidRPr="00334E15" w:rsidRDefault="00DA252E" w:rsidP="00DA252E">
      <w:pPr>
        <w:pStyle w:val="Ttulo3"/>
        <w:spacing w:before="0" w:after="0" w:line="240" w:lineRule="auto"/>
        <w:rPr>
          <w:rFonts w:ascii="Verdana" w:hAnsi="Verdana"/>
          <w:bCs w:val="0"/>
          <w:iCs/>
          <w:color w:val="548DD4" w:themeColor="text2" w:themeTint="99"/>
          <w:sz w:val="24"/>
          <w:szCs w:val="24"/>
          <w:u w:val="single"/>
        </w:rPr>
      </w:pPr>
      <w:bookmarkStart w:id="38" w:name="_Toc410376786"/>
      <w:r w:rsidRPr="00334E15">
        <w:rPr>
          <w:rFonts w:ascii="Verdana" w:hAnsi="Verdana"/>
          <w:bCs w:val="0"/>
          <w:iCs/>
          <w:color w:val="548DD4" w:themeColor="text2" w:themeTint="99"/>
          <w:sz w:val="24"/>
          <w:szCs w:val="24"/>
          <w:u w:val="single"/>
        </w:rPr>
        <w:t>ACOMPAÑAMIENTO DE VIVIENDA</w:t>
      </w:r>
      <w:bookmarkEnd w:id="38"/>
    </w:p>
    <w:p w:rsidR="00DA252E" w:rsidRPr="00244B0B" w:rsidRDefault="00DA252E" w:rsidP="00DA252E">
      <w:pPr>
        <w:spacing w:after="0" w:line="240" w:lineRule="auto"/>
      </w:pPr>
    </w:p>
    <w:p w:rsidR="00856632" w:rsidRDefault="00856632" w:rsidP="00DA252E">
      <w:pPr>
        <w:spacing w:after="0" w:line="240" w:lineRule="auto"/>
        <w:rPr>
          <w:rFonts w:ascii="Verdana" w:hAnsi="Verdana"/>
          <w:b/>
          <w:color w:val="548DD4" w:themeColor="text2" w:themeTint="99"/>
          <w:sz w:val="24"/>
          <w:szCs w:val="24"/>
        </w:rPr>
      </w:pPr>
    </w:p>
    <w:p w:rsidR="00DA252E" w:rsidRPr="001119AA" w:rsidRDefault="00DA252E" w:rsidP="00DA252E">
      <w:pPr>
        <w:spacing w:after="0" w:line="240" w:lineRule="auto"/>
        <w:rPr>
          <w:rFonts w:ascii="Verdana" w:hAnsi="Verdana"/>
          <w:b/>
          <w:color w:val="548DD4" w:themeColor="text2" w:themeTint="99"/>
          <w:sz w:val="24"/>
          <w:szCs w:val="24"/>
        </w:rPr>
      </w:pPr>
      <w:r w:rsidRPr="001119AA">
        <w:rPr>
          <w:rFonts w:ascii="Verdana" w:hAnsi="Verdana"/>
          <w:b/>
          <w:color w:val="548DD4" w:themeColor="text2" w:themeTint="99"/>
          <w:sz w:val="24"/>
          <w:szCs w:val="24"/>
        </w:rPr>
        <w:t>Objetivo</w:t>
      </w:r>
    </w:p>
    <w:p w:rsidR="00DA252E" w:rsidRDefault="00DA252E" w:rsidP="00DA252E">
      <w:pPr>
        <w:spacing w:after="0" w:line="240" w:lineRule="auto"/>
        <w:rPr>
          <w:rFonts w:ascii="Verdana" w:hAnsi="Verdana"/>
          <w:sz w:val="24"/>
          <w:szCs w:val="24"/>
        </w:rPr>
      </w:pPr>
    </w:p>
    <w:p w:rsidR="00DA252E" w:rsidRDefault="00DA252E" w:rsidP="00DA252E">
      <w:pPr>
        <w:spacing w:after="0" w:line="240" w:lineRule="auto"/>
        <w:jc w:val="both"/>
        <w:rPr>
          <w:rFonts w:ascii="Verdana" w:hAnsi="Verdana"/>
          <w:sz w:val="24"/>
          <w:szCs w:val="24"/>
        </w:rPr>
      </w:pPr>
      <w:r>
        <w:rPr>
          <w:rFonts w:ascii="Verdana" w:hAnsi="Verdana"/>
          <w:sz w:val="24"/>
          <w:szCs w:val="24"/>
          <w:lang w:val="es-ES_tradnl"/>
        </w:rPr>
        <w:t xml:space="preserve">Coordinar y liderar </w:t>
      </w:r>
      <w:r w:rsidRPr="00397906">
        <w:rPr>
          <w:rFonts w:ascii="Verdana" w:hAnsi="Verdana"/>
          <w:sz w:val="24"/>
          <w:szCs w:val="24"/>
          <w:lang w:val="es-ES_tradnl"/>
        </w:rPr>
        <w:t xml:space="preserve">una estrategia de acompañamiento articulada desde el orden nacional, departamental y municipal para lograr de manera gradual y progresiva, la adecuada estabilización de la población </w:t>
      </w:r>
      <w:r>
        <w:rPr>
          <w:rFonts w:ascii="Verdana" w:hAnsi="Verdana"/>
          <w:sz w:val="24"/>
          <w:szCs w:val="24"/>
          <w:lang w:val="es-ES_tradnl"/>
        </w:rPr>
        <w:t xml:space="preserve">beneficiaria del Programa de Vivienda Gratuita </w:t>
      </w:r>
      <w:r w:rsidRPr="00397906">
        <w:rPr>
          <w:rFonts w:ascii="Verdana" w:hAnsi="Verdana"/>
          <w:sz w:val="24"/>
          <w:szCs w:val="24"/>
          <w:lang w:val="es-ES_tradnl"/>
        </w:rPr>
        <w:t>en sus nuevos contextos territoriales, sociales, económicos y culturales</w:t>
      </w:r>
    </w:p>
    <w:p w:rsidR="00DA252E" w:rsidRDefault="00DA252E" w:rsidP="00DA252E">
      <w:pPr>
        <w:spacing w:after="0" w:line="240" w:lineRule="auto"/>
        <w:jc w:val="both"/>
        <w:rPr>
          <w:rFonts w:ascii="Verdana" w:hAnsi="Verdana"/>
          <w:sz w:val="24"/>
          <w:szCs w:val="24"/>
        </w:rPr>
      </w:pPr>
    </w:p>
    <w:p w:rsidR="00DA252E" w:rsidRDefault="00DA252E" w:rsidP="00DA252E">
      <w:pPr>
        <w:spacing w:after="0" w:line="240" w:lineRule="auto"/>
        <w:rPr>
          <w:rFonts w:ascii="Verdana" w:hAnsi="Verdana"/>
          <w:b/>
          <w:color w:val="548DD4" w:themeColor="text2" w:themeTint="99"/>
          <w:sz w:val="24"/>
          <w:szCs w:val="24"/>
        </w:rPr>
      </w:pPr>
      <w:r w:rsidRPr="001119AA">
        <w:rPr>
          <w:rFonts w:ascii="Verdana" w:hAnsi="Verdana"/>
          <w:b/>
          <w:color w:val="548DD4" w:themeColor="text2" w:themeTint="99"/>
          <w:sz w:val="24"/>
          <w:szCs w:val="24"/>
        </w:rPr>
        <w:t>Líneas de Acción</w:t>
      </w:r>
    </w:p>
    <w:p w:rsidR="00DA252E" w:rsidRPr="001119AA" w:rsidRDefault="00DA252E" w:rsidP="00DA252E">
      <w:pPr>
        <w:spacing w:after="0" w:line="240" w:lineRule="auto"/>
        <w:rPr>
          <w:rFonts w:ascii="Verdana" w:hAnsi="Verdana"/>
          <w:b/>
          <w:color w:val="548DD4" w:themeColor="text2" w:themeTint="99"/>
          <w:sz w:val="24"/>
          <w:szCs w:val="24"/>
        </w:rPr>
      </w:pPr>
    </w:p>
    <w:p w:rsidR="00DA252E" w:rsidRPr="00856632" w:rsidRDefault="00DA252E" w:rsidP="00FF784D">
      <w:pPr>
        <w:pStyle w:val="Prrafodelista"/>
        <w:numPr>
          <w:ilvl w:val="0"/>
          <w:numId w:val="34"/>
        </w:numPr>
        <w:spacing w:after="0" w:line="240" w:lineRule="auto"/>
        <w:ind w:left="851" w:hanging="284"/>
        <w:jc w:val="both"/>
        <w:rPr>
          <w:rFonts w:ascii="Verdana" w:hAnsi="Verdana"/>
          <w:sz w:val="24"/>
          <w:szCs w:val="24"/>
        </w:rPr>
      </w:pPr>
      <w:r w:rsidRPr="00856632">
        <w:rPr>
          <w:rFonts w:ascii="Verdana" w:hAnsi="Verdana"/>
          <w:sz w:val="24"/>
          <w:szCs w:val="24"/>
        </w:rPr>
        <w:t>Coordinación interinstitucional y seguimiento en el nivel nacional (Secretaría técnica de la Mesa Nacional de Acompañamiento Social)</w:t>
      </w:r>
    </w:p>
    <w:p w:rsidR="00DA252E" w:rsidRPr="00856632" w:rsidRDefault="00DA252E" w:rsidP="00FF784D">
      <w:pPr>
        <w:pStyle w:val="Prrafodelista"/>
        <w:numPr>
          <w:ilvl w:val="0"/>
          <w:numId w:val="34"/>
        </w:numPr>
        <w:spacing w:after="0" w:line="240" w:lineRule="auto"/>
        <w:ind w:left="851" w:hanging="284"/>
        <w:jc w:val="both"/>
        <w:rPr>
          <w:rFonts w:ascii="Verdana" w:hAnsi="Verdana"/>
          <w:sz w:val="24"/>
          <w:szCs w:val="24"/>
        </w:rPr>
      </w:pPr>
      <w:r w:rsidRPr="00856632">
        <w:rPr>
          <w:rFonts w:ascii="Verdana" w:hAnsi="Verdana"/>
          <w:sz w:val="24"/>
          <w:szCs w:val="24"/>
        </w:rPr>
        <w:t>Coordinación interinstitucional y seguimiento en el nivel local y entre el nivel local y el nivel nacional (Secretaría técnica de las Mesas Territoriales de Acompañamiento Social)</w:t>
      </w:r>
    </w:p>
    <w:p w:rsidR="00DA252E" w:rsidRPr="00856632" w:rsidRDefault="00DA252E" w:rsidP="00FF784D">
      <w:pPr>
        <w:pStyle w:val="Prrafodelista"/>
        <w:numPr>
          <w:ilvl w:val="0"/>
          <w:numId w:val="34"/>
        </w:numPr>
        <w:spacing w:after="0" w:line="240" w:lineRule="auto"/>
        <w:ind w:left="851" w:hanging="284"/>
        <w:jc w:val="both"/>
        <w:rPr>
          <w:rFonts w:ascii="Verdana" w:hAnsi="Verdana"/>
          <w:sz w:val="24"/>
          <w:szCs w:val="24"/>
        </w:rPr>
      </w:pPr>
      <w:r w:rsidRPr="00856632">
        <w:rPr>
          <w:rFonts w:ascii="Verdana" w:hAnsi="Verdana"/>
          <w:sz w:val="24"/>
          <w:szCs w:val="24"/>
        </w:rPr>
        <w:t xml:space="preserve">Acompañamiento para la construcción y seguimiento de Planes de Acción de las Direcciones Regionales del DPS para el Acompañamiento Social del Programa de Vivienda Gratuita. </w:t>
      </w:r>
    </w:p>
    <w:p w:rsidR="00DA252E" w:rsidRDefault="00DA252E" w:rsidP="00DA252E">
      <w:pPr>
        <w:spacing w:after="0" w:line="240" w:lineRule="auto"/>
        <w:jc w:val="both"/>
        <w:rPr>
          <w:rFonts w:ascii="Verdana" w:hAnsi="Verdana"/>
          <w:sz w:val="24"/>
          <w:szCs w:val="24"/>
        </w:rPr>
      </w:pPr>
    </w:p>
    <w:p w:rsidR="00DA252E" w:rsidRDefault="00DA252E" w:rsidP="00DA252E">
      <w:pPr>
        <w:spacing w:after="0" w:line="240" w:lineRule="auto"/>
        <w:rPr>
          <w:rFonts w:ascii="Verdana" w:hAnsi="Verdana"/>
          <w:b/>
          <w:color w:val="548DD4" w:themeColor="text2" w:themeTint="99"/>
          <w:sz w:val="24"/>
          <w:szCs w:val="24"/>
        </w:rPr>
      </w:pPr>
      <w:r w:rsidRPr="001119AA">
        <w:rPr>
          <w:rFonts w:ascii="Verdana" w:hAnsi="Verdana"/>
          <w:b/>
          <w:color w:val="548DD4" w:themeColor="text2" w:themeTint="99"/>
          <w:sz w:val="24"/>
          <w:szCs w:val="24"/>
        </w:rPr>
        <w:t>Cumplimiento Metas</w:t>
      </w:r>
    </w:p>
    <w:p w:rsidR="00DA252E" w:rsidRDefault="00DA252E" w:rsidP="00DA252E">
      <w:pPr>
        <w:spacing w:after="0" w:line="240" w:lineRule="auto"/>
        <w:rPr>
          <w:rFonts w:ascii="Verdana" w:hAnsi="Verdana"/>
          <w:b/>
          <w:color w:val="548DD4" w:themeColor="text2" w:themeTint="99"/>
          <w:sz w:val="24"/>
          <w:szCs w:val="24"/>
        </w:rPr>
      </w:pPr>
    </w:p>
    <w:p w:rsidR="00DA252E" w:rsidRPr="00903876" w:rsidRDefault="00DA252E" w:rsidP="00FF784D">
      <w:pPr>
        <w:pStyle w:val="Prrafodelista"/>
        <w:numPr>
          <w:ilvl w:val="0"/>
          <w:numId w:val="35"/>
        </w:numPr>
        <w:spacing w:after="0" w:line="240" w:lineRule="auto"/>
        <w:ind w:left="709" w:hanging="283"/>
        <w:jc w:val="both"/>
        <w:rPr>
          <w:rFonts w:ascii="Verdana" w:hAnsi="Verdana"/>
          <w:i/>
          <w:sz w:val="24"/>
          <w:szCs w:val="24"/>
        </w:rPr>
      </w:pPr>
      <w:r w:rsidRPr="00903876">
        <w:rPr>
          <w:rFonts w:ascii="Verdana" w:hAnsi="Verdana"/>
          <w:i/>
          <w:sz w:val="24"/>
          <w:szCs w:val="24"/>
        </w:rPr>
        <w:t xml:space="preserve">Mesa Nacional de Acompañamiento Social al Programa de Vivienda Gratuita – Mesa instalada y en funcionamiento regular con reuniones semanales y un plan de trabajo interinstitucional durante el 2014. </w:t>
      </w:r>
    </w:p>
    <w:p w:rsidR="00DA252E" w:rsidRPr="00E25F6F" w:rsidRDefault="00DA252E" w:rsidP="00FF784D">
      <w:pPr>
        <w:pStyle w:val="Prrafodelista"/>
        <w:numPr>
          <w:ilvl w:val="0"/>
          <w:numId w:val="35"/>
        </w:numPr>
        <w:spacing w:after="0" w:line="240" w:lineRule="auto"/>
        <w:ind w:left="709" w:hanging="283"/>
        <w:jc w:val="both"/>
        <w:rPr>
          <w:rFonts w:ascii="Verdana" w:hAnsi="Verdana"/>
          <w:i/>
          <w:sz w:val="24"/>
          <w:szCs w:val="24"/>
        </w:rPr>
      </w:pPr>
      <w:r w:rsidRPr="00E25F6F">
        <w:rPr>
          <w:rFonts w:ascii="Verdana" w:hAnsi="Verdana"/>
          <w:i/>
          <w:sz w:val="24"/>
          <w:szCs w:val="24"/>
        </w:rPr>
        <w:lastRenderedPageBreak/>
        <w:t>Mesas Territoriales de Acompañamiento Social 66 Mesas Territoriales (63 municipales y 3 departamentales) instaladas</w:t>
      </w:r>
      <w:r>
        <w:rPr>
          <w:rFonts w:ascii="Verdana" w:hAnsi="Verdana"/>
          <w:i/>
          <w:sz w:val="24"/>
          <w:szCs w:val="24"/>
        </w:rPr>
        <w:t xml:space="preserve">. </w:t>
      </w:r>
      <w:r w:rsidRPr="00E25F6F">
        <w:rPr>
          <w:rFonts w:ascii="Verdana" w:hAnsi="Verdana"/>
          <w:i/>
          <w:sz w:val="24"/>
          <w:szCs w:val="24"/>
        </w:rPr>
        <w:t xml:space="preserve">De estas, 56 Mesas Territoriales están instaladas y acompañadas (53 municipales y 3 departamentales), es decir cuentan con acompañamiento permanente de DPS y se reúnen con regularidad. </w:t>
      </w:r>
    </w:p>
    <w:p w:rsidR="00DA252E" w:rsidRPr="00903876" w:rsidRDefault="00DA252E" w:rsidP="00FF784D">
      <w:pPr>
        <w:pStyle w:val="Prrafodelista"/>
        <w:numPr>
          <w:ilvl w:val="0"/>
          <w:numId w:val="35"/>
        </w:numPr>
        <w:spacing w:after="0" w:line="240" w:lineRule="auto"/>
        <w:ind w:left="709" w:hanging="283"/>
        <w:jc w:val="both"/>
        <w:rPr>
          <w:rFonts w:ascii="Verdana" w:hAnsi="Verdana"/>
          <w:i/>
          <w:sz w:val="24"/>
          <w:szCs w:val="24"/>
        </w:rPr>
      </w:pPr>
      <w:r w:rsidRPr="00903876">
        <w:rPr>
          <w:rFonts w:ascii="Verdana" w:hAnsi="Verdana"/>
          <w:i/>
          <w:sz w:val="24"/>
          <w:szCs w:val="24"/>
        </w:rPr>
        <w:t xml:space="preserve">Del total de las mesas de acompañamiento entre septiembre y diciembre del 2014 se instalaron 15 Mesas Municipales. </w:t>
      </w:r>
    </w:p>
    <w:p w:rsidR="00DA252E" w:rsidRPr="00E25F6F" w:rsidRDefault="00DA252E" w:rsidP="00FF784D">
      <w:pPr>
        <w:pStyle w:val="Prrafodelista"/>
        <w:numPr>
          <w:ilvl w:val="0"/>
          <w:numId w:val="35"/>
        </w:numPr>
        <w:spacing w:after="0" w:line="240" w:lineRule="auto"/>
        <w:ind w:left="709" w:hanging="283"/>
        <w:jc w:val="both"/>
        <w:rPr>
          <w:rFonts w:ascii="Verdana" w:hAnsi="Verdana"/>
          <w:i/>
          <w:sz w:val="24"/>
          <w:szCs w:val="24"/>
        </w:rPr>
      </w:pPr>
      <w:r w:rsidRPr="00E25F6F">
        <w:rPr>
          <w:rFonts w:ascii="Verdana" w:hAnsi="Verdana"/>
          <w:i/>
          <w:sz w:val="24"/>
          <w:szCs w:val="24"/>
        </w:rPr>
        <w:t xml:space="preserve">Planes de Acción de las Direcciones Territoriales para el Acompañamiento Social del Programa de Vivienda Gratuita. En las mesas territoriales  de acompañamiento social instaladas y acompañadas se han llevado a cabo las siguientes acciones: 1. apoyar la identificación de necesidades prioritarias en los proyectos de vivienda. 2. realizar seguimiento a las acciones de acompañamiento social y 3. sistematizar el trabajo de las mesas.  Sin embargo,  los documentos de planes de acción de las mesas aún no se han proyectado y presentado porque, para tener plan de acción específico para cada proyecto de vivienda, es necesario tener la caracterización de la población que habita el proyecto. Al cierre del año 2014, la línea base familiar de ANSPE aún no se encuentra consolidada. </w:t>
      </w:r>
    </w:p>
    <w:p w:rsidR="00DA252E" w:rsidRPr="001119AA" w:rsidRDefault="00DA252E" w:rsidP="00DA252E">
      <w:pPr>
        <w:pStyle w:val="Prrafodelista"/>
        <w:spacing w:after="0" w:line="240" w:lineRule="auto"/>
        <w:jc w:val="both"/>
        <w:rPr>
          <w:rFonts w:ascii="Verdana" w:hAnsi="Verdana"/>
          <w:color w:val="548DD4" w:themeColor="text2" w:themeTint="99"/>
          <w:sz w:val="24"/>
          <w:szCs w:val="24"/>
        </w:rPr>
      </w:pPr>
    </w:p>
    <w:p w:rsidR="00DA252E" w:rsidRDefault="00DA252E" w:rsidP="00DA252E">
      <w:pPr>
        <w:spacing w:after="0" w:line="240" w:lineRule="auto"/>
        <w:rPr>
          <w:rFonts w:ascii="Verdana" w:hAnsi="Verdana"/>
          <w:b/>
          <w:color w:val="548DD4" w:themeColor="text2" w:themeTint="99"/>
          <w:sz w:val="24"/>
          <w:szCs w:val="24"/>
        </w:rPr>
      </w:pPr>
      <w:r w:rsidRPr="001119AA">
        <w:rPr>
          <w:rFonts w:ascii="Verdana" w:hAnsi="Verdana"/>
          <w:b/>
          <w:color w:val="548DD4" w:themeColor="text2" w:themeTint="99"/>
          <w:sz w:val="24"/>
          <w:szCs w:val="24"/>
        </w:rPr>
        <w:t xml:space="preserve">Logros </w:t>
      </w:r>
    </w:p>
    <w:p w:rsidR="00DA252E" w:rsidRPr="001119AA" w:rsidRDefault="00DA252E" w:rsidP="00DA252E">
      <w:pPr>
        <w:spacing w:after="0" w:line="240" w:lineRule="auto"/>
        <w:rPr>
          <w:rFonts w:ascii="Verdana" w:hAnsi="Verdana"/>
          <w:b/>
          <w:color w:val="548DD4" w:themeColor="text2" w:themeTint="99"/>
          <w:sz w:val="24"/>
          <w:szCs w:val="24"/>
        </w:rPr>
      </w:pPr>
    </w:p>
    <w:p w:rsidR="00DA252E" w:rsidRPr="00856632" w:rsidRDefault="00DA252E" w:rsidP="00FF784D">
      <w:pPr>
        <w:pStyle w:val="Prrafodelista"/>
        <w:numPr>
          <w:ilvl w:val="0"/>
          <w:numId w:val="35"/>
        </w:numPr>
        <w:spacing w:after="0" w:line="240" w:lineRule="auto"/>
        <w:ind w:left="709" w:hanging="283"/>
        <w:jc w:val="both"/>
        <w:rPr>
          <w:rFonts w:ascii="Verdana" w:hAnsi="Verdana"/>
          <w:i/>
          <w:sz w:val="24"/>
          <w:szCs w:val="24"/>
        </w:rPr>
      </w:pPr>
      <w:r w:rsidRPr="00856632">
        <w:rPr>
          <w:rFonts w:ascii="Verdana" w:hAnsi="Verdana"/>
          <w:i/>
          <w:sz w:val="24"/>
          <w:szCs w:val="24"/>
        </w:rPr>
        <w:t xml:space="preserve">Se desarrolló un borrador de decreto que está en proceso de socialización entre las entidades del Gobierno Nacional con el cual se “organiza el Sistema Nacional de Acompañamiento Social al Programa de Vivienda Gratuita” </w:t>
      </w:r>
    </w:p>
    <w:p w:rsidR="00DA252E" w:rsidRPr="00856632" w:rsidRDefault="00DA252E" w:rsidP="00FF784D">
      <w:pPr>
        <w:pStyle w:val="Prrafodelista"/>
        <w:numPr>
          <w:ilvl w:val="0"/>
          <w:numId w:val="35"/>
        </w:numPr>
        <w:spacing w:after="0" w:line="240" w:lineRule="auto"/>
        <w:ind w:left="709" w:hanging="283"/>
        <w:jc w:val="both"/>
        <w:rPr>
          <w:rFonts w:ascii="Verdana" w:hAnsi="Verdana"/>
          <w:i/>
          <w:sz w:val="24"/>
          <w:szCs w:val="24"/>
        </w:rPr>
      </w:pPr>
      <w:r w:rsidRPr="00856632">
        <w:rPr>
          <w:rFonts w:ascii="Verdana" w:hAnsi="Verdana"/>
          <w:i/>
          <w:sz w:val="24"/>
          <w:szCs w:val="24"/>
        </w:rPr>
        <w:t xml:space="preserve">Se inició un trabajo de articulación con la Presidencia de la República y la Mesa Nacional de Acompañamiento con el fin de canalizar y aunar esfuerzos dirigidos a 19 proyectos de vivienda priorizados. </w:t>
      </w:r>
    </w:p>
    <w:p w:rsidR="00DA252E" w:rsidRPr="00856632" w:rsidRDefault="00DA252E" w:rsidP="00FF784D">
      <w:pPr>
        <w:pStyle w:val="Prrafodelista"/>
        <w:numPr>
          <w:ilvl w:val="0"/>
          <w:numId w:val="35"/>
        </w:numPr>
        <w:spacing w:after="0" w:line="240" w:lineRule="auto"/>
        <w:ind w:left="709" w:hanging="283"/>
        <w:jc w:val="both"/>
        <w:rPr>
          <w:rFonts w:ascii="Verdana" w:hAnsi="Verdana"/>
          <w:i/>
          <w:sz w:val="24"/>
          <w:szCs w:val="24"/>
        </w:rPr>
      </w:pPr>
      <w:r w:rsidRPr="00B618EA">
        <w:rPr>
          <w:rFonts w:ascii="Verdana" w:hAnsi="Verdana"/>
          <w:i/>
          <w:sz w:val="24"/>
          <w:szCs w:val="24"/>
        </w:rPr>
        <w:t>Se instaló una mesa técnica para el tema de seguridad y convivencia en los proyectos de vivienda en funcionamiento (DPS, la ANSPE, Unidad para las Víctimas y Policía) y se construyó un reporte de seguridad (DPS, ANSPE y Unidad para las Víctimas) con información de los equipos que hacen presencia en territorio y categorizando los proyectos según el nivel de inseguridad</w:t>
      </w:r>
    </w:p>
    <w:p w:rsidR="00DA252E" w:rsidRPr="00856632" w:rsidRDefault="00DA252E" w:rsidP="00FF784D">
      <w:pPr>
        <w:pStyle w:val="Prrafodelista"/>
        <w:numPr>
          <w:ilvl w:val="0"/>
          <w:numId w:val="35"/>
        </w:numPr>
        <w:spacing w:after="0" w:line="240" w:lineRule="auto"/>
        <w:ind w:left="709" w:hanging="283"/>
        <w:jc w:val="both"/>
        <w:rPr>
          <w:rFonts w:ascii="Verdana" w:hAnsi="Verdana"/>
          <w:i/>
          <w:sz w:val="24"/>
          <w:szCs w:val="24"/>
        </w:rPr>
      </w:pPr>
      <w:r w:rsidRPr="00856632">
        <w:rPr>
          <w:rFonts w:ascii="Verdana" w:hAnsi="Verdana"/>
          <w:i/>
          <w:sz w:val="24"/>
          <w:szCs w:val="24"/>
        </w:rPr>
        <w:t xml:space="preserve">Se consolidó la información del estado de los proyectos de vivienda del Programa de Vivienda Gratuita y del acompañamiento realizado a los mismos. </w:t>
      </w:r>
    </w:p>
    <w:p w:rsidR="00DA252E" w:rsidRDefault="00DA252E" w:rsidP="00DA252E">
      <w:pPr>
        <w:spacing w:after="0" w:line="240" w:lineRule="auto"/>
        <w:rPr>
          <w:rFonts w:ascii="Verdana" w:hAnsi="Verdana"/>
          <w:b/>
          <w:color w:val="548DD4" w:themeColor="text2" w:themeTint="99"/>
          <w:sz w:val="24"/>
          <w:szCs w:val="24"/>
        </w:rPr>
      </w:pPr>
    </w:p>
    <w:p w:rsidR="00FE71FF" w:rsidRDefault="00FE71FF" w:rsidP="00DA252E">
      <w:pPr>
        <w:spacing w:after="0" w:line="240" w:lineRule="auto"/>
        <w:rPr>
          <w:rFonts w:ascii="Verdana" w:hAnsi="Verdana"/>
          <w:b/>
          <w:color w:val="548DD4" w:themeColor="text2" w:themeTint="99"/>
          <w:sz w:val="24"/>
          <w:szCs w:val="24"/>
        </w:rPr>
      </w:pPr>
    </w:p>
    <w:p w:rsidR="00DA252E" w:rsidRDefault="00DA252E" w:rsidP="00DA252E">
      <w:pPr>
        <w:spacing w:after="0" w:line="240" w:lineRule="auto"/>
        <w:rPr>
          <w:rFonts w:ascii="Verdana" w:hAnsi="Verdana"/>
          <w:b/>
          <w:color w:val="548DD4" w:themeColor="text2" w:themeTint="99"/>
          <w:sz w:val="24"/>
          <w:szCs w:val="24"/>
        </w:rPr>
      </w:pPr>
      <w:r w:rsidRPr="001362D5">
        <w:rPr>
          <w:rFonts w:ascii="Verdana" w:hAnsi="Verdana"/>
          <w:b/>
          <w:color w:val="548DD4" w:themeColor="text2" w:themeTint="99"/>
          <w:sz w:val="24"/>
          <w:szCs w:val="24"/>
        </w:rPr>
        <w:lastRenderedPageBreak/>
        <w:t xml:space="preserve">Retos 2015 </w:t>
      </w:r>
    </w:p>
    <w:p w:rsidR="00DA252E" w:rsidRPr="001362D5" w:rsidRDefault="00DA252E" w:rsidP="00DA252E">
      <w:pPr>
        <w:spacing w:after="0" w:line="240" w:lineRule="auto"/>
        <w:rPr>
          <w:rFonts w:ascii="Verdana" w:hAnsi="Verdana"/>
          <w:b/>
          <w:color w:val="548DD4" w:themeColor="text2" w:themeTint="99"/>
          <w:sz w:val="24"/>
          <w:szCs w:val="24"/>
        </w:rPr>
      </w:pPr>
    </w:p>
    <w:p w:rsidR="00DA252E" w:rsidRPr="00B618EA" w:rsidRDefault="00DA252E" w:rsidP="00FF784D">
      <w:pPr>
        <w:pStyle w:val="Prrafodelista"/>
        <w:numPr>
          <w:ilvl w:val="0"/>
          <w:numId w:val="35"/>
        </w:numPr>
        <w:spacing w:after="0" w:line="240" w:lineRule="auto"/>
        <w:ind w:left="709" w:hanging="283"/>
        <w:jc w:val="both"/>
        <w:rPr>
          <w:rFonts w:ascii="Verdana" w:hAnsi="Verdana"/>
          <w:i/>
          <w:sz w:val="24"/>
          <w:szCs w:val="24"/>
        </w:rPr>
      </w:pPr>
      <w:r w:rsidRPr="00B618EA">
        <w:rPr>
          <w:rFonts w:ascii="Verdana" w:hAnsi="Verdana"/>
          <w:i/>
          <w:sz w:val="24"/>
          <w:szCs w:val="24"/>
        </w:rPr>
        <w:t xml:space="preserve">Socializar y lograr la aprobación del proyecto de decreto con el que se </w:t>
      </w:r>
      <w:r w:rsidRPr="000F0D20">
        <w:rPr>
          <w:rFonts w:ascii="Verdana" w:hAnsi="Verdana"/>
          <w:i/>
          <w:sz w:val="24"/>
          <w:szCs w:val="24"/>
        </w:rPr>
        <w:t>“organiza el Sistema Nacional de Acompañamiento Social al Programa de Vivienda Gratuita”</w:t>
      </w:r>
    </w:p>
    <w:p w:rsidR="00DA252E" w:rsidRPr="00B618EA" w:rsidRDefault="00DA252E" w:rsidP="00FF784D">
      <w:pPr>
        <w:pStyle w:val="Prrafodelista"/>
        <w:numPr>
          <w:ilvl w:val="0"/>
          <w:numId w:val="35"/>
        </w:numPr>
        <w:spacing w:after="0" w:line="240" w:lineRule="auto"/>
        <w:ind w:left="709" w:hanging="283"/>
        <w:jc w:val="both"/>
        <w:rPr>
          <w:rFonts w:ascii="Verdana" w:hAnsi="Verdana"/>
          <w:i/>
          <w:sz w:val="24"/>
          <w:szCs w:val="24"/>
        </w:rPr>
      </w:pPr>
      <w:r w:rsidRPr="000F0D20">
        <w:rPr>
          <w:rFonts w:ascii="Verdana" w:hAnsi="Verdana"/>
          <w:i/>
          <w:sz w:val="24"/>
          <w:szCs w:val="24"/>
        </w:rPr>
        <w:t>Apoyar el diseño e implementación la estrategia de inclusión productiva para los proyectos de vivienda gratuita, el cual será liderado por la DIPS.</w:t>
      </w:r>
    </w:p>
    <w:p w:rsidR="00DA252E" w:rsidRPr="00B618EA" w:rsidRDefault="00DA252E" w:rsidP="00FF784D">
      <w:pPr>
        <w:pStyle w:val="Prrafodelista"/>
        <w:numPr>
          <w:ilvl w:val="0"/>
          <w:numId w:val="35"/>
        </w:numPr>
        <w:spacing w:after="0" w:line="240" w:lineRule="auto"/>
        <w:ind w:left="709" w:hanging="283"/>
        <w:jc w:val="both"/>
        <w:rPr>
          <w:rFonts w:ascii="Verdana" w:hAnsi="Verdana"/>
          <w:i/>
          <w:sz w:val="24"/>
          <w:szCs w:val="24"/>
        </w:rPr>
      </w:pPr>
      <w:r w:rsidRPr="000F0D20">
        <w:rPr>
          <w:rFonts w:ascii="Verdana" w:hAnsi="Verdana"/>
          <w:i/>
          <w:sz w:val="24"/>
          <w:szCs w:val="24"/>
        </w:rPr>
        <w:t xml:space="preserve">Articular la estrategia de acompañamiento social al Programa de Vivienda Gratuita con instancias como los Consejos de Política Social, Comités de Justicia Transicional y Consejos de Gobierno en las entidades territoriales, a través de la participación y presentación de resultados de la estrategia ante los mismos. </w:t>
      </w:r>
    </w:p>
    <w:p w:rsidR="00DA252E" w:rsidRPr="00B618EA" w:rsidRDefault="00DA252E" w:rsidP="00FF784D">
      <w:pPr>
        <w:pStyle w:val="Prrafodelista"/>
        <w:numPr>
          <w:ilvl w:val="0"/>
          <w:numId w:val="35"/>
        </w:numPr>
        <w:spacing w:after="0" w:line="240" w:lineRule="auto"/>
        <w:ind w:left="709" w:hanging="283"/>
        <w:jc w:val="both"/>
        <w:rPr>
          <w:rFonts w:ascii="Verdana" w:hAnsi="Verdana"/>
          <w:i/>
          <w:sz w:val="24"/>
          <w:szCs w:val="24"/>
        </w:rPr>
      </w:pPr>
      <w:r w:rsidRPr="000F0D20">
        <w:rPr>
          <w:rFonts w:ascii="Verdana" w:hAnsi="Verdana"/>
          <w:i/>
          <w:sz w:val="24"/>
          <w:szCs w:val="24"/>
        </w:rPr>
        <w:t>Diseñar en conjunto con el Ministerio del Interior una estrategia para capacitar y acompañar a los órganos de propiedad horizontal e instancias de acción comunal de los proyectos que así lo requieran, con el fin de garantizar su apropiada conformación, operación y sostenibilidad.</w:t>
      </w:r>
    </w:p>
    <w:p w:rsidR="00DA252E" w:rsidRPr="00B618EA" w:rsidRDefault="00DA252E" w:rsidP="00FF784D">
      <w:pPr>
        <w:pStyle w:val="Prrafodelista"/>
        <w:numPr>
          <w:ilvl w:val="0"/>
          <w:numId w:val="35"/>
        </w:numPr>
        <w:spacing w:after="0" w:line="240" w:lineRule="auto"/>
        <w:ind w:left="709" w:hanging="283"/>
        <w:jc w:val="both"/>
        <w:rPr>
          <w:rFonts w:ascii="Verdana" w:hAnsi="Verdana"/>
          <w:i/>
          <w:sz w:val="24"/>
          <w:szCs w:val="24"/>
        </w:rPr>
      </w:pPr>
      <w:r w:rsidRPr="000F0D20">
        <w:rPr>
          <w:rFonts w:ascii="Verdana" w:hAnsi="Verdana"/>
          <w:i/>
          <w:sz w:val="24"/>
          <w:szCs w:val="24"/>
        </w:rPr>
        <w:t xml:space="preserve">Promover al interior de las entidades territoriales el compromiso de participar activamente en la ejecución de la Estrategia de Acompañamiento Social y la construcción de planes de acción en este nivel. </w:t>
      </w:r>
    </w:p>
    <w:p w:rsidR="00DA252E" w:rsidRDefault="00DA252E" w:rsidP="00DA252E">
      <w:pPr>
        <w:spacing w:after="0" w:line="240" w:lineRule="auto"/>
        <w:rPr>
          <w:rFonts w:ascii="Verdana" w:eastAsia="Times New Roman" w:hAnsi="Verdana"/>
          <w:b/>
          <w:bCs/>
          <w:iCs/>
          <w:color w:val="548DD4" w:themeColor="text2" w:themeTint="99"/>
          <w:sz w:val="24"/>
          <w:szCs w:val="24"/>
          <w:u w:val="single"/>
        </w:rPr>
      </w:pPr>
    </w:p>
    <w:p w:rsidR="000F0D20" w:rsidRPr="000F0D20" w:rsidRDefault="000F0D20" w:rsidP="000F0D20">
      <w:bookmarkStart w:id="39" w:name="_Toc410376787"/>
    </w:p>
    <w:p w:rsidR="00DA252E" w:rsidRPr="00E83B6E" w:rsidRDefault="00DA252E" w:rsidP="000F0D20">
      <w:pPr>
        <w:pStyle w:val="Ttulo2"/>
        <w:spacing w:before="0" w:after="0" w:line="240" w:lineRule="auto"/>
        <w:rPr>
          <w:rFonts w:ascii="Verdana" w:hAnsi="Verdana"/>
          <w:bCs w:val="0"/>
          <w:i w:val="0"/>
          <w:iCs w:val="0"/>
          <w:color w:val="548DD4" w:themeColor="text2" w:themeTint="99"/>
        </w:rPr>
      </w:pPr>
      <w:r w:rsidRPr="00E83B6E">
        <w:rPr>
          <w:rFonts w:ascii="Verdana" w:hAnsi="Verdana"/>
          <w:bCs w:val="0"/>
          <w:i w:val="0"/>
          <w:iCs w:val="0"/>
          <w:color w:val="548DD4" w:themeColor="text2" w:themeTint="99"/>
        </w:rPr>
        <w:t>INCLUSIÓN Y EDUCACIÓN FINANCIERA</w:t>
      </w:r>
      <w:bookmarkEnd w:id="39"/>
    </w:p>
    <w:p w:rsidR="000F0D20" w:rsidRDefault="000F0D20" w:rsidP="00DA252E">
      <w:pPr>
        <w:spacing w:after="0" w:line="240" w:lineRule="auto"/>
      </w:pPr>
    </w:p>
    <w:p w:rsidR="00DA252E" w:rsidRPr="005C61F2" w:rsidRDefault="00DA252E" w:rsidP="00DA252E">
      <w:pPr>
        <w:spacing w:after="0" w:line="240" w:lineRule="auto"/>
      </w:pPr>
    </w:p>
    <w:p w:rsidR="00DA252E" w:rsidRPr="00334E15" w:rsidRDefault="00DA252E" w:rsidP="00DA252E">
      <w:pPr>
        <w:pStyle w:val="Ttulo3"/>
        <w:spacing w:before="0" w:after="0" w:line="240" w:lineRule="auto"/>
        <w:rPr>
          <w:rFonts w:ascii="Verdana" w:hAnsi="Verdana"/>
          <w:color w:val="548DD4" w:themeColor="text2" w:themeTint="99"/>
          <w:sz w:val="24"/>
          <w:szCs w:val="24"/>
          <w:u w:val="single"/>
        </w:rPr>
      </w:pPr>
      <w:bookmarkStart w:id="40" w:name="_Toc410111292"/>
      <w:bookmarkStart w:id="41" w:name="_Toc410376788"/>
      <w:r w:rsidRPr="00334E15">
        <w:rPr>
          <w:rFonts w:ascii="Verdana" w:hAnsi="Verdana"/>
          <w:color w:val="548DD4" w:themeColor="text2" w:themeTint="99"/>
          <w:sz w:val="24"/>
          <w:szCs w:val="24"/>
          <w:u w:val="single"/>
        </w:rPr>
        <w:t>PILOTO DE COLOMBIA LISTA</w:t>
      </w:r>
      <w:bookmarkEnd w:id="40"/>
      <w:bookmarkEnd w:id="41"/>
    </w:p>
    <w:p w:rsidR="00DA252E" w:rsidRDefault="00DA252E" w:rsidP="00DA252E">
      <w:pPr>
        <w:spacing w:after="0" w:line="240" w:lineRule="auto"/>
        <w:rPr>
          <w:rFonts w:ascii="Verdana" w:eastAsia="Times New Roman" w:hAnsi="Verdana"/>
          <w:b/>
          <w:bCs/>
          <w:iCs/>
          <w:color w:val="548DD4" w:themeColor="text2" w:themeTint="99"/>
          <w:sz w:val="24"/>
          <w:szCs w:val="24"/>
        </w:rPr>
      </w:pPr>
    </w:p>
    <w:p w:rsidR="000F0D20" w:rsidRDefault="000F0D20" w:rsidP="00DA252E">
      <w:pPr>
        <w:spacing w:after="0" w:line="240" w:lineRule="auto"/>
        <w:rPr>
          <w:rFonts w:ascii="Verdana" w:hAnsi="Verdana"/>
          <w:b/>
          <w:color w:val="548DD4" w:themeColor="text2" w:themeTint="99"/>
          <w:sz w:val="24"/>
          <w:szCs w:val="24"/>
        </w:rPr>
      </w:pPr>
    </w:p>
    <w:p w:rsidR="00DA252E" w:rsidRPr="001E3B7C" w:rsidRDefault="00DA252E" w:rsidP="00DA252E">
      <w:pPr>
        <w:spacing w:after="0" w:line="240" w:lineRule="auto"/>
        <w:rPr>
          <w:rFonts w:ascii="Verdana" w:hAnsi="Verdana"/>
          <w:b/>
          <w:color w:val="548DD4" w:themeColor="text2" w:themeTint="99"/>
          <w:sz w:val="24"/>
          <w:szCs w:val="24"/>
        </w:rPr>
      </w:pPr>
      <w:r w:rsidRPr="001E3B7C">
        <w:rPr>
          <w:rFonts w:ascii="Verdana" w:hAnsi="Verdana"/>
          <w:b/>
          <w:color w:val="548DD4" w:themeColor="text2" w:themeTint="99"/>
          <w:sz w:val="24"/>
          <w:szCs w:val="24"/>
        </w:rPr>
        <w:t>Objetivo</w:t>
      </w:r>
    </w:p>
    <w:p w:rsidR="00DA252E" w:rsidRPr="00B83504" w:rsidRDefault="00DA252E" w:rsidP="00DA252E">
      <w:pPr>
        <w:pStyle w:val="Prrafodelista"/>
        <w:spacing w:after="0" w:line="240" w:lineRule="auto"/>
        <w:ind w:left="1410"/>
        <w:jc w:val="both"/>
        <w:rPr>
          <w:rFonts w:ascii="Verdana" w:hAnsi="Verdana"/>
          <w:i/>
          <w:sz w:val="24"/>
          <w:szCs w:val="24"/>
        </w:rPr>
      </w:pPr>
    </w:p>
    <w:p w:rsidR="00DA252E" w:rsidRDefault="00DA252E" w:rsidP="00DA252E">
      <w:pPr>
        <w:spacing w:after="0" w:line="240" w:lineRule="auto"/>
        <w:jc w:val="both"/>
        <w:rPr>
          <w:rFonts w:ascii="Verdana" w:hAnsi="Verdana"/>
          <w:sz w:val="24"/>
          <w:szCs w:val="24"/>
        </w:rPr>
      </w:pPr>
      <w:r w:rsidRPr="001E3B7C">
        <w:rPr>
          <w:rFonts w:ascii="Verdana" w:hAnsi="Verdana"/>
          <w:sz w:val="24"/>
          <w:szCs w:val="24"/>
        </w:rPr>
        <w:t xml:space="preserve">Casi 3 millones de colombianas y colombianos están inscritos en el programa Más Familias en Acción. Una mayoría de estas personas (90%), han sido bancarizadas por el DPS pero una minoría ha recibido educación financiera. </w:t>
      </w:r>
    </w:p>
    <w:p w:rsidR="00DA252E" w:rsidRDefault="00DA252E" w:rsidP="00DA252E">
      <w:pPr>
        <w:spacing w:after="0" w:line="240" w:lineRule="auto"/>
        <w:jc w:val="both"/>
        <w:rPr>
          <w:rFonts w:ascii="Verdana" w:hAnsi="Verdana"/>
          <w:sz w:val="24"/>
          <w:szCs w:val="24"/>
        </w:rPr>
      </w:pPr>
    </w:p>
    <w:p w:rsidR="00DA252E" w:rsidRDefault="00DA252E" w:rsidP="00DA252E">
      <w:pPr>
        <w:spacing w:after="0" w:line="240" w:lineRule="auto"/>
        <w:jc w:val="both"/>
        <w:rPr>
          <w:rFonts w:ascii="Verdana" w:hAnsi="Verdana"/>
          <w:sz w:val="24"/>
          <w:szCs w:val="24"/>
        </w:rPr>
      </w:pPr>
      <w:r w:rsidRPr="001E3B7C">
        <w:rPr>
          <w:rFonts w:ascii="Verdana" w:hAnsi="Verdana"/>
          <w:sz w:val="24"/>
          <w:szCs w:val="24"/>
        </w:rPr>
        <w:t xml:space="preserve">Por ese motivo, muchas personas no entienden cómo usar su cuenta o monedero electrónico, los beneficios de ahorrar en ello o cómo usar un cajero automático. La falta de educación financiera las limita en las herramientas que tienen para tomar mejores decisiones para sus vidas. </w:t>
      </w:r>
    </w:p>
    <w:p w:rsidR="00DA252E" w:rsidRDefault="00DA252E" w:rsidP="00DA252E">
      <w:pPr>
        <w:spacing w:after="0" w:line="240" w:lineRule="auto"/>
        <w:jc w:val="both"/>
        <w:rPr>
          <w:rFonts w:ascii="Verdana" w:hAnsi="Verdana"/>
          <w:sz w:val="24"/>
          <w:szCs w:val="24"/>
        </w:rPr>
      </w:pPr>
    </w:p>
    <w:p w:rsidR="00DA252E" w:rsidRPr="001E3B7C" w:rsidRDefault="00DA252E" w:rsidP="00DA252E">
      <w:pPr>
        <w:spacing w:after="0" w:line="240" w:lineRule="auto"/>
        <w:jc w:val="both"/>
        <w:rPr>
          <w:rFonts w:ascii="Verdana" w:hAnsi="Verdana"/>
          <w:sz w:val="24"/>
          <w:szCs w:val="24"/>
        </w:rPr>
      </w:pPr>
      <w:r w:rsidRPr="001E3B7C">
        <w:rPr>
          <w:rFonts w:ascii="Verdana" w:hAnsi="Verdana"/>
          <w:sz w:val="24"/>
          <w:szCs w:val="24"/>
        </w:rPr>
        <w:lastRenderedPageBreak/>
        <w:t>El objetivo de la intervención es promover la inclusión financiera de los participantes de Más Familias en Acción, dándoles herramientas para tomar mejores decisiones financieras, mejorar su uso del dinero y reducir el estrés que implica vivir con recursos muy limitados. Esta intervención llega a zonas rurales donde el acceso a la educación es difícil y costoso.</w:t>
      </w:r>
    </w:p>
    <w:p w:rsidR="00DA252E" w:rsidRDefault="00DA252E" w:rsidP="00DA252E">
      <w:pPr>
        <w:spacing w:after="0" w:line="240" w:lineRule="auto"/>
        <w:rPr>
          <w:rFonts w:ascii="Verdana" w:hAnsi="Verdana"/>
          <w:b/>
          <w:sz w:val="24"/>
          <w:szCs w:val="24"/>
        </w:rPr>
      </w:pPr>
    </w:p>
    <w:p w:rsidR="0051259B" w:rsidRDefault="0051259B" w:rsidP="00DA252E">
      <w:pPr>
        <w:spacing w:after="0" w:line="240" w:lineRule="auto"/>
        <w:rPr>
          <w:rFonts w:ascii="Verdana" w:hAnsi="Verdana"/>
          <w:b/>
          <w:sz w:val="24"/>
          <w:szCs w:val="24"/>
        </w:rPr>
      </w:pPr>
    </w:p>
    <w:p w:rsidR="00DA252E" w:rsidRDefault="00DA252E" w:rsidP="00DA252E">
      <w:pPr>
        <w:spacing w:after="0" w:line="240" w:lineRule="auto"/>
        <w:rPr>
          <w:rFonts w:ascii="Verdana" w:hAnsi="Verdana"/>
          <w:b/>
          <w:color w:val="548DD4" w:themeColor="text2" w:themeTint="99"/>
          <w:sz w:val="24"/>
          <w:szCs w:val="24"/>
        </w:rPr>
      </w:pPr>
      <w:r w:rsidRPr="001E3B7C">
        <w:rPr>
          <w:rFonts w:ascii="Verdana" w:hAnsi="Verdana"/>
          <w:b/>
          <w:color w:val="548DD4" w:themeColor="text2" w:themeTint="99"/>
          <w:sz w:val="24"/>
          <w:szCs w:val="24"/>
        </w:rPr>
        <w:t>Líneas de Acción</w:t>
      </w:r>
    </w:p>
    <w:p w:rsidR="00DA252E" w:rsidRPr="001E3B7C" w:rsidRDefault="00DA252E" w:rsidP="00DA252E">
      <w:pPr>
        <w:spacing w:after="0" w:line="240" w:lineRule="auto"/>
        <w:rPr>
          <w:rFonts w:ascii="Verdana" w:hAnsi="Verdana"/>
          <w:b/>
          <w:color w:val="548DD4" w:themeColor="text2" w:themeTint="99"/>
          <w:sz w:val="24"/>
          <w:szCs w:val="24"/>
        </w:rPr>
      </w:pPr>
    </w:p>
    <w:p w:rsidR="00DA252E" w:rsidRPr="000F0D20" w:rsidRDefault="00DA252E" w:rsidP="000F0D20">
      <w:pPr>
        <w:pStyle w:val="Prrafodelista"/>
        <w:numPr>
          <w:ilvl w:val="0"/>
          <w:numId w:val="3"/>
        </w:numPr>
        <w:spacing w:after="0" w:line="240" w:lineRule="auto"/>
        <w:ind w:left="709" w:hanging="283"/>
        <w:jc w:val="both"/>
        <w:rPr>
          <w:rFonts w:ascii="Verdana" w:hAnsi="Verdana"/>
          <w:sz w:val="24"/>
          <w:szCs w:val="24"/>
        </w:rPr>
      </w:pPr>
      <w:r w:rsidRPr="000F0D20">
        <w:rPr>
          <w:rFonts w:ascii="Verdana" w:hAnsi="Verdana"/>
          <w:sz w:val="24"/>
          <w:szCs w:val="24"/>
        </w:rPr>
        <w:t xml:space="preserve">Definición de los municipios a intervenir. </w:t>
      </w:r>
    </w:p>
    <w:p w:rsidR="00DA252E" w:rsidRPr="000F0D20" w:rsidRDefault="00DA252E" w:rsidP="000F0D20">
      <w:pPr>
        <w:pStyle w:val="Prrafodelista"/>
        <w:numPr>
          <w:ilvl w:val="0"/>
          <w:numId w:val="3"/>
        </w:numPr>
        <w:spacing w:after="0" w:line="240" w:lineRule="auto"/>
        <w:ind w:left="709" w:hanging="283"/>
        <w:jc w:val="both"/>
        <w:rPr>
          <w:rFonts w:ascii="Verdana" w:hAnsi="Verdana"/>
          <w:sz w:val="24"/>
          <w:szCs w:val="24"/>
        </w:rPr>
      </w:pPr>
      <w:r w:rsidRPr="000F0D20">
        <w:rPr>
          <w:rFonts w:ascii="Verdana" w:hAnsi="Verdana"/>
          <w:sz w:val="24"/>
          <w:szCs w:val="24"/>
        </w:rPr>
        <w:t xml:space="preserve">Identificación de las madres líderes y madres titulares que podrían participar en el programa. </w:t>
      </w:r>
    </w:p>
    <w:p w:rsidR="00DA252E" w:rsidRPr="000F0D20" w:rsidRDefault="00DA252E" w:rsidP="000F0D20">
      <w:pPr>
        <w:pStyle w:val="Prrafodelista"/>
        <w:numPr>
          <w:ilvl w:val="0"/>
          <w:numId w:val="3"/>
        </w:numPr>
        <w:spacing w:after="0" w:line="240" w:lineRule="auto"/>
        <w:ind w:left="709" w:hanging="283"/>
        <w:jc w:val="both"/>
        <w:rPr>
          <w:rFonts w:ascii="Verdana" w:hAnsi="Verdana"/>
          <w:sz w:val="24"/>
          <w:szCs w:val="24"/>
        </w:rPr>
      </w:pPr>
      <w:r w:rsidRPr="000F0D20">
        <w:rPr>
          <w:rFonts w:ascii="Verdana" w:hAnsi="Verdana"/>
          <w:sz w:val="24"/>
          <w:szCs w:val="24"/>
        </w:rPr>
        <w:t xml:space="preserve">Construcción del módulo de Más Familias en Acción y diseño de la versión 2.0 de la aplicación Colombia LISTA. </w:t>
      </w:r>
    </w:p>
    <w:p w:rsidR="00DA252E" w:rsidRPr="000F0D20" w:rsidRDefault="00DA252E" w:rsidP="000F0D20">
      <w:pPr>
        <w:pStyle w:val="Prrafodelista"/>
        <w:numPr>
          <w:ilvl w:val="0"/>
          <w:numId w:val="3"/>
        </w:numPr>
        <w:spacing w:after="0" w:line="240" w:lineRule="auto"/>
        <w:ind w:left="709" w:hanging="283"/>
        <w:jc w:val="both"/>
        <w:rPr>
          <w:rFonts w:ascii="Verdana" w:hAnsi="Verdana"/>
          <w:sz w:val="24"/>
          <w:szCs w:val="24"/>
        </w:rPr>
      </w:pPr>
      <w:r w:rsidRPr="000F0D20">
        <w:rPr>
          <w:rFonts w:ascii="Verdana" w:hAnsi="Verdana"/>
          <w:sz w:val="24"/>
          <w:szCs w:val="24"/>
        </w:rPr>
        <w:t xml:space="preserve">Implementación de la estrategia. </w:t>
      </w:r>
    </w:p>
    <w:p w:rsidR="00DA252E" w:rsidRPr="000F0D20" w:rsidRDefault="00DA252E" w:rsidP="000F0D20">
      <w:pPr>
        <w:pStyle w:val="Prrafodelista"/>
        <w:numPr>
          <w:ilvl w:val="0"/>
          <w:numId w:val="3"/>
        </w:numPr>
        <w:spacing w:after="0" w:line="240" w:lineRule="auto"/>
        <w:ind w:left="709" w:hanging="283"/>
        <w:jc w:val="both"/>
        <w:rPr>
          <w:rFonts w:ascii="Verdana" w:hAnsi="Verdana"/>
          <w:sz w:val="24"/>
          <w:szCs w:val="24"/>
        </w:rPr>
      </w:pPr>
      <w:r w:rsidRPr="000F0D20">
        <w:rPr>
          <w:rFonts w:ascii="Verdana" w:hAnsi="Verdana"/>
          <w:sz w:val="24"/>
          <w:szCs w:val="24"/>
        </w:rPr>
        <w:t xml:space="preserve">Ajuste de la metodología. </w:t>
      </w:r>
    </w:p>
    <w:p w:rsidR="00DA252E" w:rsidRPr="000F0D20" w:rsidRDefault="00DA252E" w:rsidP="000F0D20">
      <w:pPr>
        <w:pStyle w:val="Prrafodelista"/>
        <w:numPr>
          <w:ilvl w:val="0"/>
          <w:numId w:val="3"/>
        </w:numPr>
        <w:spacing w:after="0" w:line="240" w:lineRule="auto"/>
        <w:ind w:left="709" w:hanging="283"/>
        <w:jc w:val="both"/>
        <w:rPr>
          <w:rFonts w:ascii="Verdana" w:hAnsi="Verdana"/>
          <w:sz w:val="24"/>
          <w:szCs w:val="24"/>
        </w:rPr>
      </w:pPr>
      <w:r w:rsidRPr="000F0D20">
        <w:rPr>
          <w:rFonts w:ascii="Verdana" w:hAnsi="Verdana"/>
          <w:sz w:val="24"/>
          <w:szCs w:val="24"/>
        </w:rPr>
        <w:t xml:space="preserve">Diseño y alistamiento de la apropiación de la metodología por parte del DPS para incorporarlo dentro de sus programas. </w:t>
      </w:r>
    </w:p>
    <w:p w:rsidR="00DA252E" w:rsidRDefault="00DA252E" w:rsidP="00DA252E">
      <w:pPr>
        <w:spacing w:after="0" w:line="240" w:lineRule="auto"/>
        <w:rPr>
          <w:rFonts w:ascii="Verdana" w:hAnsi="Verdana"/>
          <w:b/>
          <w:sz w:val="24"/>
          <w:szCs w:val="24"/>
        </w:rPr>
      </w:pPr>
    </w:p>
    <w:p w:rsidR="00DA252E" w:rsidRPr="001E3B7C" w:rsidRDefault="00DA252E" w:rsidP="00DA252E">
      <w:pPr>
        <w:spacing w:after="0" w:line="240" w:lineRule="auto"/>
        <w:rPr>
          <w:rFonts w:ascii="Verdana" w:hAnsi="Verdana"/>
          <w:b/>
          <w:color w:val="548DD4" w:themeColor="text2" w:themeTint="99"/>
          <w:sz w:val="24"/>
          <w:szCs w:val="24"/>
        </w:rPr>
      </w:pPr>
      <w:r w:rsidRPr="001E3B7C">
        <w:rPr>
          <w:rFonts w:ascii="Verdana" w:hAnsi="Verdana"/>
          <w:b/>
          <w:color w:val="548DD4" w:themeColor="text2" w:themeTint="99"/>
          <w:sz w:val="24"/>
          <w:szCs w:val="24"/>
        </w:rPr>
        <w:t>Cumplimiento Metas</w:t>
      </w:r>
    </w:p>
    <w:p w:rsidR="00DA252E" w:rsidRDefault="00DA252E" w:rsidP="00DA252E">
      <w:pPr>
        <w:spacing w:after="0" w:line="240" w:lineRule="auto"/>
        <w:rPr>
          <w:rFonts w:ascii="Verdana" w:hAnsi="Verdana"/>
          <w:sz w:val="24"/>
          <w:szCs w:val="24"/>
        </w:rPr>
      </w:pPr>
    </w:p>
    <w:p w:rsidR="00DA252E" w:rsidRDefault="00DA252E" w:rsidP="00DA252E">
      <w:pPr>
        <w:spacing w:after="0" w:line="240" w:lineRule="auto"/>
        <w:jc w:val="both"/>
        <w:rPr>
          <w:rFonts w:ascii="Verdana" w:hAnsi="Verdana"/>
          <w:sz w:val="24"/>
          <w:szCs w:val="24"/>
        </w:rPr>
      </w:pPr>
      <w:r>
        <w:rPr>
          <w:rFonts w:ascii="Verdana" w:hAnsi="Verdana"/>
          <w:sz w:val="24"/>
          <w:szCs w:val="24"/>
        </w:rPr>
        <w:t xml:space="preserve">La estrategia se probó en 2014 con la implementación de un piloto realizado por Fundación Capital en coordinación con el DPS. La meta del proyecto era probar si las modificaciones realizadas a la versión 2.0 de la aplicación si eran adecuadas y recibidas por la población objetivo participante en Más Familias en Acción. </w:t>
      </w:r>
    </w:p>
    <w:p w:rsidR="00DA252E" w:rsidRDefault="00DA252E" w:rsidP="00DA252E">
      <w:pPr>
        <w:spacing w:after="0" w:line="240" w:lineRule="auto"/>
        <w:rPr>
          <w:rFonts w:ascii="Verdana" w:hAnsi="Verdana"/>
          <w:b/>
          <w:sz w:val="24"/>
          <w:szCs w:val="24"/>
        </w:rPr>
      </w:pPr>
    </w:p>
    <w:p w:rsidR="00DA252E" w:rsidRDefault="00DA252E" w:rsidP="00DA252E">
      <w:pPr>
        <w:spacing w:after="0" w:line="240" w:lineRule="auto"/>
        <w:rPr>
          <w:rFonts w:ascii="Verdana" w:hAnsi="Verdana"/>
          <w:b/>
          <w:color w:val="548DD4" w:themeColor="text2" w:themeTint="99"/>
          <w:sz w:val="24"/>
          <w:szCs w:val="24"/>
        </w:rPr>
      </w:pPr>
      <w:r w:rsidRPr="001E3B7C">
        <w:rPr>
          <w:rFonts w:ascii="Verdana" w:hAnsi="Verdana"/>
          <w:b/>
          <w:color w:val="548DD4" w:themeColor="text2" w:themeTint="99"/>
          <w:sz w:val="24"/>
          <w:szCs w:val="24"/>
        </w:rPr>
        <w:t xml:space="preserve">Logros </w:t>
      </w:r>
    </w:p>
    <w:p w:rsidR="00DA252E" w:rsidRPr="001E3B7C" w:rsidRDefault="00DA252E" w:rsidP="00DA252E">
      <w:pPr>
        <w:spacing w:after="0" w:line="240" w:lineRule="auto"/>
        <w:rPr>
          <w:rFonts w:ascii="Verdana" w:hAnsi="Verdana"/>
          <w:b/>
          <w:color w:val="548DD4" w:themeColor="text2" w:themeTint="99"/>
          <w:sz w:val="24"/>
          <w:szCs w:val="24"/>
        </w:rPr>
      </w:pPr>
    </w:p>
    <w:p w:rsidR="00DA252E" w:rsidRPr="000F0D20" w:rsidRDefault="00DA252E" w:rsidP="000F0D20">
      <w:pPr>
        <w:pStyle w:val="Prrafodelista"/>
        <w:numPr>
          <w:ilvl w:val="0"/>
          <w:numId w:val="3"/>
        </w:numPr>
        <w:spacing w:after="0" w:line="240" w:lineRule="auto"/>
        <w:ind w:left="709" w:hanging="283"/>
        <w:jc w:val="both"/>
        <w:rPr>
          <w:rFonts w:ascii="Verdana" w:hAnsi="Verdana"/>
          <w:i/>
          <w:sz w:val="24"/>
          <w:szCs w:val="24"/>
        </w:rPr>
      </w:pPr>
      <w:r w:rsidRPr="000F0D20">
        <w:rPr>
          <w:rFonts w:ascii="Verdana" w:hAnsi="Verdana"/>
          <w:i/>
          <w:sz w:val="24"/>
          <w:szCs w:val="24"/>
        </w:rPr>
        <w:t xml:space="preserve">Se logró validar la metodología de implementación de la estrategia por medio de rotación de las tabletas entre madres lideres y madres titulares del programa. </w:t>
      </w:r>
    </w:p>
    <w:p w:rsidR="00DA252E" w:rsidRPr="000F0D20" w:rsidRDefault="00DA252E" w:rsidP="000F0D20">
      <w:pPr>
        <w:pStyle w:val="Prrafodelista"/>
        <w:numPr>
          <w:ilvl w:val="0"/>
          <w:numId w:val="3"/>
        </w:numPr>
        <w:spacing w:after="0" w:line="240" w:lineRule="auto"/>
        <w:ind w:left="709" w:hanging="283"/>
        <w:jc w:val="both"/>
        <w:rPr>
          <w:rFonts w:ascii="Verdana" w:hAnsi="Verdana"/>
          <w:i/>
          <w:sz w:val="24"/>
          <w:szCs w:val="24"/>
        </w:rPr>
      </w:pPr>
      <w:r w:rsidRPr="000F0D20">
        <w:rPr>
          <w:rFonts w:ascii="Verdana" w:hAnsi="Verdana"/>
          <w:i/>
          <w:sz w:val="24"/>
          <w:szCs w:val="24"/>
        </w:rPr>
        <w:t xml:space="preserve">La aplicación 2.0 incluyó un módulo especial para Más Familias en Acción con la idea de vincular los compontes de Inclusión Financiera con las Transferencias Monetarias Condicionadas. </w:t>
      </w:r>
    </w:p>
    <w:p w:rsidR="00DA252E" w:rsidRPr="000F0D20" w:rsidRDefault="00DA252E" w:rsidP="000F0D20">
      <w:pPr>
        <w:pStyle w:val="Prrafodelista"/>
        <w:numPr>
          <w:ilvl w:val="0"/>
          <w:numId w:val="3"/>
        </w:numPr>
        <w:spacing w:after="0" w:line="240" w:lineRule="auto"/>
        <w:ind w:left="709" w:hanging="283"/>
        <w:jc w:val="both"/>
        <w:rPr>
          <w:rFonts w:ascii="Verdana" w:hAnsi="Verdana"/>
          <w:i/>
          <w:sz w:val="24"/>
          <w:szCs w:val="24"/>
        </w:rPr>
      </w:pPr>
      <w:r w:rsidRPr="000F0D20">
        <w:rPr>
          <w:rFonts w:ascii="Verdana" w:hAnsi="Verdana"/>
          <w:i/>
          <w:sz w:val="24"/>
          <w:szCs w:val="24"/>
        </w:rPr>
        <w:t xml:space="preserve">Se validó la aplicación con las participantes y se realizaron los ajustes necesarios. </w:t>
      </w:r>
    </w:p>
    <w:p w:rsidR="00DA252E" w:rsidRPr="000F0D20" w:rsidRDefault="00DA252E" w:rsidP="000F0D20">
      <w:pPr>
        <w:pStyle w:val="Prrafodelista"/>
        <w:numPr>
          <w:ilvl w:val="0"/>
          <w:numId w:val="3"/>
        </w:numPr>
        <w:spacing w:after="0" w:line="240" w:lineRule="auto"/>
        <w:ind w:left="709" w:hanging="283"/>
        <w:jc w:val="both"/>
        <w:rPr>
          <w:rFonts w:ascii="Verdana" w:hAnsi="Verdana"/>
          <w:i/>
          <w:sz w:val="24"/>
          <w:szCs w:val="24"/>
        </w:rPr>
      </w:pPr>
      <w:r w:rsidRPr="000F0D20">
        <w:rPr>
          <w:rFonts w:ascii="Verdana" w:hAnsi="Verdana"/>
          <w:i/>
          <w:sz w:val="24"/>
          <w:szCs w:val="24"/>
        </w:rPr>
        <w:t xml:space="preserve">Se diseñó la estrategia para orientarla como un nuevo programa en el  2015. </w:t>
      </w:r>
    </w:p>
    <w:p w:rsidR="00DA252E" w:rsidRDefault="00DA252E" w:rsidP="00DA252E">
      <w:pPr>
        <w:spacing w:after="0" w:line="240" w:lineRule="auto"/>
        <w:rPr>
          <w:rFonts w:ascii="Verdana" w:hAnsi="Verdana"/>
          <w:b/>
          <w:sz w:val="24"/>
          <w:szCs w:val="24"/>
        </w:rPr>
      </w:pPr>
    </w:p>
    <w:p w:rsidR="00DA252E" w:rsidRDefault="00DA252E" w:rsidP="00DA252E">
      <w:pPr>
        <w:spacing w:after="0" w:line="240" w:lineRule="auto"/>
        <w:rPr>
          <w:rFonts w:ascii="Verdana" w:hAnsi="Verdana"/>
          <w:b/>
          <w:color w:val="548DD4" w:themeColor="text2" w:themeTint="99"/>
          <w:sz w:val="24"/>
          <w:szCs w:val="24"/>
        </w:rPr>
      </w:pPr>
      <w:r w:rsidRPr="001E3B7C">
        <w:rPr>
          <w:rFonts w:ascii="Verdana" w:hAnsi="Verdana"/>
          <w:b/>
          <w:color w:val="548DD4" w:themeColor="text2" w:themeTint="99"/>
          <w:sz w:val="24"/>
          <w:szCs w:val="24"/>
        </w:rPr>
        <w:lastRenderedPageBreak/>
        <w:t xml:space="preserve">Retos 2015 </w:t>
      </w:r>
    </w:p>
    <w:p w:rsidR="00DA252E" w:rsidRPr="001E3B7C" w:rsidRDefault="00DA252E" w:rsidP="00DA252E">
      <w:pPr>
        <w:spacing w:after="0" w:line="240" w:lineRule="auto"/>
        <w:rPr>
          <w:rFonts w:ascii="Verdana" w:hAnsi="Verdana"/>
          <w:b/>
          <w:color w:val="548DD4" w:themeColor="text2" w:themeTint="99"/>
          <w:sz w:val="24"/>
          <w:szCs w:val="24"/>
        </w:rPr>
      </w:pPr>
    </w:p>
    <w:p w:rsidR="00DA252E" w:rsidRDefault="00DA252E" w:rsidP="000F0D20">
      <w:pPr>
        <w:pStyle w:val="Prrafodelista"/>
        <w:numPr>
          <w:ilvl w:val="0"/>
          <w:numId w:val="3"/>
        </w:numPr>
        <w:spacing w:after="0" w:line="240" w:lineRule="auto"/>
        <w:ind w:left="709" w:hanging="283"/>
        <w:jc w:val="both"/>
        <w:rPr>
          <w:rFonts w:ascii="Verdana" w:hAnsi="Verdana"/>
          <w:i/>
          <w:sz w:val="24"/>
          <w:szCs w:val="24"/>
        </w:rPr>
      </w:pPr>
      <w:r>
        <w:rPr>
          <w:rFonts w:ascii="Verdana" w:hAnsi="Verdana"/>
          <w:i/>
          <w:sz w:val="24"/>
          <w:szCs w:val="24"/>
        </w:rPr>
        <w:t xml:space="preserve">Lograr una articulación entre las Direcciones Misionales del DPS para una óptima implementación del programa. </w:t>
      </w:r>
    </w:p>
    <w:p w:rsidR="00DA252E" w:rsidRDefault="00DA252E" w:rsidP="000F0D20">
      <w:pPr>
        <w:pStyle w:val="Prrafodelista"/>
        <w:numPr>
          <w:ilvl w:val="0"/>
          <w:numId w:val="3"/>
        </w:numPr>
        <w:spacing w:after="0" w:line="240" w:lineRule="auto"/>
        <w:ind w:left="709" w:hanging="283"/>
        <w:jc w:val="both"/>
        <w:rPr>
          <w:rFonts w:ascii="Verdana" w:hAnsi="Verdana"/>
          <w:i/>
          <w:sz w:val="24"/>
          <w:szCs w:val="24"/>
        </w:rPr>
      </w:pPr>
      <w:r>
        <w:rPr>
          <w:rFonts w:ascii="Verdana" w:hAnsi="Verdana"/>
          <w:i/>
          <w:sz w:val="24"/>
          <w:szCs w:val="24"/>
        </w:rPr>
        <w:t xml:space="preserve">Llegar a 100.000 participantes de Más Familias en Acción con educación financiera. </w:t>
      </w:r>
    </w:p>
    <w:p w:rsidR="000F0D20" w:rsidRDefault="000F0D20" w:rsidP="000F0D20">
      <w:pPr>
        <w:pStyle w:val="Ttulo2"/>
        <w:spacing w:before="0" w:after="0" w:line="240" w:lineRule="auto"/>
        <w:rPr>
          <w:rFonts w:ascii="Verdana" w:eastAsiaTheme="minorHAnsi" w:hAnsi="Verdana" w:cstheme="minorBidi"/>
          <w:b w:val="0"/>
          <w:bCs w:val="0"/>
          <w:iCs w:val="0"/>
          <w:sz w:val="24"/>
          <w:szCs w:val="24"/>
        </w:rPr>
      </w:pPr>
      <w:bookmarkStart w:id="42" w:name="_Toc410376789"/>
    </w:p>
    <w:p w:rsidR="00DA252E" w:rsidRPr="0091035C" w:rsidRDefault="00DA252E" w:rsidP="000F0D20">
      <w:pPr>
        <w:pStyle w:val="Ttulo2"/>
        <w:spacing w:before="0" w:after="0" w:line="240" w:lineRule="auto"/>
        <w:rPr>
          <w:rFonts w:ascii="Verdana" w:hAnsi="Verdana"/>
          <w:bCs w:val="0"/>
          <w:i w:val="0"/>
          <w:iCs w:val="0"/>
          <w:color w:val="548DD4" w:themeColor="text2" w:themeTint="99"/>
          <w:sz w:val="24"/>
        </w:rPr>
      </w:pPr>
      <w:r w:rsidRPr="0091035C">
        <w:rPr>
          <w:rFonts w:ascii="Verdana" w:hAnsi="Verdana"/>
          <w:bCs w:val="0"/>
          <w:i w:val="0"/>
          <w:iCs w:val="0"/>
          <w:color w:val="548DD4" w:themeColor="text2" w:themeTint="99"/>
          <w:sz w:val="24"/>
        </w:rPr>
        <w:t>INTERVENCIONES ESPECIALES</w:t>
      </w:r>
      <w:bookmarkEnd w:id="42"/>
    </w:p>
    <w:p w:rsidR="00DA252E" w:rsidRDefault="00DA252E" w:rsidP="00DA252E">
      <w:bookmarkStart w:id="43" w:name="_Toc410111293"/>
    </w:p>
    <w:p w:rsidR="00DA252E" w:rsidRPr="00334E15" w:rsidRDefault="00DA252E" w:rsidP="00DA252E">
      <w:pPr>
        <w:pStyle w:val="Ttulo3"/>
        <w:spacing w:before="0" w:after="0" w:line="240" w:lineRule="auto"/>
        <w:rPr>
          <w:rFonts w:ascii="Verdana" w:hAnsi="Verdana"/>
          <w:color w:val="548DD4" w:themeColor="text2" w:themeTint="99"/>
          <w:sz w:val="24"/>
          <w:szCs w:val="24"/>
          <w:u w:val="single"/>
        </w:rPr>
      </w:pPr>
      <w:bookmarkStart w:id="44" w:name="_Toc410376790"/>
      <w:r w:rsidRPr="00334E15">
        <w:rPr>
          <w:rFonts w:ascii="Verdana" w:hAnsi="Verdana"/>
          <w:color w:val="548DD4" w:themeColor="text2" w:themeTint="99"/>
          <w:sz w:val="24"/>
          <w:szCs w:val="24"/>
          <w:u w:val="single"/>
        </w:rPr>
        <w:t xml:space="preserve"> IRACA</w:t>
      </w:r>
      <w:bookmarkEnd w:id="43"/>
      <w:bookmarkEnd w:id="44"/>
    </w:p>
    <w:p w:rsidR="00DA252E" w:rsidRPr="00E040B8" w:rsidRDefault="00DA252E" w:rsidP="00DA252E">
      <w:pPr>
        <w:spacing w:after="0" w:line="240" w:lineRule="auto"/>
      </w:pPr>
    </w:p>
    <w:p w:rsidR="00DA252E" w:rsidRPr="00E040B8" w:rsidRDefault="00DA252E" w:rsidP="00DA252E">
      <w:pPr>
        <w:spacing w:after="0" w:line="240" w:lineRule="auto"/>
        <w:jc w:val="both"/>
        <w:rPr>
          <w:rFonts w:ascii="Verdana" w:hAnsi="Verdana"/>
          <w:b/>
          <w:color w:val="548DD4" w:themeColor="text2" w:themeTint="99"/>
          <w:sz w:val="24"/>
          <w:szCs w:val="24"/>
        </w:rPr>
      </w:pPr>
      <w:bookmarkStart w:id="45" w:name="_Toc410035279"/>
      <w:r w:rsidRPr="00E040B8">
        <w:rPr>
          <w:rFonts w:ascii="Verdana" w:hAnsi="Verdana"/>
          <w:b/>
          <w:color w:val="548DD4" w:themeColor="text2" w:themeTint="99"/>
          <w:sz w:val="24"/>
          <w:szCs w:val="24"/>
        </w:rPr>
        <w:t>Objetivo</w:t>
      </w:r>
    </w:p>
    <w:p w:rsidR="00DA252E" w:rsidRPr="00FB7E69" w:rsidRDefault="00DA252E" w:rsidP="00DA252E">
      <w:pPr>
        <w:spacing w:after="0" w:line="240" w:lineRule="auto"/>
        <w:jc w:val="both"/>
        <w:rPr>
          <w:rFonts w:ascii="Verdana" w:hAnsi="Verdana"/>
          <w:b/>
          <w:sz w:val="24"/>
          <w:szCs w:val="24"/>
        </w:rPr>
      </w:pPr>
    </w:p>
    <w:p w:rsidR="00DA252E" w:rsidRPr="00FB7E69" w:rsidRDefault="00DA252E" w:rsidP="00DA252E">
      <w:pPr>
        <w:pStyle w:val="Prrafodelista"/>
        <w:spacing w:after="0" w:line="240" w:lineRule="auto"/>
        <w:ind w:left="0"/>
        <w:jc w:val="both"/>
        <w:rPr>
          <w:rFonts w:ascii="Verdana" w:hAnsi="Verdana"/>
          <w:sz w:val="24"/>
          <w:szCs w:val="24"/>
        </w:rPr>
      </w:pPr>
      <w:r w:rsidRPr="00FB7E69">
        <w:rPr>
          <w:rFonts w:ascii="Verdana" w:hAnsi="Verdana"/>
          <w:sz w:val="24"/>
          <w:szCs w:val="24"/>
        </w:rPr>
        <w:t>En materia de Enfoque Diferencial Étnico el DPS cuenta con el compon</w:t>
      </w:r>
      <w:r>
        <w:rPr>
          <w:rFonts w:ascii="Verdana" w:hAnsi="Verdana"/>
          <w:sz w:val="24"/>
          <w:szCs w:val="24"/>
        </w:rPr>
        <w:t>ente IRACA, a través del cual se r</w:t>
      </w:r>
      <w:r w:rsidRPr="00FB7E69">
        <w:rPr>
          <w:rFonts w:ascii="Verdana" w:hAnsi="Verdana"/>
          <w:sz w:val="24"/>
          <w:szCs w:val="24"/>
        </w:rPr>
        <w:t>ealiza una intervención integral con enfoque diferencial a través de proyectos de seguridad alimentaria y de generación de ingresos, a través de un acompañamiento social y técnico que permita empoderar a las comunidades en su propio desarrollo.</w:t>
      </w:r>
    </w:p>
    <w:p w:rsidR="00DA252E" w:rsidRDefault="00DA252E" w:rsidP="00DA252E">
      <w:pPr>
        <w:spacing w:after="0" w:line="240" w:lineRule="auto"/>
        <w:jc w:val="both"/>
        <w:rPr>
          <w:rFonts w:ascii="Verdana" w:hAnsi="Verdana"/>
          <w:b/>
          <w:color w:val="548DD4" w:themeColor="text2" w:themeTint="99"/>
          <w:sz w:val="24"/>
          <w:szCs w:val="24"/>
        </w:rPr>
      </w:pPr>
    </w:p>
    <w:p w:rsidR="00DA252E" w:rsidRPr="00E040B8" w:rsidRDefault="00DA252E" w:rsidP="00DA252E">
      <w:pPr>
        <w:spacing w:after="0" w:line="240" w:lineRule="auto"/>
        <w:jc w:val="both"/>
        <w:rPr>
          <w:rFonts w:ascii="Verdana" w:hAnsi="Verdana"/>
          <w:b/>
          <w:color w:val="548DD4" w:themeColor="text2" w:themeTint="99"/>
          <w:sz w:val="24"/>
          <w:szCs w:val="24"/>
        </w:rPr>
      </w:pPr>
      <w:r w:rsidRPr="00E040B8">
        <w:rPr>
          <w:rFonts w:ascii="Verdana" w:hAnsi="Verdana"/>
          <w:b/>
          <w:color w:val="548DD4" w:themeColor="text2" w:themeTint="99"/>
          <w:sz w:val="24"/>
          <w:szCs w:val="24"/>
        </w:rPr>
        <w:t>Líneas de Acción</w:t>
      </w:r>
    </w:p>
    <w:p w:rsidR="00DA252E" w:rsidRDefault="00DA252E" w:rsidP="00DA252E">
      <w:pPr>
        <w:pStyle w:val="Prrafodelista"/>
        <w:widowControl w:val="0"/>
        <w:spacing w:after="0" w:line="240" w:lineRule="auto"/>
        <w:ind w:left="0"/>
        <w:jc w:val="both"/>
        <w:rPr>
          <w:rFonts w:ascii="Verdana" w:hAnsi="Verdana" w:cs="Calibri"/>
          <w:sz w:val="20"/>
          <w:szCs w:val="20"/>
        </w:rPr>
      </w:pPr>
    </w:p>
    <w:p w:rsidR="00DA252E" w:rsidRPr="000F0D20" w:rsidRDefault="00DA252E" w:rsidP="00FF784D">
      <w:pPr>
        <w:pStyle w:val="Prrafodelista"/>
        <w:widowControl w:val="0"/>
        <w:numPr>
          <w:ilvl w:val="0"/>
          <w:numId w:val="32"/>
        </w:numPr>
        <w:spacing w:after="0" w:line="240" w:lineRule="auto"/>
        <w:ind w:left="709" w:hanging="283"/>
        <w:jc w:val="both"/>
        <w:rPr>
          <w:rFonts w:ascii="Verdana" w:hAnsi="Verdana" w:cs="Calibri"/>
          <w:sz w:val="24"/>
          <w:szCs w:val="24"/>
        </w:rPr>
      </w:pPr>
      <w:r w:rsidRPr="000F0D20">
        <w:rPr>
          <w:rFonts w:ascii="Verdana" w:hAnsi="Verdana" w:cs="Calibri"/>
          <w:sz w:val="24"/>
          <w:szCs w:val="24"/>
        </w:rPr>
        <w:t>Seguridad alimentaria.</w:t>
      </w:r>
    </w:p>
    <w:p w:rsidR="00DA252E" w:rsidRPr="000F0D20" w:rsidRDefault="00DA252E" w:rsidP="00FF784D">
      <w:pPr>
        <w:pStyle w:val="Prrafodelista"/>
        <w:widowControl w:val="0"/>
        <w:numPr>
          <w:ilvl w:val="0"/>
          <w:numId w:val="32"/>
        </w:numPr>
        <w:spacing w:after="0" w:line="240" w:lineRule="auto"/>
        <w:ind w:left="709" w:hanging="283"/>
        <w:jc w:val="both"/>
        <w:rPr>
          <w:rFonts w:ascii="Verdana" w:hAnsi="Verdana" w:cs="Calibri"/>
          <w:sz w:val="24"/>
          <w:szCs w:val="24"/>
        </w:rPr>
      </w:pPr>
      <w:r w:rsidRPr="000F0D20">
        <w:rPr>
          <w:rFonts w:ascii="Verdana" w:hAnsi="Verdana" w:cs="Calibri"/>
          <w:sz w:val="24"/>
          <w:szCs w:val="24"/>
        </w:rPr>
        <w:t>Fomento a las prácticas productivas tradicionales.</w:t>
      </w:r>
    </w:p>
    <w:p w:rsidR="00DA252E" w:rsidRPr="000F0D20" w:rsidRDefault="00DA252E" w:rsidP="00FF784D">
      <w:pPr>
        <w:pStyle w:val="Prrafodelista"/>
        <w:widowControl w:val="0"/>
        <w:numPr>
          <w:ilvl w:val="0"/>
          <w:numId w:val="32"/>
        </w:numPr>
        <w:spacing w:after="0" w:line="240" w:lineRule="auto"/>
        <w:ind w:left="709" w:hanging="283"/>
        <w:jc w:val="both"/>
        <w:rPr>
          <w:rFonts w:ascii="Verdana" w:hAnsi="Verdana" w:cs="Calibri"/>
          <w:sz w:val="24"/>
          <w:szCs w:val="24"/>
        </w:rPr>
      </w:pPr>
      <w:r w:rsidRPr="000F0D20">
        <w:rPr>
          <w:rFonts w:ascii="Verdana" w:hAnsi="Verdana" w:cs="Calibri"/>
          <w:sz w:val="24"/>
          <w:szCs w:val="24"/>
        </w:rPr>
        <w:t>Fortalecimiento social y organizacional.</w:t>
      </w:r>
    </w:p>
    <w:p w:rsidR="00DA252E" w:rsidRPr="000F0D20" w:rsidRDefault="00DA252E" w:rsidP="00FF784D">
      <w:pPr>
        <w:pStyle w:val="Prrafodelista"/>
        <w:widowControl w:val="0"/>
        <w:numPr>
          <w:ilvl w:val="0"/>
          <w:numId w:val="32"/>
        </w:numPr>
        <w:spacing w:after="0" w:line="240" w:lineRule="auto"/>
        <w:ind w:left="709" w:hanging="283"/>
        <w:jc w:val="both"/>
        <w:rPr>
          <w:rFonts w:ascii="Verdana" w:hAnsi="Verdana" w:cs="Calibri"/>
          <w:sz w:val="24"/>
          <w:szCs w:val="24"/>
        </w:rPr>
      </w:pPr>
      <w:r w:rsidRPr="000F0D20">
        <w:rPr>
          <w:rFonts w:ascii="Verdana" w:hAnsi="Verdana" w:cs="Calibri"/>
          <w:sz w:val="24"/>
          <w:szCs w:val="24"/>
        </w:rPr>
        <w:t>Gestión para la sustentabilidad.</w:t>
      </w:r>
    </w:p>
    <w:p w:rsidR="00DA252E" w:rsidRPr="00FB7E69" w:rsidRDefault="00DA252E" w:rsidP="00DA252E">
      <w:pPr>
        <w:spacing w:after="0" w:line="240" w:lineRule="auto"/>
        <w:jc w:val="both"/>
        <w:rPr>
          <w:rFonts w:ascii="Verdana" w:hAnsi="Verdana"/>
          <w:sz w:val="24"/>
          <w:szCs w:val="24"/>
        </w:rPr>
      </w:pPr>
    </w:p>
    <w:p w:rsidR="00DA252E" w:rsidRDefault="00DA252E" w:rsidP="00DA252E">
      <w:pPr>
        <w:spacing w:after="0" w:line="240" w:lineRule="auto"/>
        <w:jc w:val="both"/>
        <w:rPr>
          <w:rFonts w:ascii="Verdana" w:hAnsi="Verdana"/>
          <w:b/>
          <w:color w:val="548DD4" w:themeColor="text2" w:themeTint="99"/>
          <w:sz w:val="24"/>
          <w:szCs w:val="24"/>
        </w:rPr>
      </w:pPr>
      <w:r w:rsidRPr="00E040B8">
        <w:rPr>
          <w:rFonts w:ascii="Verdana" w:hAnsi="Verdana"/>
          <w:b/>
          <w:color w:val="548DD4" w:themeColor="text2" w:themeTint="99"/>
          <w:sz w:val="24"/>
          <w:szCs w:val="24"/>
        </w:rPr>
        <w:t>Cumplimiento Metas</w:t>
      </w:r>
    </w:p>
    <w:p w:rsidR="00DA252E" w:rsidRDefault="00DA252E" w:rsidP="00DA252E">
      <w:pPr>
        <w:spacing w:after="0" w:line="240" w:lineRule="auto"/>
        <w:jc w:val="both"/>
        <w:rPr>
          <w:rFonts w:ascii="Verdana" w:hAnsi="Verdana"/>
          <w:b/>
          <w:color w:val="548DD4" w:themeColor="text2" w:themeTint="99"/>
          <w:sz w:val="24"/>
          <w:szCs w:val="24"/>
        </w:rPr>
      </w:pPr>
    </w:p>
    <w:p w:rsidR="00DA252E" w:rsidRPr="00E72E21" w:rsidRDefault="00DA252E" w:rsidP="00DA252E">
      <w:pPr>
        <w:spacing w:after="0" w:line="240" w:lineRule="auto"/>
        <w:jc w:val="both"/>
        <w:rPr>
          <w:rFonts w:ascii="Verdana" w:hAnsi="Verdana"/>
          <w:sz w:val="24"/>
          <w:szCs w:val="24"/>
        </w:rPr>
      </w:pPr>
      <w:r w:rsidRPr="00E72E21">
        <w:rPr>
          <w:rFonts w:ascii="Verdana" w:hAnsi="Verdana"/>
          <w:sz w:val="24"/>
          <w:szCs w:val="24"/>
        </w:rPr>
        <w:t>Meta 2014: 10.000 Hogares</w:t>
      </w:r>
      <w:r>
        <w:rPr>
          <w:rStyle w:val="Refdenotaalpie"/>
          <w:rFonts w:ascii="Verdana" w:hAnsi="Verdana"/>
          <w:sz w:val="24"/>
          <w:szCs w:val="24"/>
        </w:rPr>
        <w:footnoteReference w:id="1"/>
      </w:r>
    </w:p>
    <w:p w:rsidR="00DA252E" w:rsidRPr="00E72E21" w:rsidRDefault="00DA252E" w:rsidP="00DA252E">
      <w:pPr>
        <w:spacing w:after="0" w:line="240" w:lineRule="auto"/>
        <w:jc w:val="both"/>
        <w:rPr>
          <w:rFonts w:ascii="Verdana" w:hAnsi="Verdana"/>
          <w:sz w:val="24"/>
          <w:szCs w:val="24"/>
        </w:rPr>
      </w:pPr>
      <w:r w:rsidRPr="00E72E21">
        <w:rPr>
          <w:rFonts w:ascii="Verdana" w:hAnsi="Verdana"/>
          <w:sz w:val="24"/>
          <w:szCs w:val="24"/>
        </w:rPr>
        <w:t>Avance Meta: 10.000 Hogares</w:t>
      </w:r>
    </w:p>
    <w:p w:rsidR="00DA252E" w:rsidRDefault="00DA252E" w:rsidP="00DA252E">
      <w:pPr>
        <w:spacing w:after="0" w:line="240" w:lineRule="auto"/>
        <w:jc w:val="both"/>
        <w:rPr>
          <w:rFonts w:ascii="Verdana" w:hAnsi="Verdana"/>
          <w:b/>
          <w:sz w:val="24"/>
          <w:szCs w:val="24"/>
        </w:rPr>
      </w:pPr>
    </w:p>
    <w:p w:rsidR="00DA252E" w:rsidRDefault="00DA252E" w:rsidP="00DA252E">
      <w:pPr>
        <w:spacing w:after="0" w:line="240" w:lineRule="auto"/>
        <w:jc w:val="both"/>
        <w:rPr>
          <w:rFonts w:ascii="Verdana" w:hAnsi="Verdana"/>
          <w:sz w:val="24"/>
          <w:szCs w:val="24"/>
        </w:rPr>
      </w:pPr>
      <w:r>
        <w:rPr>
          <w:rFonts w:ascii="Verdana" w:hAnsi="Verdana"/>
          <w:sz w:val="24"/>
          <w:szCs w:val="24"/>
        </w:rPr>
        <w:t>E</w:t>
      </w:r>
      <w:r w:rsidRPr="004C6F8C">
        <w:rPr>
          <w:rFonts w:ascii="Verdana" w:hAnsi="Verdana"/>
          <w:sz w:val="24"/>
          <w:szCs w:val="24"/>
        </w:rPr>
        <w:t xml:space="preserve">l componente de Enfoque Diferencial Étnico – IRACA </w:t>
      </w:r>
      <w:r>
        <w:rPr>
          <w:rFonts w:ascii="Verdana" w:hAnsi="Verdana"/>
          <w:sz w:val="24"/>
          <w:szCs w:val="24"/>
        </w:rPr>
        <w:t>continuó</w:t>
      </w:r>
      <w:r w:rsidRPr="004C6F8C">
        <w:rPr>
          <w:rFonts w:ascii="Verdana" w:hAnsi="Verdana"/>
          <w:sz w:val="24"/>
          <w:szCs w:val="24"/>
        </w:rPr>
        <w:t xml:space="preserve"> </w:t>
      </w:r>
      <w:r>
        <w:rPr>
          <w:rFonts w:ascii="Verdana" w:hAnsi="Verdana"/>
          <w:sz w:val="24"/>
          <w:szCs w:val="24"/>
        </w:rPr>
        <w:t>la atención de 10.000 familias.</w:t>
      </w:r>
    </w:p>
    <w:p w:rsidR="00DA252E" w:rsidRDefault="00DA252E" w:rsidP="00DA252E">
      <w:pPr>
        <w:spacing w:after="0" w:line="240" w:lineRule="auto"/>
        <w:jc w:val="both"/>
        <w:rPr>
          <w:rFonts w:ascii="Verdana" w:hAnsi="Verdana"/>
          <w:sz w:val="24"/>
          <w:szCs w:val="24"/>
        </w:rPr>
      </w:pPr>
    </w:p>
    <w:p w:rsidR="00DA252E" w:rsidRDefault="00DA252E" w:rsidP="00DA252E">
      <w:pPr>
        <w:spacing w:after="0" w:line="240" w:lineRule="auto"/>
        <w:jc w:val="both"/>
        <w:rPr>
          <w:rFonts w:ascii="Verdana" w:hAnsi="Verdana"/>
          <w:b/>
          <w:color w:val="548DD4" w:themeColor="text2" w:themeTint="99"/>
          <w:sz w:val="24"/>
          <w:szCs w:val="24"/>
        </w:rPr>
      </w:pPr>
      <w:r w:rsidRPr="00E040B8">
        <w:rPr>
          <w:rFonts w:ascii="Verdana" w:hAnsi="Verdana"/>
          <w:b/>
          <w:color w:val="548DD4" w:themeColor="text2" w:themeTint="99"/>
          <w:sz w:val="24"/>
          <w:szCs w:val="24"/>
        </w:rPr>
        <w:t xml:space="preserve">Logros </w:t>
      </w:r>
    </w:p>
    <w:p w:rsidR="00DA252E" w:rsidRPr="00E040B8" w:rsidRDefault="00DA252E" w:rsidP="00DA252E">
      <w:pPr>
        <w:spacing w:after="0" w:line="240" w:lineRule="auto"/>
        <w:jc w:val="both"/>
        <w:rPr>
          <w:rFonts w:ascii="Verdana" w:hAnsi="Verdana"/>
          <w:b/>
          <w:color w:val="548DD4" w:themeColor="text2" w:themeTint="99"/>
          <w:sz w:val="24"/>
          <w:szCs w:val="24"/>
        </w:rPr>
      </w:pPr>
    </w:p>
    <w:p w:rsidR="00DA252E" w:rsidRPr="000F0D20" w:rsidRDefault="00DA252E" w:rsidP="00FF784D">
      <w:pPr>
        <w:pStyle w:val="Prrafodelista"/>
        <w:widowControl w:val="0"/>
        <w:numPr>
          <w:ilvl w:val="0"/>
          <w:numId w:val="32"/>
        </w:numPr>
        <w:spacing w:after="0" w:line="240" w:lineRule="auto"/>
        <w:ind w:left="709" w:hanging="283"/>
        <w:jc w:val="both"/>
        <w:rPr>
          <w:rFonts w:ascii="Verdana" w:hAnsi="Verdana"/>
          <w:i/>
          <w:sz w:val="24"/>
          <w:szCs w:val="24"/>
        </w:rPr>
      </w:pPr>
      <w:r>
        <w:rPr>
          <w:rFonts w:ascii="Verdana" w:hAnsi="Verdana"/>
          <w:i/>
          <w:sz w:val="24"/>
          <w:szCs w:val="24"/>
        </w:rPr>
        <w:lastRenderedPageBreak/>
        <w:t>E</w:t>
      </w:r>
      <w:r w:rsidRPr="00FA5B5F">
        <w:rPr>
          <w:rFonts w:ascii="Verdana" w:hAnsi="Verdana"/>
          <w:i/>
          <w:sz w:val="24"/>
          <w:szCs w:val="24"/>
        </w:rPr>
        <w:t xml:space="preserve">n materia de Enfoque Diferencial Étnico, con el componente IRACA, se ha logrado </w:t>
      </w:r>
      <w:r w:rsidRPr="000F0D20">
        <w:rPr>
          <w:rFonts w:ascii="Verdana" w:hAnsi="Verdana"/>
          <w:i/>
          <w:sz w:val="24"/>
          <w:szCs w:val="24"/>
        </w:rPr>
        <w:t xml:space="preserve">recuperar la tradición agraria de los pueblos </w:t>
      </w:r>
      <w:r w:rsidRPr="00FA5B5F">
        <w:rPr>
          <w:rFonts w:ascii="Verdana" w:hAnsi="Verdana"/>
          <w:i/>
          <w:sz w:val="24"/>
          <w:szCs w:val="24"/>
        </w:rPr>
        <w:t>y apoyar sus iniciativas productivas y de generación de excedentes, e</w:t>
      </w:r>
      <w:r w:rsidRPr="000F0D20">
        <w:rPr>
          <w:rFonts w:ascii="Verdana" w:hAnsi="Verdana"/>
          <w:i/>
          <w:sz w:val="24"/>
          <w:szCs w:val="24"/>
        </w:rPr>
        <w:t>quilibrando las oportunidades para la participación de los pueblos en los distintos mercados con productos tradicionales y nuevos.  En este mismo sentido, durante 2014 se ha fortalecido, la dimensión socioeconómica de los planes de vida creando rutas para la gestión territorial y la sustentabilidad de las comunidades de manera asociativa. L</w:t>
      </w:r>
      <w:r w:rsidRPr="00FA5B5F">
        <w:rPr>
          <w:rFonts w:ascii="Verdana" w:hAnsi="Verdana"/>
          <w:i/>
          <w:sz w:val="24"/>
          <w:szCs w:val="24"/>
        </w:rPr>
        <w:t>as comunidades lograron identificar problemáticas compartidas e implementar conjuntamente actividades de relacionamiento estratégico con actores públicos y privados presentes en la zona para su solución.</w:t>
      </w:r>
    </w:p>
    <w:p w:rsidR="00DA252E" w:rsidRDefault="00DA252E" w:rsidP="00DA252E">
      <w:bookmarkStart w:id="46" w:name="_Toc410111294"/>
    </w:p>
    <w:p w:rsidR="00DA252E" w:rsidRPr="00334E15" w:rsidRDefault="00DA252E" w:rsidP="00DA252E">
      <w:pPr>
        <w:pStyle w:val="Ttulo3"/>
        <w:spacing w:before="0" w:after="0" w:line="240" w:lineRule="auto"/>
        <w:rPr>
          <w:rFonts w:ascii="Verdana" w:hAnsi="Verdana"/>
          <w:color w:val="548DD4" w:themeColor="text2" w:themeTint="99"/>
          <w:sz w:val="24"/>
          <w:szCs w:val="24"/>
          <w:u w:val="single"/>
        </w:rPr>
      </w:pPr>
      <w:bookmarkStart w:id="47" w:name="_Toc410376791"/>
      <w:r w:rsidRPr="00334E15">
        <w:rPr>
          <w:rFonts w:ascii="Verdana" w:hAnsi="Verdana"/>
          <w:color w:val="548DD4" w:themeColor="text2" w:themeTint="99"/>
          <w:sz w:val="24"/>
          <w:szCs w:val="24"/>
          <w:u w:val="single"/>
        </w:rPr>
        <w:t>PAZ, DESARROLLO Y ESTABILIZACIÓN</w:t>
      </w:r>
      <w:bookmarkEnd w:id="45"/>
      <w:bookmarkEnd w:id="46"/>
      <w:bookmarkEnd w:id="47"/>
    </w:p>
    <w:p w:rsidR="00DA252E" w:rsidRPr="00F71B84" w:rsidRDefault="00DA252E" w:rsidP="00DA252E">
      <w:pPr>
        <w:spacing w:after="0" w:line="240" w:lineRule="auto"/>
        <w:jc w:val="both"/>
        <w:rPr>
          <w:rFonts w:ascii="Verdana" w:hAnsi="Verdana"/>
          <w:i/>
          <w:sz w:val="24"/>
          <w:szCs w:val="24"/>
        </w:rPr>
      </w:pPr>
    </w:p>
    <w:p w:rsidR="00DA252E" w:rsidRPr="00B33920" w:rsidRDefault="00DA252E" w:rsidP="00DA252E">
      <w:pPr>
        <w:spacing w:after="0" w:line="240" w:lineRule="auto"/>
        <w:jc w:val="both"/>
        <w:rPr>
          <w:rFonts w:ascii="Verdana" w:hAnsi="Verdana"/>
          <w:b/>
          <w:color w:val="548DD4" w:themeColor="text2" w:themeTint="99"/>
          <w:sz w:val="24"/>
          <w:szCs w:val="24"/>
        </w:rPr>
      </w:pPr>
      <w:r w:rsidRPr="00B33920">
        <w:rPr>
          <w:rFonts w:ascii="Verdana" w:hAnsi="Verdana"/>
          <w:b/>
          <w:color w:val="548DD4" w:themeColor="text2" w:themeTint="99"/>
          <w:sz w:val="24"/>
          <w:szCs w:val="24"/>
        </w:rPr>
        <w:t>Objetivo</w:t>
      </w:r>
    </w:p>
    <w:p w:rsidR="00DA252E" w:rsidRPr="00F71B84" w:rsidRDefault="00DA252E" w:rsidP="00DA252E">
      <w:pPr>
        <w:spacing w:after="0" w:line="240" w:lineRule="auto"/>
        <w:jc w:val="both"/>
        <w:rPr>
          <w:rFonts w:ascii="Verdana" w:hAnsi="Verdana"/>
          <w:sz w:val="24"/>
          <w:szCs w:val="24"/>
        </w:rPr>
      </w:pPr>
    </w:p>
    <w:p w:rsidR="00DA252E" w:rsidRPr="00F71B84" w:rsidRDefault="00DA252E" w:rsidP="00DA252E">
      <w:pPr>
        <w:spacing w:after="0" w:line="240" w:lineRule="auto"/>
        <w:jc w:val="both"/>
        <w:rPr>
          <w:rFonts w:ascii="Verdana" w:hAnsi="Verdana"/>
          <w:i/>
          <w:sz w:val="24"/>
          <w:szCs w:val="24"/>
        </w:rPr>
      </w:pPr>
      <w:r w:rsidRPr="00F71B84">
        <w:rPr>
          <w:rFonts w:ascii="Verdana" w:hAnsi="Verdana"/>
          <w:sz w:val="24"/>
          <w:szCs w:val="24"/>
        </w:rPr>
        <w:t xml:space="preserve">Apoya iniciativas regionales en temas de paz y desarrollo, lideradas por organizaciones de la sociedad civil presentes en zonas de conflicto; las cuales contribuyen a la generación de condiciones en los territorios como la cultura de paz, la participación ciudadana, la estabilidad territorial y oportunidades equitativas de desarrollo para todos los ciudadanos; esto mediante la consolidación de relaciones de confianza entre la institucionalidad pública y la sociedad civil y con el propósito de identificar insumos regionales para la formulación y ejecución de políticas públicas para la reconciliación y el post conflicto. </w:t>
      </w:r>
    </w:p>
    <w:p w:rsidR="00DA252E" w:rsidRDefault="00DA252E" w:rsidP="00DA252E">
      <w:pPr>
        <w:spacing w:after="0" w:line="240" w:lineRule="auto"/>
        <w:jc w:val="both"/>
        <w:rPr>
          <w:rFonts w:ascii="Verdana" w:hAnsi="Verdana"/>
          <w:b/>
          <w:color w:val="548DD4" w:themeColor="text2" w:themeTint="99"/>
          <w:sz w:val="24"/>
          <w:szCs w:val="24"/>
        </w:rPr>
      </w:pPr>
    </w:p>
    <w:p w:rsidR="00DA252E" w:rsidRDefault="00DA252E" w:rsidP="00DA252E">
      <w:pPr>
        <w:spacing w:after="0" w:line="240" w:lineRule="auto"/>
        <w:jc w:val="both"/>
        <w:rPr>
          <w:rFonts w:ascii="Verdana" w:hAnsi="Verdana"/>
          <w:b/>
          <w:color w:val="548DD4" w:themeColor="text2" w:themeTint="99"/>
          <w:sz w:val="24"/>
          <w:szCs w:val="24"/>
        </w:rPr>
      </w:pPr>
      <w:r w:rsidRPr="00B33920">
        <w:rPr>
          <w:rFonts w:ascii="Verdana" w:hAnsi="Verdana"/>
          <w:b/>
          <w:color w:val="548DD4" w:themeColor="text2" w:themeTint="99"/>
          <w:sz w:val="24"/>
          <w:szCs w:val="24"/>
        </w:rPr>
        <w:t>Líneas de Acción</w:t>
      </w:r>
    </w:p>
    <w:p w:rsidR="00DA252E" w:rsidRPr="00B33920" w:rsidRDefault="00DA252E" w:rsidP="00DA252E">
      <w:pPr>
        <w:spacing w:after="0" w:line="240" w:lineRule="auto"/>
        <w:jc w:val="both"/>
        <w:rPr>
          <w:rFonts w:ascii="Verdana" w:hAnsi="Verdana"/>
          <w:b/>
          <w:color w:val="548DD4" w:themeColor="text2" w:themeTint="99"/>
          <w:sz w:val="24"/>
          <w:szCs w:val="24"/>
        </w:rPr>
      </w:pPr>
    </w:p>
    <w:p w:rsidR="00DA252E" w:rsidRPr="000F0D20" w:rsidRDefault="00DA252E" w:rsidP="00FF784D">
      <w:pPr>
        <w:pStyle w:val="Prrafodelista"/>
        <w:numPr>
          <w:ilvl w:val="0"/>
          <w:numId w:val="37"/>
        </w:numPr>
        <w:spacing w:after="0" w:line="240" w:lineRule="auto"/>
        <w:ind w:left="709" w:hanging="283"/>
        <w:jc w:val="both"/>
        <w:rPr>
          <w:rFonts w:ascii="Verdana" w:hAnsi="Verdana"/>
          <w:sz w:val="24"/>
          <w:szCs w:val="24"/>
        </w:rPr>
      </w:pPr>
      <w:r w:rsidRPr="000F0D20">
        <w:rPr>
          <w:rFonts w:ascii="Verdana" w:hAnsi="Verdana"/>
          <w:sz w:val="24"/>
          <w:szCs w:val="24"/>
        </w:rPr>
        <w:t xml:space="preserve">Inclusión Socioeconómica y Desarrollo Sostenible: las organizaciones de sociedad civil implementan iniciativas productivas con participación de familias pertenecientes a organizaciones de base comunitaria. </w:t>
      </w:r>
    </w:p>
    <w:p w:rsidR="00DA252E" w:rsidRPr="000F0D20" w:rsidRDefault="00DA252E" w:rsidP="00FF784D">
      <w:pPr>
        <w:pStyle w:val="Prrafodelista"/>
        <w:numPr>
          <w:ilvl w:val="0"/>
          <w:numId w:val="37"/>
        </w:numPr>
        <w:spacing w:after="0" w:line="240" w:lineRule="auto"/>
        <w:ind w:left="709" w:hanging="283"/>
        <w:jc w:val="both"/>
        <w:rPr>
          <w:rFonts w:ascii="Verdana" w:hAnsi="Verdana"/>
          <w:sz w:val="24"/>
          <w:szCs w:val="24"/>
        </w:rPr>
      </w:pPr>
      <w:r w:rsidRPr="000F0D20">
        <w:rPr>
          <w:rFonts w:ascii="Verdana" w:hAnsi="Verdana"/>
          <w:sz w:val="24"/>
          <w:szCs w:val="24"/>
        </w:rPr>
        <w:t xml:space="preserve">Fortalecimiento de capacidades locales: institucionalidad pública local y organizaciones locales mejoran su capacidad de gestión a través de formación y asistencia técnica. </w:t>
      </w:r>
    </w:p>
    <w:p w:rsidR="00DA252E" w:rsidRPr="000F0D20" w:rsidRDefault="00DA252E" w:rsidP="00FF784D">
      <w:pPr>
        <w:pStyle w:val="Prrafodelista"/>
        <w:numPr>
          <w:ilvl w:val="0"/>
          <w:numId w:val="37"/>
        </w:numPr>
        <w:spacing w:after="0" w:line="240" w:lineRule="auto"/>
        <w:ind w:left="709" w:hanging="283"/>
        <w:jc w:val="both"/>
        <w:rPr>
          <w:rFonts w:ascii="Verdana" w:hAnsi="Verdana"/>
          <w:sz w:val="24"/>
          <w:szCs w:val="24"/>
        </w:rPr>
      </w:pPr>
      <w:r w:rsidRPr="000F0D20">
        <w:rPr>
          <w:rFonts w:ascii="Verdana" w:hAnsi="Verdana"/>
          <w:sz w:val="24"/>
          <w:szCs w:val="24"/>
        </w:rPr>
        <w:t>Cultura de Paz, Convivencia y Reconciliación: organizaciones y personas promueven el ejercicio y la exigibilidad de los derechos humanos y la participación ciudadana en sus territorios.</w:t>
      </w:r>
    </w:p>
    <w:p w:rsidR="00DA252E" w:rsidRPr="000F0D20" w:rsidRDefault="00DA252E" w:rsidP="00FF784D">
      <w:pPr>
        <w:pStyle w:val="Prrafodelista"/>
        <w:numPr>
          <w:ilvl w:val="0"/>
          <w:numId w:val="37"/>
        </w:numPr>
        <w:spacing w:after="0" w:line="240" w:lineRule="auto"/>
        <w:ind w:left="709" w:hanging="283"/>
        <w:jc w:val="both"/>
        <w:rPr>
          <w:rFonts w:ascii="Verdana" w:hAnsi="Verdana"/>
          <w:sz w:val="24"/>
          <w:szCs w:val="24"/>
        </w:rPr>
      </w:pPr>
      <w:r w:rsidRPr="000F0D20">
        <w:rPr>
          <w:rFonts w:ascii="Verdana" w:hAnsi="Verdana"/>
          <w:sz w:val="24"/>
          <w:szCs w:val="24"/>
        </w:rPr>
        <w:t xml:space="preserve">Ordenamiento territorial, tenencia y uso de tierras: organizaciones locales e institucionalidad local contribuyen a que las comunidades generan arraigo, </w:t>
      </w:r>
      <w:r w:rsidRPr="000F0D20">
        <w:rPr>
          <w:rFonts w:ascii="Verdana" w:hAnsi="Verdana"/>
          <w:sz w:val="24"/>
          <w:szCs w:val="24"/>
        </w:rPr>
        <w:lastRenderedPageBreak/>
        <w:t xml:space="preserve">salvaguarden su patrimonio y estén protegidos en el marco de la regulación existente sobre la ocupación de la tierra.   </w:t>
      </w:r>
    </w:p>
    <w:p w:rsidR="00DA252E" w:rsidRPr="000F0D20" w:rsidRDefault="00DA252E" w:rsidP="00FF784D">
      <w:pPr>
        <w:pStyle w:val="Prrafodelista"/>
        <w:numPr>
          <w:ilvl w:val="0"/>
          <w:numId w:val="37"/>
        </w:numPr>
        <w:spacing w:after="0" w:line="240" w:lineRule="auto"/>
        <w:ind w:left="709" w:hanging="283"/>
        <w:jc w:val="both"/>
        <w:rPr>
          <w:rFonts w:ascii="Verdana" w:hAnsi="Verdana"/>
          <w:sz w:val="24"/>
          <w:szCs w:val="24"/>
        </w:rPr>
      </w:pPr>
      <w:r w:rsidRPr="000F0D20">
        <w:rPr>
          <w:rFonts w:ascii="Verdana" w:hAnsi="Verdana"/>
          <w:sz w:val="24"/>
          <w:szCs w:val="24"/>
        </w:rPr>
        <w:t>Todas las acciones dirigidas a la población participante se entregan en especie, mediante capacitación, formación, asistencia técnica, y fortalecimiento a las organizaciones de base, en algunos casos mediante entrega de activos para su desempeño.</w:t>
      </w:r>
    </w:p>
    <w:p w:rsidR="00DA252E" w:rsidRPr="00F71B84" w:rsidRDefault="00DA252E" w:rsidP="00DA252E">
      <w:pPr>
        <w:spacing w:after="0" w:line="240" w:lineRule="auto"/>
        <w:jc w:val="both"/>
        <w:rPr>
          <w:rFonts w:ascii="Verdana" w:hAnsi="Verdana"/>
          <w:sz w:val="24"/>
          <w:szCs w:val="24"/>
        </w:rPr>
      </w:pPr>
    </w:p>
    <w:p w:rsidR="00DA252E" w:rsidRDefault="00DA252E" w:rsidP="00DA252E">
      <w:pPr>
        <w:spacing w:after="0" w:line="240" w:lineRule="auto"/>
        <w:jc w:val="both"/>
        <w:rPr>
          <w:rFonts w:ascii="Verdana" w:hAnsi="Verdana"/>
          <w:b/>
          <w:color w:val="548DD4" w:themeColor="text2" w:themeTint="99"/>
          <w:sz w:val="24"/>
          <w:szCs w:val="24"/>
        </w:rPr>
      </w:pPr>
      <w:r w:rsidRPr="00405354">
        <w:rPr>
          <w:rFonts w:ascii="Verdana" w:hAnsi="Verdana"/>
          <w:b/>
          <w:color w:val="548DD4" w:themeColor="text2" w:themeTint="99"/>
          <w:sz w:val="24"/>
          <w:szCs w:val="24"/>
        </w:rPr>
        <w:t>Cum</w:t>
      </w:r>
      <w:r w:rsidRPr="00C25C6D">
        <w:rPr>
          <w:rFonts w:ascii="Verdana" w:hAnsi="Verdana"/>
          <w:b/>
          <w:color w:val="548DD4" w:themeColor="text2" w:themeTint="99"/>
          <w:sz w:val="24"/>
          <w:szCs w:val="24"/>
        </w:rPr>
        <w:t>plimie</w:t>
      </w:r>
      <w:r w:rsidRPr="00405354">
        <w:rPr>
          <w:rFonts w:ascii="Verdana" w:hAnsi="Verdana"/>
          <w:b/>
          <w:color w:val="548DD4" w:themeColor="text2" w:themeTint="99"/>
          <w:sz w:val="24"/>
          <w:szCs w:val="24"/>
        </w:rPr>
        <w:t>nto Metas</w:t>
      </w:r>
    </w:p>
    <w:p w:rsidR="00DA252E" w:rsidRPr="00F71B84" w:rsidRDefault="00DA252E" w:rsidP="00DA252E">
      <w:pPr>
        <w:spacing w:after="0" w:line="240" w:lineRule="auto"/>
        <w:jc w:val="both"/>
        <w:rPr>
          <w:rFonts w:ascii="Verdana" w:hAnsi="Verdana"/>
          <w:sz w:val="24"/>
          <w:szCs w:val="24"/>
        </w:rPr>
      </w:pPr>
    </w:p>
    <w:p w:rsidR="00DA252E" w:rsidRPr="00164C6A" w:rsidRDefault="00DA252E" w:rsidP="00DA252E">
      <w:pPr>
        <w:spacing w:after="0" w:line="240" w:lineRule="auto"/>
        <w:jc w:val="both"/>
        <w:rPr>
          <w:rFonts w:ascii="Verdana" w:hAnsi="Verdana"/>
          <w:sz w:val="24"/>
          <w:szCs w:val="24"/>
        </w:rPr>
      </w:pPr>
      <w:r w:rsidRPr="00164C6A">
        <w:rPr>
          <w:rFonts w:ascii="Verdana" w:hAnsi="Verdana"/>
          <w:sz w:val="24"/>
          <w:szCs w:val="24"/>
        </w:rPr>
        <w:t xml:space="preserve">Para 2014 se comprometieron 5 metas dentro del plan de acción de la Entidad orientadas a reflejar los resultados de los programas Desarrollo Regional, Paz y Estabilidad I, Desarrollo Regional, Paz y Estabilidad II, y Nuevos Territorios de Paz para esa vigencia: </w:t>
      </w:r>
    </w:p>
    <w:p w:rsidR="00DA252E" w:rsidRPr="00164C6A" w:rsidRDefault="00DA252E" w:rsidP="00DA252E">
      <w:pPr>
        <w:spacing w:after="0" w:line="240" w:lineRule="auto"/>
        <w:jc w:val="both"/>
        <w:rPr>
          <w:rFonts w:ascii="Verdana" w:hAnsi="Verdana"/>
          <w:sz w:val="24"/>
          <w:szCs w:val="24"/>
        </w:rPr>
      </w:pPr>
    </w:p>
    <w:p w:rsidR="00DA252E" w:rsidRPr="000F0D20" w:rsidRDefault="00DA252E" w:rsidP="00FF784D">
      <w:pPr>
        <w:pStyle w:val="Prrafodelista"/>
        <w:numPr>
          <w:ilvl w:val="0"/>
          <w:numId w:val="37"/>
        </w:numPr>
        <w:spacing w:after="0" w:line="240" w:lineRule="auto"/>
        <w:ind w:left="709" w:hanging="283"/>
        <w:jc w:val="both"/>
        <w:rPr>
          <w:rFonts w:ascii="Verdana" w:hAnsi="Verdana"/>
          <w:i/>
          <w:sz w:val="24"/>
          <w:szCs w:val="24"/>
        </w:rPr>
      </w:pPr>
      <w:r w:rsidRPr="000F0D20">
        <w:rPr>
          <w:rFonts w:ascii="Verdana" w:hAnsi="Verdana"/>
          <w:i/>
          <w:sz w:val="24"/>
          <w:szCs w:val="24"/>
        </w:rPr>
        <w:t xml:space="preserve">1 Estrategia de gestión del conocimiento en experiencias estratégicas regionales de Paz y Desarrollo. Se compuso de 4 fases, a) una estrategia virtual, la cual se materializó a través de un portal web que contiene material con los aprendizajes de las iniciativas implementadas por los Programas ejecutados por el Grupo Paz, Desarrollo y Estabilización, el cual se migró a la plataforma del DPS; b) Diálogos de política pública, los cuales fueron desarrollados en el marco de encuentros territoriales y uno nacional; c) Intercambios de experiencias, cuyos aprendizajes fueron recopilados mediante un encuentro de las organizaciones ejecutoras de todos los proyectos regionales a nivel nacional; d) Pedagogía, la cual se materializó en varios encuentros para definir conceptos transversales para el modelo de paz y desarrollo, y cuya conceptualización fue plasmada en un documento de definiciones estratégicas. </w:t>
      </w:r>
    </w:p>
    <w:p w:rsidR="00DA252E" w:rsidRPr="000F0D20" w:rsidRDefault="00DA252E" w:rsidP="000F0D20">
      <w:pPr>
        <w:pStyle w:val="Prrafodelista"/>
        <w:spacing w:after="0" w:line="240" w:lineRule="auto"/>
        <w:ind w:left="709"/>
        <w:jc w:val="both"/>
        <w:rPr>
          <w:rFonts w:ascii="Verdana" w:hAnsi="Verdana"/>
          <w:i/>
          <w:sz w:val="24"/>
          <w:szCs w:val="24"/>
        </w:rPr>
      </w:pPr>
    </w:p>
    <w:p w:rsidR="00DA252E" w:rsidRPr="000F0D20" w:rsidRDefault="00DA252E" w:rsidP="00FF784D">
      <w:pPr>
        <w:pStyle w:val="Prrafodelista"/>
        <w:numPr>
          <w:ilvl w:val="0"/>
          <w:numId w:val="37"/>
        </w:numPr>
        <w:spacing w:after="0" w:line="240" w:lineRule="auto"/>
        <w:ind w:left="709" w:hanging="283"/>
        <w:jc w:val="both"/>
        <w:rPr>
          <w:rFonts w:ascii="Verdana" w:hAnsi="Verdana"/>
          <w:i/>
          <w:sz w:val="24"/>
          <w:szCs w:val="24"/>
        </w:rPr>
      </w:pPr>
      <w:r w:rsidRPr="000F0D20">
        <w:rPr>
          <w:rFonts w:ascii="Verdana" w:hAnsi="Verdana"/>
          <w:i/>
          <w:sz w:val="24"/>
          <w:szCs w:val="24"/>
        </w:rPr>
        <w:t xml:space="preserve">563 Organizaciones de base comunitaria vinculadas y participando en iniciativas y Proyectos Estratégicos Territoriales de Paz y Desarrollo. Un total de 499 organizaciones sociales de base participaron de las iniciativas territoriales implementadas en 2014 por los programas Desarrollo Regional, Paz y Estabilidad I; Desarrollo Regional, Paz y Estabilidad II; y Nuevos Territorios de paz. 307 de ellas corresponden a los 2 primeros programas, y las 192 restantes se vincularon en el marco de NTP. Todas las organizaciones son participantes de los proyectos regionales y fueron objeto de acciones de fortalecimiento de sus capacidades, de acuerdo a la naturaleza de su objeto; igualmente, todas se encuentran ubicadas y tienen </w:t>
      </w:r>
      <w:r w:rsidRPr="000F0D20">
        <w:rPr>
          <w:rFonts w:ascii="Verdana" w:hAnsi="Verdana"/>
          <w:i/>
          <w:sz w:val="24"/>
          <w:szCs w:val="24"/>
        </w:rPr>
        <w:lastRenderedPageBreak/>
        <w:t>su campo de acción en alguna de las 12 regiones que cubren los 3 programas mencionados.</w:t>
      </w:r>
    </w:p>
    <w:p w:rsidR="00DA252E" w:rsidRPr="000F0D20" w:rsidRDefault="00DA252E" w:rsidP="000F0D20">
      <w:pPr>
        <w:pStyle w:val="Prrafodelista"/>
        <w:spacing w:after="0" w:line="240" w:lineRule="auto"/>
        <w:ind w:left="709"/>
        <w:jc w:val="both"/>
        <w:rPr>
          <w:rFonts w:ascii="Verdana" w:hAnsi="Verdana"/>
          <w:i/>
          <w:sz w:val="24"/>
          <w:szCs w:val="24"/>
        </w:rPr>
      </w:pPr>
    </w:p>
    <w:p w:rsidR="00DA252E" w:rsidRPr="000F0D20" w:rsidRDefault="00DA252E" w:rsidP="00FF784D">
      <w:pPr>
        <w:pStyle w:val="Prrafodelista"/>
        <w:numPr>
          <w:ilvl w:val="0"/>
          <w:numId w:val="37"/>
        </w:numPr>
        <w:spacing w:after="0" w:line="240" w:lineRule="auto"/>
        <w:ind w:left="709" w:hanging="283"/>
        <w:jc w:val="both"/>
        <w:rPr>
          <w:rFonts w:ascii="Verdana" w:hAnsi="Verdana"/>
          <w:i/>
          <w:sz w:val="24"/>
          <w:szCs w:val="24"/>
        </w:rPr>
      </w:pPr>
      <w:r w:rsidRPr="000F0D20">
        <w:rPr>
          <w:rFonts w:ascii="Verdana" w:hAnsi="Verdana"/>
          <w:i/>
          <w:sz w:val="24"/>
          <w:szCs w:val="24"/>
        </w:rPr>
        <w:t xml:space="preserve">52 Entes territoriales fortalecidos en Ordenamiento Territorial. 45 entes territoriales fueron fortalecidos mediante el proyecto de instalación de capacidades para el desarrollo territorial en los actores locales, implementado por el Instituto Geográfico Agustín Codazzi – IGAC, en el marco del Programa Nuevos Territorios de Paz, 6 municipios en Atlántico, 12 en el departamento de Bolívar, 16 en el Caquetá, 4 en el Guaviare y 7 en el Magdalena. El fortalecimiento consistió en el levantamiento de información catastral y cartográfica y formación en instrumentos de planeación y ordenamiento territorial a las administraciones municipales y otros actores para el proceso de ajuste a los planes de ordenamiento territorial. </w:t>
      </w:r>
    </w:p>
    <w:p w:rsidR="00DA252E" w:rsidRPr="000F0D20" w:rsidRDefault="00DA252E" w:rsidP="000F0D20">
      <w:pPr>
        <w:pStyle w:val="Prrafodelista"/>
        <w:spacing w:after="0" w:line="240" w:lineRule="auto"/>
        <w:ind w:left="709"/>
        <w:jc w:val="both"/>
        <w:rPr>
          <w:rFonts w:ascii="Verdana" w:hAnsi="Verdana"/>
          <w:i/>
          <w:sz w:val="24"/>
          <w:szCs w:val="24"/>
        </w:rPr>
      </w:pPr>
    </w:p>
    <w:p w:rsidR="00DA252E" w:rsidRPr="000F0D20" w:rsidRDefault="00DA252E" w:rsidP="00FF784D">
      <w:pPr>
        <w:pStyle w:val="Prrafodelista"/>
        <w:numPr>
          <w:ilvl w:val="0"/>
          <w:numId w:val="37"/>
        </w:numPr>
        <w:spacing w:after="0" w:line="240" w:lineRule="auto"/>
        <w:ind w:left="709" w:hanging="283"/>
        <w:jc w:val="both"/>
        <w:rPr>
          <w:rFonts w:ascii="Verdana" w:hAnsi="Verdana"/>
          <w:i/>
          <w:sz w:val="24"/>
          <w:szCs w:val="24"/>
        </w:rPr>
      </w:pPr>
      <w:r w:rsidRPr="000F0D20">
        <w:rPr>
          <w:rFonts w:ascii="Verdana" w:hAnsi="Verdana"/>
          <w:i/>
          <w:sz w:val="24"/>
          <w:szCs w:val="24"/>
        </w:rPr>
        <w:t xml:space="preserve">7 Socios Estratégicos Territoriales dinamizando iniciativas regionales de Paz y Desarrollo. Se vincularon mediante convenios de cooperación 7 Socios en 7 regiones diferentes a) Magdalena Medio: se apoyó el rol de articulación y dinamización desempeñado por la Corporación Programa Desarrollo y Paz del Magdalena Medio; b) La Mojana Sucreña: se fortalecieron acciones específicas en la región dentro de la lógica de intervención del Programa de Desarrollo y paz de esa región, a cargo de la Fundación Diocesana para la Mojana; c) Cesar: el DPS brindó el mismo tipo de fortalecimiento que en el caso de La Mojana, y las acciones en este territorio fueron implementadas por la Corporación de Desarrollo y Paz del Cesar. Los 3 socios anteriores fueron los dinamizadores regionales del programa Desarrollo Regional Paz y Estabilidad I. </w:t>
      </w:r>
    </w:p>
    <w:p w:rsidR="00DA252E" w:rsidRPr="000F0D20" w:rsidRDefault="00DA252E" w:rsidP="000F0D20">
      <w:pPr>
        <w:pStyle w:val="Prrafodelista"/>
        <w:spacing w:after="0" w:line="240" w:lineRule="auto"/>
        <w:ind w:left="709"/>
        <w:jc w:val="both"/>
        <w:rPr>
          <w:rFonts w:ascii="Verdana" w:hAnsi="Verdana"/>
          <w:i/>
          <w:sz w:val="24"/>
          <w:szCs w:val="24"/>
        </w:rPr>
      </w:pPr>
    </w:p>
    <w:p w:rsidR="00DA252E" w:rsidRPr="000F0D20" w:rsidRDefault="00DA252E" w:rsidP="00FF784D">
      <w:pPr>
        <w:pStyle w:val="Prrafodelista"/>
        <w:numPr>
          <w:ilvl w:val="0"/>
          <w:numId w:val="37"/>
        </w:numPr>
        <w:spacing w:after="0" w:line="240" w:lineRule="auto"/>
        <w:ind w:left="709" w:hanging="283"/>
        <w:jc w:val="both"/>
        <w:rPr>
          <w:rFonts w:ascii="Verdana" w:hAnsi="Verdana"/>
          <w:i/>
          <w:sz w:val="24"/>
          <w:szCs w:val="24"/>
        </w:rPr>
      </w:pPr>
      <w:r w:rsidRPr="000F0D20">
        <w:rPr>
          <w:rFonts w:ascii="Verdana" w:hAnsi="Verdana"/>
          <w:i/>
          <w:sz w:val="24"/>
          <w:szCs w:val="24"/>
        </w:rPr>
        <w:t xml:space="preserve">Para el caso del programa Desarrollo Regional Paz y Estabilidad II, el socio estratégico que dinamizó el territorio del Meta mediante el convenio de cooperación fue la Corporación Desarrollo para la Paz del Piedemonte Oriental – Cordepaz, la cual coordinó la fase final de todos los Procesos Estratégicos Territoriales desarrollados en el departamento y consolidó la información regional. </w:t>
      </w:r>
    </w:p>
    <w:p w:rsidR="00DA252E" w:rsidRPr="000F0D20" w:rsidRDefault="00DA252E" w:rsidP="000F0D20">
      <w:pPr>
        <w:pStyle w:val="Prrafodelista"/>
        <w:spacing w:after="0" w:line="240" w:lineRule="auto"/>
        <w:ind w:left="709"/>
        <w:jc w:val="both"/>
        <w:rPr>
          <w:rFonts w:ascii="Verdana" w:hAnsi="Verdana"/>
          <w:i/>
          <w:sz w:val="24"/>
          <w:szCs w:val="24"/>
        </w:rPr>
      </w:pPr>
    </w:p>
    <w:p w:rsidR="00DA252E" w:rsidRPr="000F0D20" w:rsidRDefault="00DA252E" w:rsidP="00FF784D">
      <w:pPr>
        <w:pStyle w:val="Prrafodelista"/>
        <w:numPr>
          <w:ilvl w:val="0"/>
          <w:numId w:val="37"/>
        </w:numPr>
        <w:spacing w:after="0" w:line="240" w:lineRule="auto"/>
        <w:ind w:left="709" w:hanging="283"/>
        <w:jc w:val="both"/>
        <w:rPr>
          <w:rFonts w:ascii="Verdana" w:hAnsi="Verdana"/>
          <w:i/>
          <w:sz w:val="24"/>
          <w:szCs w:val="24"/>
        </w:rPr>
      </w:pPr>
      <w:r w:rsidRPr="000F0D20">
        <w:rPr>
          <w:rFonts w:ascii="Verdana" w:hAnsi="Verdana"/>
          <w:i/>
          <w:sz w:val="24"/>
          <w:szCs w:val="24"/>
        </w:rPr>
        <w:t xml:space="preserve">Para nuevos Territorios de Paz se vincularon 3 Socios estratégicos Territoriales, uno por cada región, en Guaviare, Canal del Dique y Bajo Magdalena, siendo estos el Consorcio Deispaz, la Corporación  Desarrollo y Paz del Canal de Dique y Zona Costera, y la Corporación Desarrollo y Paz </w:t>
      </w:r>
      <w:r w:rsidRPr="000F0D20">
        <w:rPr>
          <w:rFonts w:ascii="Verdana" w:hAnsi="Verdana"/>
          <w:i/>
          <w:sz w:val="24"/>
          <w:szCs w:val="24"/>
        </w:rPr>
        <w:lastRenderedPageBreak/>
        <w:t xml:space="preserve">del Bajo Magdalena, respectivamente. Estos socios ejecutaron acciones en los territorios orientadas al acompañamiento, seguimiento, monitoreo, movilización y articulación entre la institucionalidad pública, las organizaciones sociales y el sector privado, con el propósito de definir acciones estratégicas y generar confianza para la implementación del Programa Nuevos Territorios de Paz en cada región. </w:t>
      </w:r>
    </w:p>
    <w:p w:rsidR="00DA252E" w:rsidRPr="000F0D20" w:rsidRDefault="00DA252E" w:rsidP="000F0D20">
      <w:pPr>
        <w:pStyle w:val="Prrafodelista"/>
        <w:spacing w:after="0" w:line="240" w:lineRule="auto"/>
        <w:ind w:left="709"/>
        <w:jc w:val="both"/>
        <w:rPr>
          <w:rFonts w:ascii="Verdana" w:hAnsi="Verdana"/>
          <w:i/>
          <w:sz w:val="24"/>
          <w:szCs w:val="24"/>
        </w:rPr>
      </w:pPr>
    </w:p>
    <w:p w:rsidR="00DA252E" w:rsidRPr="000F0D20" w:rsidRDefault="00DA252E" w:rsidP="00FF784D">
      <w:pPr>
        <w:pStyle w:val="Prrafodelista"/>
        <w:numPr>
          <w:ilvl w:val="0"/>
          <w:numId w:val="37"/>
        </w:numPr>
        <w:spacing w:after="0" w:line="240" w:lineRule="auto"/>
        <w:ind w:left="709" w:hanging="283"/>
        <w:jc w:val="both"/>
        <w:rPr>
          <w:rFonts w:ascii="Verdana" w:hAnsi="Verdana"/>
          <w:i/>
          <w:sz w:val="24"/>
          <w:szCs w:val="24"/>
        </w:rPr>
      </w:pPr>
      <w:r w:rsidRPr="000F0D20">
        <w:rPr>
          <w:rFonts w:ascii="Verdana" w:hAnsi="Verdana"/>
          <w:i/>
          <w:sz w:val="24"/>
          <w:szCs w:val="24"/>
        </w:rPr>
        <w:t xml:space="preserve">3 Convenios en implementación en los temas de Tenencia y Uso de Tierras, Fortalecimiento Institucional para el ordenamiento Territorial, y Fortalecimiento Organizacional. Durante 2014 se implementaron acciones en los 3 proyectos, de la siguiente manera: </w:t>
      </w:r>
    </w:p>
    <w:p w:rsidR="00DA252E" w:rsidRPr="00164C6A" w:rsidRDefault="00DA252E" w:rsidP="00DA252E">
      <w:pPr>
        <w:pStyle w:val="Default"/>
        <w:ind w:left="709" w:hanging="283"/>
        <w:jc w:val="both"/>
        <w:rPr>
          <w:rFonts w:ascii="Verdana" w:hAnsi="Verdana"/>
          <w:szCs w:val="12"/>
        </w:rPr>
      </w:pPr>
    </w:p>
    <w:p w:rsidR="00DA252E" w:rsidRDefault="00DA252E" w:rsidP="00FF784D">
      <w:pPr>
        <w:pStyle w:val="Default"/>
        <w:numPr>
          <w:ilvl w:val="0"/>
          <w:numId w:val="39"/>
        </w:numPr>
        <w:ind w:left="1068"/>
        <w:jc w:val="both"/>
        <w:rPr>
          <w:rFonts w:ascii="Verdana" w:hAnsi="Verdana"/>
          <w:szCs w:val="12"/>
          <w:lang w:val="es-ES"/>
        </w:rPr>
      </w:pPr>
      <w:r w:rsidRPr="00B618EA">
        <w:rPr>
          <w:rFonts w:ascii="Verdana" w:hAnsi="Verdana"/>
          <w:szCs w:val="12"/>
        </w:rPr>
        <w:t xml:space="preserve">Tenencia y uso de Tierras. Este componente del programa Nuevos Territorios de Paz (NTP) es ejecutado por la </w:t>
      </w:r>
      <w:r w:rsidRPr="00B618EA">
        <w:rPr>
          <w:rFonts w:ascii="Verdana" w:hAnsi="Verdana"/>
          <w:szCs w:val="12"/>
          <w:lang w:val="es-ES"/>
        </w:rPr>
        <w:t>Organización Internacional para las Migraciones-OIM</w:t>
      </w:r>
      <w:r w:rsidRPr="00B618EA">
        <w:rPr>
          <w:rFonts w:ascii="Verdana" w:hAnsi="Verdana"/>
          <w:szCs w:val="12"/>
        </w:rPr>
        <w:t xml:space="preserve"> en las 4 regiones focalizadas por el programa</w:t>
      </w:r>
      <w:r w:rsidRPr="00B618EA">
        <w:rPr>
          <w:rFonts w:ascii="Verdana" w:hAnsi="Verdana"/>
          <w:szCs w:val="12"/>
          <w:lang w:val="es-ES"/>
        </w:rPr>
        <w:t xml:space="preserve">. Las acciones han mostrado avances en 4 de 5 resultados. </w:t>
      </w:r>
    </w:p>
    <w:p w:rsidR="00DA252E" w:rsidRDefault="00DA252E" w:rsidP="00DA252E">
      <w:pPr>
        <w:pStyle w:val="Default"/>
        <w:ind w:left="1068"/>
        <w:jc w:val="both"/>
        <w:rPr>
          <w:rFonts w:ascii="Verdana" w:hAnsi="Verdana"/>
          <w:szCs w:val="12"/>
          <w:lang w:val="es-ES"/>
        </w:rPr>
      </w:pPr>
    </w:p>
    <w:p w:rsidR="00DA252E" w:rsidRDefault="00DA252E" w:rsidP="00FF784D">
      <w:pPr>
        <w:pStyle w:val="Default"/>
        <w:numPr>
          <w:ilvl w:val="0"/>
          <w:numId w:val="39"/>
        </w:numPr>
        <w:ind w:left="1068"/>
        <w:jc w:val="both"/>
        <w:rPr>
          <w:rFonts w:ascii="Verdana" w:hAnsi="Verdana"/>
          <w:szCs w:val="12"/>
          <w:lang w:val="es-ES"/>
        </w:rPr>
      </w:pPr>
      <w:r w:rsidRPr="00B618EA">
        <w:rPr>
          <w:rFonts w:ascii="Verdana" w:hAnsi="Verdana"/>
          <w:szCs w:val="12"/>
          <w:lang w:val="es-ES"/>
        </w:rPr>
        <w:t xml:space="preserve">Para el segundo resultado, se ha avanzado en el levantamiento topográfico en el departamento de Caquetá para la revisión de los casos viables de titulación de baldíos a hogares campesinos vulnerables o víctimas del conflicto. </w:t>
      </w:r>
    </w:p>
    <w:p w:rsidR="00DA252E" w:rsidRDefault="00DA252E" w:rsidP="00DA252E">
      <w:pPr>
        <w:pStyle w:val="Default"/>
        <w:ind w:left="258"/>
        <w:jc w:val="both"/>
        <w:rPr>
          <w:rFonts w:ascii="Verdana" w:hAnsi="Verdana"/>
          <w:szCs w:val="12"/>
          <w:lang w:val="es-ES"/>
        </w:rPr>
      </w:pPr>
    </w:p>
    <w:p w:rsidR="00DA252E" w:rsidRDefault="00DA252E" w:rsidP="00FF784D">
      <w:pPr>
        <w:pStyle w:val="Default"/>
        <w:numPr>
          <w:ilvl w:val="0"/>
          <w:numId w:val="39"/>
        </w:numPr>
        <w:ind w:left="1068"/>
        <w:jc w:val="both"/>
        <w:rPr>
          <w:rFonts w:ascii="Verdana" w:hAnsi="Verdana"/>
          <w:szCs w:val="12"/>
          <w:lang w:val="es-ES"/>
        </w:rPr>
      </w:pPr>
      <w:r w:rsidRPr="00B618EA">
        <w:rPr>
          <w:rFonts w:ascii="Verdana" w:hAnsi="Verdana"/>
          <w:szCs w:val="12"/>
          <w:lang w:val="es-ES"/>
        </w:rPr>
        <w:t>En el tercer resultado, se han focalizado y caracterizado, a nivel socioeconómico, 3 ciénagas que fueron deslindadas en la región del Canal del dique, como insumo para diseñar los reglamentos de uso de estos terrenos.</w:t>
      </w:r>
    </w:p>
    <w:p w:rsidR="00DA252E" w:rsidRDefault="00DA252E" w:rsidP="00DA252E">
      <w:pPr>
        <w:pStyle w:val="Default"/>
        <w:ind w:left="1068"/>
        <w:jc w:val="both"/>
        <w:rPr>
          <w:rFonts w:ascii="Verdana" w:hAnsi="Verdana"/>
          <w:szCs w:val="12"/>
          <w:lang w:val="es-ES"/>
        </w:rPr>
      </w:pPr>
    </w:p>
    <w:p w:rsidR="00DA252E" w:rsidRPr="00B618EA" w:rsidRDefault="00DA252E" w:rsidP="00FF784D">
      <w:pPr>
        <w:pStyle w:val="Default"/>
        <w:numPr>
          <w:ilvl w:val="0"/>
          <w:numId w:val="39"/>
        </w:numPr>
        <w:ind w:left="1068"/>
        <w:jc w:val="both"/>
        <w:rPr>
          <w:rFonts w:ascii="Verdana" w:hAnsi="Verdana"/>
          <w:szCs w:val="12"/>
          <w:lang w:val="es-ES"/>
        </w:rPr>
      </w:pPr>
      <w:r w:rsidRPr="00B618EA">
        <w:rPr>
          <w:rFonts w:ascii="Verdana" w:hAnsi="Verdana"/>
          <w:szCs w:val="12"/>
          <w:lang w:val="es-ES"/>
        </w:rPr>
        <w:t xml:space="preserve">En relación al cuarto resultado se han identificado 198 familias en la zona de reserva campesina del Pato-Balsillas y 352 en Cartagena del Chairá (Caquetá), para ser beneficiarias de proyectos de seguridad alimentaria. </w:t>
      </w:r>
    </w:p>
    <w:p w:rsidR="00DA252E" w:rsidRPr="00164C6A" w:rsidRDefault="00DA252E" w:rsidP="00DA252E">
      <w:pPr>
        <w:pStyle w:val="Default"/>
        <w:ind w:left="709" w:hanging="283"/>
        <w:jc w:val="both"/>
        <w:rPr>
          <w:rFonts w:ascii="Verdana" w:hAnsi="Verdana"/>
          <w:szCs w:val="12"/>
          <w:lang w:val="es-ES"/>
        </w:rPr>
      </w:pPr>
    </w:p>
    <w:p w:rsidR="00DA252E" w:rsidRPr="000F0D20" w:rsidRDefault="00DA252E" w:rsidP="00FF784D">
      <w:pPr>
        <w:pStyle w:val="Prrafodelista"/>
        <w:numPr>
          <w:ilvl w:val="0"/>
          <w:numId w:val="37"/>
        </w:numPr>
        <w:spacing w:after="0" w:line="240" w:lineRule="auto"/>
        <w:ind w:left="709" w:hanging="283"/>
        <w:jc w:val="both"/>
        <w:rPr>
          <w:rFonts w:ascii="Verdana" w:hAnsi="Verdana"/>
          <w:i/>
          <w:sz w:val="24"/>
          <w:szCs w:val="24"/>
        </w:rPr>
      </w:pPr>
      <w:r w:rsidRPr="000F0D20">
        <w:rPr>
          <w:rFonts w:ascii="Verdana" w:hAnsi="Verdana"/>
          <w:i/>
          <w:sz w:val="24"/>
          <w:szCs w:val="24"/>
        </w:rPr>
        <w:t xml:space="preserve">Para el quinto resultado las acciones han estado orientadas al levantamiento del diagnóstico de capacidad organizacional a 5 organizaciones. </w:t>
      </w:r>
    </w:p>
    <w:p w:rsidR="00DA252E" w:rsidRPr="00164C6A" w:rsidRDefault="00DA252E" w:rsidP="00DA252E">
      <w:pPr>
        <w:pStyle w:val="Default"/>
        <w:jc w:val="both"/>
        <w:rPr>
          <w:rFonts w:ascii="Verdana" w:hAnsi="Verdana"/>
          <w:szCs w:val="12"/>
          <w:lang w:val="es-ES"/>
        </w:rPr>
      </w:pPr>
    </w:p>
    <w:p w:rsidR="00DA252E" w:rsidRPr="00164C6A" w:rsidRDefault="00DA252E" w:rsidP="00FF784D">
      <w:pPr>
        <w:pStyle w:val="Default"/>
        <w:numPr>
          <w:ilvl w:val="0"/>
          <w:numId w:val="14"/>
        </w:numPr>
        <w:jc w:val="both"/>
        <w:rPr>
          <w:rFonts w:ascii="Verdana" w:hAnsi="Verdana"/>
          <w:szCs w:val="12"/>
          <w:lang w:val="es-ES"/>
        </w:rPr>
      </w:pPr>
      <w:r w:rsidRPr="00164C6A">
        <w:rPr>
          <w:rFonts w:ascii="Verdana" w:hAnsi="Verdana"/>
          <w:szCs w:val="12"/>
        </w:rPr>
        <w:t xml:space="preserve">Fortalecimiento Institucional para el ordenamiento Territorial. El componente de fortalecimiento a la institucionalidad pública local es ejecutado por </w:t>
      </w:r>
      <w:r w:rsidRPr="00164C6A">
        <w:rPr>
          <w:rFonts w:ascii="Verdana" w:hAnsi="Verdana"/>
          <w:szCs w:val="12"/>
          <w:lang w:val="es-ES"/>
        </w:rPr>
        <w:t xml:space="preserve">Instituto Geográfico Agustín Codazzi – IGAC; las acciones </w:t>
      </w:r>
      <w:r w:rsidRPr="00164C6A">
        <w:rPr>
          <w:rFonts w:ascii="Verdana" w:hAnsi="Verdana"/>
          <w:szCs w:val="12"/>
          <w:lang w:val="es-ES"/>
        </w:rPr>
        <w:lastRenderedPageBreak/>
        <w:t>desarrolladas en el marco del proyecto durante 2014 muestran los siguientes avances en:</w:t>
      </w:r>
    </w:p>
    <w:p w:rsidR="00DA252E" w:rsidRPr="00164C6A" w:rsidRDefault="00DA252E" w:rsidP="00DA252E">
      <w:pPr>
        <w:pStyle w:val="Default"/>
        <w:jc w:val="both"/>
        <w:rPr>
          <w:rFonts w:ascii="Verdana" w:hAnsi="Verdana"/>
          <w:szCs w:val="12"/>
          <w:lang w:val="es-ES"/>
        </w:rPr>
      </w:pPr>
    </w:p>
    <w:p w:rsidR="00DA252E" w:rsidRPr="000F0D20" w:rsidRDefault="00DA252E" w:rsidP="00FF784D">
      <w:pPr>
        <w:pStyle w:val="Prrafodelista"/>
        <w:numPr>
          <w:ilvl w:val="0"/>
          <w:numId w:val="37"/>
        </w:numPr>
        <w:spacing w:after="0" w:line="240" w:lineRule="auto"/>
        <w:ind w:left="709" w:hanging="283"/>
        <w:jc w:val="both"/>
        <w:rPr>
          <w:rFonts w:ascii="Verdana" w:hAnsi="Verdana"/>
          <w:i/>
          <w:sz w:val="24"/>
          <w:szCs w:val="24"/>
        </w:rPr>
      </w:pPr>
      <w:r w:rsidRPr="000F0D20">
        <w:rPr>
          <w:rFonts w:ascii="Verdana" w:hAnsi="Verdana"/>
          <w:i/>
          <w:sz w:val="24"/>
          <w:szCs w:val="24"/>
        </w:rPr>
        <w:t xml:space="preserve">El levantamiento de la cartografía urbana de los 4 municipios que componen el departamento del Guaviare. </w:t>
      </w:r>
    </w:p>
    <w:p w:rsidR="00DA252E" w:rsidRPr="000F0D20" w:rsidRDefault="00DA252E" w:rsidP="00FF784D">
      <w:pPr>
        <w:pStyle w:val="Prrafodelista"/>
        <w:numPr>
          <w:ilvl w:val="0"/>
          <w:numId w:val="37"/>
        </w:numPr>
        <w:spacing w:after="0" w:line="240" w:lineRule="auto"/>
        <w:ind w:left="709" w:hanging="283"/>
        <w:jc w:val="both"/>
        <w:rPr>
          <w:rFonts w:ascii="Verdana" w:hAnsi="Verdana"/>
          <w:i/>
          <w:sz w:val="24"/>
          <w:szCs w:val="24"/>
        </w:rPr>
      </w:pPr>
      <w:r w:rsidRPr="000F0D20">
        <w:rPr>
          <w:rFonts w:ascii="Verdana" w:hAnsi="Verdana"/>
          <w:i/>
          <w:sz w:val="24"/>
          <w:szCs w:val="24"/>
        </w:rPr>
        <w:t xml:space="preserve">Generación de imágenes cartográficas de 3 de los 4 municipios del Guaviare. </w:t>
      </w:r>
    </w:p>
    <w:p w:rsidR="00DA252E" w:rsidRPr="000F0D20" w:rsidRDefault="00DA252E" w:rsidP="00FF784D">
      <w:pPr>
        <w:pStyle w:val="Prrafodelista"/>
        <w:numPr>
          <w:ilvl w:val="0"/>
          <w:numId w:val="37"/>
        </w:numPr>
        <w:spacing w:after="0" w:line="240" w:lineRule="auto"/>
        <w:ind w:left="709" w:hanging="283"/>
        <w:jc w:val="both"/>
        <w:rPr>
          <w:rFonts w:ascii="Verdana" w:hAnsi="Verdana"/>
          <w:i/>
          <w:sz w:val="24"/>
          <w:szCs w:val="24"/>
        </w:rPr>
      </w:pPr>
      <w:r w:rsidRPr="000F0D20">
        <w:rPr>
          <w:rFonts w:ascii="Verdana" w:hAnsi="Verdana"/>
          <w:i/>
          <w:sz w:val="24"/>
          <w:szCs w:val="24"/>
        </w:rPr>
        <w:t xml:space="preserve">Actualización catastral rural de 11 municipios, 3 del Bolívar, 2 del Magdalena, y 6 en el Atlántico. </w:t>
      </w:r>
    </w:p>
    <w:p w:rsidR="00DA252E" w:rsidRPr="000F0D20" w:rsidRDefault="00DA252E" w:rsidP="00FF784D">
      <w:pPr>
        <w:pStyle w:val="Prrafodelista"/>
        <w:numPr>
          <w:ilvl w:val="0"/>
          <w:numId w:val="37"/>
        </w:numPr>
        <w:spacing w:after="0" w:line="240" w:lineRule="auto"/>
        <w:ind w:left="709" w:hanging="283"/>
        <w:jc w:val="both"/>
        <w:rPr>
          <w:rFonts w:ascii="Verdana" w:hAnsi="Verdana"/>
          <w:i/>
          <w:sz w:val="24"/>
          <w:szCs w:val="24"/>
        </w:rPr>
      </w:pPr>
      <w:r w:rsidRPr="000F0D20">
        <w:rPr>
          <w:rFonts w:ascii="Verdana" w:hAnsi="Verdana"/>
          <w:i/>
          <w:sz w:val="24"/>
          <w:szCs w:val="24"/>
        </w:rPr>
        <w:t xml:space="preserve">Acompañamiento técnico a 15 municipios para el ajuste a sus planes de ordenamiento territorial, con enfoque participativo. </w:t>
      </w:r>
    </w:p>
    <w:p w:rsidR="00DA252E" w:rsidRPr="000F0D20" w:rsidRDefault="00DA252E" w:rsidP="00FF784D">
      <w:pPr>
        <w:pStyle w:val="Default"/>
        <w:numPr>
          <w:ilvl w:val="0"/>
          <w:numId w:val="14"/>
        </w:numPr>
        <w:ind w:left="709" w:hanging="283"/>
        <w:jc w:val="both"/>
        <w:rPr>
          <w:rFonts w:ascii="Verdana" w:hAnsi="Verdana"/>
          <w:i/>
          <w:szCs w:val="12"/>
          <w:lang w:val="es-ES"/>
        </w:rPr>
      </w:pPr>
      <w:r w:rsidRPr="000F0D20">
        <w:rPr>
          <w:rFonts w:ascii="Verdana" w:hAnsi="Verdana"/>
          <w:i/>
          <w:szCs w:val="12"/>
          <w:lang w:val="es-ES"/>
        </w:rPr>
        <w:t>Fortalecimiento organizacional. Este resultado del programa NTP es implementado por la Red Nacional de Agencias de Desarrollo Local de Colombia – REDADELCO para acompañar a las organizaciones locales ubicadas en los municipios del Bajo Magdalena y Caquetá en la identificación y gestión de iniciativas de inclusión socioeconómica y de gobernanza.</w:t>
      </w:r>
    </w:p>
    <w:p w:rsidR="00DA252E" w:rsidRPr="00164C6A" w:rsidRDefault="00DA252E" w:rsidP="00DA252E">
      <w:pPr>
        <w:pStyle w:val="Default"/>
        <w:jc w:val="both"/>
        <w:rPr>
          <w:rFonts w:ascii="Verdana" w:hAnsi="Verdana"/>
          <w:szCs w:val="12"/>
          <w:lang w:val="es-ES"/>
        </w:rPr>
      </w:pPr>
    </w:p>
    <w:p w:rsidR="00FE71FF" w:rsidRDefault="00FE71FF" w:rsidP="00DA252E">
      <w:pPr>
        <w:pStyle w:val="Default"/>
        <w:ind w:firstLine="708"/>
        <w:jc w:val="both"/>
        <w:rPr>
          <w:rFonts w:ascii="Verdana" w:hAnsi="Verdana"/>
          <w:szCs w:val="12"/>
          <w:lang w:val="es-ES"/>
        </w:rPr>
      </w:pPr>
    </w:p>
    <w:p w:rsidR="00DA252E" w:rsidRPr="00164C6A" w:rsidRDefault="00DA252E" w:rsidP="00DA252E">
      <w:pPr>
        <w:pStyle w:val="Default"/>
        <w:ind w:firstLine="708"/>
        <w:jc w:val="both"/>
        <w:rPr>
          <w:rFonts w:ascii="Verdana" w:hAnsi="Verdana"/>
          <w:szCs w:val="12"/>
          <w:lang w:val="es-ES"/>
        </w:rPr>
      </w:pPr>
      <w:r w:rsidRPr="00164C6A">
        <w:rPr>
          <w:rFonts w:ascii="Verdana" w:hAnsi="Verdana"/>
          <w:szCs w:val="12"/>
          <w:lang w:val="es-ES"/>
        </w:rPr>
        <w:t xml:space="preserve">La acción ha mostrado los siguientes avances: </w:t>
      </w:r>
    </w:p>
    <w:p w:rsidR="00DA252E" w:rsidRPr="00164C6A" w:rsidRDefault="00DA252E" w:rsidP="00DA252E">
      <w:pPr>
        <w:pStyle w:val="Default"/>
        <w:jc w:val="both"/>
        <w:rPr>
          <w:rFonts w:ascii="Verdana" w:hAnsi="Verdana"/>
          <w:szCs w:val="12"/>
          <w:lang w:val="es-ES"/>
        </w:rPr>
      </w:pPr>
    </w:p>
    <w:p w:rsidR="00DA252E" w:rsidRPr="00164C6A" w:rsidRDefault="00DA252E" w:rsidP="00FF784D">
      <w:pPr>
        <w:pStyle w:val="Default"/>
        <w:numPr>
          <w:ilvl w:val="0"/>
          <w:numId w:val="15"/>
        </w:numPr>
        <w:jc w:val="both"/>
        <w:rPr>
          <w:rFonts w:ascii="Verdana" w:hAnsi="Verdana"/>
          <w:szCs w:val="12"/>
          <w:lang w:val="es-ES"/>
        </w:rPr>
      </w:pPr>
      <w:r w:rsidRPr="00164C6A">
        <w:rPr>
          <w:rFonts w:ascii="Verdana" w:hAnsi="Verdana"/>
          <w:szCs w:val="12"/>
          <w:lang w:val="es-ES"/>
        </w:rPr>
        <w:t>Construcción participativa de los planes de fortalecimiento para 84 organizaciones sociales de base en Caquetá y Bajo Magdalena, a partir del levantamiento de su diagn</w:t>
      </w:r>
      <w:r>
        <w:rPr>
          <w:rFonts w:ascii="Verdana" w:hAnsi="Verdana"/>
          <w:szCs w:val="12"/>
          <w:lang w:val="es-ES"/>
        </w:rPr>
        <w:t>ó</w:t>
      </w:r>
      <w:r w:rsidRPr="00164C6A">
        <w:rPr>
          <w:rFonts w:ascii="Verdana" w:hAnsi="Verdana"/>
          <w:szCs w:val="12"/>
          <w:lang w:val="es-ES"/>
        </w:rPr>
        <w:t xml:space="preserve">stico de capacidad organizacional. </w:t>
      </w:r>
    </w:p>
    <w:p w:rsidR="00DA252E" w:rsidRPr="00164C6A" w:rsidRDefault="00DA252E" w:rsidP="00FF784D">
      <w:pPr>
        <w:pStyle w:val="Default"/>
        <w:numPr>
          <w:ilvl w:val="0"/>
          <w:numId w:val="15"/>
        </w:numPr>
        <w:jc w:val="both"/>
        <w:rPr>
          <w:rFonts w:ascii="Verdana" w:hAnsi="Verdana"/>
          <w:szCs w:val="12"/>
          <w:lang w:val="es-ES"/>
        </w:rPr>
      </w:pPr>
      <w:r w:rsidRPr="00164C6A">
        <w:rPr>
          <w:rFonts w:ascii="Verdana" w:hAnsi="Verdana"/>
          <w:szCs w:val="12"/>
          <w:lang w:val="es-ES"/>
        </w:rPr>
        <w:t>17 Talleres regionales con organizaciones sociales de base, así:</w:t>
      </w:r>
    </w:p>
    <w:p w:rsidR="00DA252E" w:rsidRPr="00164C6A" w:rsidRDefault="00DA252E" w:rsidP="00582BDE">
      <w:pPr>
        <w:pStyle w:val="Default"/>
        <w:numPr>
          <w:ilvl w:val="2"/>
          <w:numId w:val="127"/>
        </w:numPr>
        <w:jc w:val="both"/>
        <w:rPr>
          <w:rFonts w:ascii="Verdana" w:hAnsi="Verdana"/>
          <w:szCs w:val="12"/>
          <w:lang w:val="es-ES"/>
        </w:rPr>
      </w:pPr>
      <w:r w:rsidRPr="00164C6A">
        <w:rPr>
          <w:rFonts w:ascii="Verdana" w:hAnsi="Verdana"/>
          <w:szCs w:val="12"/>
          <w:lang w:val="es-ES"/>
        </w:rPr>
        <w:t xml:space="preserve">1 encuentro sectorial con las organizaciones productoras de caucho en la región del Caquetá. </w:t>
      </w:r>
    </w:p>
    <w:p w:rsidR="00DA252E" w:rsidRPr="00164C6A" w:rsidRDefault="00DA252E" w:rsidP="00582BDE">
      <w:pPr>
        <w:pStyle w:val="Default"/>
        <w:numPr>
          <w:ilvl w:val="2"/>
          <w:numId w:val="127"/>
        </w:numPr>
        <w:jc w:val="both"/>
        <w:rPr>
          <w:rFonts w:ascii="Verdana" w:hAnsi="Verdana"/>
          <w:szCs w:val="12"/>
          <w:lang w:val="es-ES"/>
        </w:rPr>
      </w:pPr>
      <w:r w:rsidRPr="00164C6A">
        <w:rPr>
          <w:rFonts w:ascii="Verdana" w:hAnsi="Verdana"/>
          <w:szCs w:val="12"/>
          <w:lang w:val="es-ES"/>
        </w:rPr>
        <w:t xml:space="preserve">1 taller dirigido a organizaciones que producen cacao en Caquetá para definir la línea del tiempo de la cadena productiva. </w:t>
      </w:r>
    </w:p>
    <w:p w:rsidR="00DA252E" w:rsidRPr="00164C6A" w:rsidRDefault="00DA252E" w:rsidP="00582BDE">
      <w:pPr>
        <w:pStyle w:val="Default"/>
        <w:numPr>
          <w:ilvl w:val="2"/>
          <w:numId w:val="127"/>
        </w:numPr>
        <w:jc w:val="both"/>
        <w:rPr>
          <w:rFonts w:ascii="Verdana" w:hAnsi="Verdana"/>
          <w:szCs w:val="12"/>
          <w:lang w:val="es-ES"/>
        </w:rPr>
      </w:pPr>
      <w:r w:rsidRPr="00164C6A">
        <w:rPr>
          <w:rFonts w:ascii="Verdana" w:hAnsi="Verdana"/>
          <w:szCs w:val="12"/>
          <w:lang w:val="es-ES"/>
        </w:rPr>
        <w:t xml:space="preserve">6 talleres para fortalecer los aspectos de organización interna de las organizaciones. </w:t>
      </w:r>
    </w:p>
    <w:p w:rsidR="00DA252E" w:rsidRPr="00164C6A" w:rsidRDefault="00DA252E" w:rsidP="00582BDE">
      <w:pPr>
        <w:pStyle w:val="Default"/>
        <w:numPr>
          <w:ilvl w:val="2"/>
          <w:numId w:val="127"/>
        </w:numPr>
        <w:jc w:val="both"/>
        <w:rPr>
          <w:rFonts w:ascii="Verdana" w:hAnsi="Verdana"/>
          <w:szCs w:val="12"/>
          <w:lang w:val="es-ES"/>
        </w:rPr>
      </w:pPr>
      <w:r w:rsidRPr="00164C6A">
        <w:rPr>
          <w:rFonts w:ascii="Verdana" w:hAnsi="Verdana"/>
          <w:szCs w:val="12"/>
          <w:lang w:val="es-ES"/>
        </w:rPr>
        <w:t xml:space="preserve">9 talleres en la región del Bajo Magdalena y Caquetá, dirigidos a fortalecer las capacidades administrativas, contables y habilidades para la planeación de las organizaciones comunitarias, productivas, rurales y urbanas, locales y regionales. </w:t>
      </w:r>
    </w:p>
    <w:p w:rsidR="00DA252E" w:rsidRPr="00164C6A" w:rsidRDefault="00DA252E" w:rsidP="00FF784D">
      <w:pPr>
        <w:pStyle w:val="Default"/>
        <w:numPr>
          <w:ilvl w:val="0"/>
          <w:numId w:val="16"/>
        </w:numPr>
        <w:ind w:left="709" w:hanging="283"/>
        <w:jc w:val="both"/>
        <w:rPr>
          <w:rFonts w:ascii="Verdana" w:hAnsi="Verdana"/>
          <w:szCs w:val="12"/>
          <w:lang w:val="es-ES"/>
        </w:rPr>
      </w:pPr>
      <w:r w:rsidRPr="00164C6A">
        <w:rPr>
          <w:rFonts w:ascii="Verdana" w:hAnsi="Verdana"/>
          <w:szCs w:val="12"/>
          <w:lang w:val="es-ES"/>
        </w:rPr>
        <w:t xml:space="preserve">Concertación con representantes de comunidades indígenas para concretar un plan de financiación de la instalación de parcelas demostrativas para la recuperación de especies nativas de la región del Caquetá. </w:t>
      </w:r>
    </w:p>
    <w:p w:rsidR="00DA252E" w:rsidRPr="00D511AC" w:rsidRDefault="00DA252E" w:rsidP="00DA252E">
      <w:pPr>
        <w:pStyle w:val="Default"/>
        <w:ind w:left="720"/>
        <w:jc w:val="both"/>
        <w:rPr>
          <w:rFonts w:ascii="Verdana" w:hAnsi="Verdana"/>
          <w:szCs w:val="12"/>
          <w:lang w:val="es-ES"/>
        </w:rPr>
      </w:pPr>
      <w:r>
        <w:rPr>
          <w:rFonts w:ascii="Verdana" w:hAnsi="Verdana"/>
          <w:szCs w:val="12"/>
          <w:lang w:val="es-ES"/>
        </w:rPr>
        <w:t xml:space="preserve"> </w:t>
      </w:r>
    </w:p>
    <w:p w:rsidR="00DA252E" w:rsidRDefault="00DA252E" w:rsidP="00DA252E">
      <w:pPr>
        <w:spacing w:after="0" w:line="240" w:lineRule="auto"/>
        <w:jc w:val="both"/>
        <w:rPr>
          <w:rFonts w:ascii="Verdana" w:hAnsi="Verdana"/>
          <w:b/>
          <w:color w:val="548DD4" w:themeColor="text2" w:themeTint="99"/>
          <w:sz w:val="24"/>
          <w:szCs w:val="24"/>
        </w:rPr>
      </w:pPr>
      <w:r w:rsidRPr="00164C6A">
        <w:rPr>
          <w:rFonts w:ascii="Verdana" w:hAnsi="Verdana"/>
          <w:b/>
          <w:color w:val="548DD4" w:themeColor="text2" w:themeTint="99"/>
          <w:sz w:val="24"/>
          <w:szCs w:val="24"/>
        </w:rPr>
        <w:lastRenderedPageBreak/>
        <w:t xml:space="preserve">Logros </w:t>
      </w:r>
    </w:p>
    <w:p w:rsidR="00DA252E" w:rsidRPr="00164C6A" w:rsidRDefault="00DA252E" w:rsidP="00DA252E">
      <w:pPr>
        <w:spacing w:after="0" w:line="240" w:lineRule="auto"/>
        <w:jc w:val="both"/>
        <w:rPr>
          <w:rFonts w:ascii="Verdana" w:hAnsi="Verdana"/>
          <w:b/>
          <w:color w:val="548DD4" w:themeColor="text2" w:themeTint="99"/>
          <w:sz w:val="24"/>
          <w:szCs w:val="24"/>
        </w:rPr>
      </w:pPr>
    </w:p>
    <w:p w:rsidR="00DA252E" w:rsidRPr="000F0D20" w:rsidRDefault="00DA252E" w:rsidP="00FF784D">
      <w:pPr>
        <w:pStyle w:val="Default"/>
        <w:numPr>
          <w:ilvl w:val="0"/>
          <w:numId w:val="16"/>
        </w:numPr>
        <w:ind w:left="709" w:hanging="283"/>
        <w:jc w:val="both"/>
        <w:rPr>
          <w:rFonts w:ascii="Verdana" w:hAnsi="Verdana"/>
          <w:i/>
          <w:szCs w:val="12"/>
          <w:lang w:val="es-ES"/>
        </w:rPr>
      </w:pPr>
      <w:r w:rsidRPr="000F0D20">
        <w:rPr>
          <w:rFonts w:ascii="Verdana" w:hAnsi="Verdana"/>
          <w:i/>
          <w:szCs w:val="12"/>
          <w:lang w:val="es-ES"/>
        </w:rPr>
        <w:t xml:space="preserve">Dentro de los 12 encuentros territoriales realizados en 2014 para establecer diálogos regionales participaron más de 650 actores de los territorios, de los cuales 132 fueron voceros de las agendas regionales de desarrollo, paz y reconciliación en el encuentro nacional, que pretendía posicionar estas agendas ante las entidades del sector de la inclusión social, las directivas del DPS y la oficina del Alto comisionado para la Paz.  </w:t>
      </w:r>
    </w:p>
    <w:p w:rsidR="00DA252E" w:rsidRPr="000F0D20" w:rsidRDefault="00DA252E" w:rsidP="00FF784D">
      <w:pPr>
        <w:pStyle w:val="Default"/>
        <w:numPr>
          <w:ilvl w:val="0"/>
          <w:numId w:val="16"/>
        </w:numPr>
        <w:ind w:left="709" w:hanging="283"/>
        <w:jc w:val="both"/>
        <w:rPr>
          <w:rFonts w:ascii="Verdana" w:hAnsi="Verdana"/>
          <w:i/>
          <w:szCs w:val="12"/>
          <w:lang w:val="es-ES"/>
        </w:rPr>
      </w:pPr>
      <w:r w:rsidRPr="000F0D20">
        <w:rPr>
          <w:rFonts w:ascii="Verdana" w:hAnsi="Verdana"/>
          <w:i/>
          <w:szCs w:val="12"/>
          <w:lang w:val="es-ES"/>
        </w:rPr>
        <w:t xml:space="preserve">Se diseñó y presentó a las directivas del DPS una propuesta formal para la constitución y funcionamiento de un Comité de Reconciliación del Sector, el cual se encuentra en consideración por parte de esta instancia. </w:t>
      </w:r>
    </w:p>
    <w:p w:rsidR="00DA252E" w:rsidRPr="000F0D20" w:rsidRDefault="00DA252E" w:rsidP="00FF784D">
      <w:pPr>
        <w:pStyle w:val="Default"/>
        <w:numPr>
          <w:ilvl w:val="0"/>
          <w:numId w:val="16"/>
        </w:numPr>
        <w:ind w:left="709" w:hanging="283"/>
        <w:jc w:val="both"/>
        <w:rPr>
          <w:rFonts w:ascii="Verdana" w:hAnsi="Verdana"/>
          <w:i/>
          <w:szCs w:val="12"/>
          <w:lang w:val="es-ES"/>
        </w:rPr>
      </w:pPr>
      <w:r w:rsidRPr="000F0D20">
        <w:rPr>
          <w:rFonts w:ascii="Verdana" w:hAnsi="Verdana"/>
          <w:i/>
          <w:szCs w:val="12"/>
          <w:lang w:val="es-ES"/>
        </w:rPr>
        <w:t xml:space="preserve">Se concretó y gestionó un proyecto de inversión con una inversión inicial de $2.000 millones, que pretende diseñar e implementar una política pública de construcción de paz, desarrollo y reconciliación, con base en los aprendizajes y experiencias de los Laboratorios de Paz, Los programas de Desarrollo, Paz y Estabilidad y las Nuevas iniciativas de Paz. Este proyecto se ejecutará a partir de 2015 y hasta el 2017 en coordinación con la Subdirección General de la Entidad. </w:t>
      </w:r>
    </w:p>
    <w:p w:rsidR="00DA252E" w:rsidRPr="00F71B84" w:rsidRDefault="00DA252E" w:rsidP="00DA252E">
      <w:pPr>
        <w:pStyle w:val="Prrafodelista"/>
        <w:spacing w:after="0" w:line="240" w:lineRule="auto"/>
        <w:ind w:left="0"/>
        <w:jc w:val="both"/>
        <w:rPr>
          <w:rFonts w:ascii="Verdana" w:hAnsi="Verdana"/>
          <w:b/>
          <w:sz w:val="24"/>
          <w:szCs w:val="24"/>
        </w:rPr>
      </w:pPr>
    </w:p>
    <w:p w:rsidR="00DA252E" w:rsidRDefault="00DA252E" w:rsidP="00DA252E">
      <w:pPr>
        <w:spacing w:after="0" w:line="240" w:lineRule="auto"/>
        <w:jc w:val="both"/>
        <w:rPr>
          <w:rFonts w:ascii="Verdana" w:hAnsi="Verdana"/>
          <w:b/>
          <w:color w:val="548DD4" w:themeColor="text2" w:themeTint="99"/>
          <w:sz w:val="24"/>
          <w:szCs w:val="24"/>
        </w:rPr>
      </w:pPr>
      <w:r w:rsidRPr="00405354">
        <w:rPr>
          <w:rFonts w:ascii="Verdana" w:hAnsi="Verdana"/>
          <w:b/>
          <w:color w:val="548DD4" w:themeColor="text2" w:themeTint="99"/>
          <w:sz w:val="24"/>
          <w:szCs w:val="24"/>
        </w:rPr>
        <w:t xml:space="preserve">Retos 2015 </w:t>
      </w:r>
    </w:p>
    <w:p w:rsidR="00DA252E" w:rsidRPr="00405354" w:rsidRDefault="00DA252E" w:rsidP="00DA252E">
      <w:pPr>
        <w:spacing w:after="0" w:line="240" w:lineRule="auto"/>
        <w:jc w:val="both"/>
        <w:rPr>
          <w:rFonts w:ascii="Verdana" w:hAnsi="Verdana"/>
          <w:b/>
          <w:color w:val="548DD4" w:themeColor="text2" w:themeTint="99"/>
          <w:sz w:val="24"/>
          <w:szCs w:val="24"/>
        </w:rPr>
      </w:pPr>
    </w:p>
    <w:p w:rsidR="00DA252E" w:rsidRPr="000F0D20" w:rsidRDefault="00DA252E" w:rsidP="00FF784D">
      <w:pPr>
        <w:pStyle w:val="Default"/>
        <w:numPr>
          <w:ilvl w:val="0"/>
          <w:numId w:val="16"/>
        </w:numPr>
        <w:ind w:left="709" w:hanging="283"/>
        <w:jc w:val="both"/>
        <w:rPr>
          <w:rFonts w:ascii="Verdana" w:hAnsi="Verdana"/>
          <w:i/>
          <w:szCs w:val="12"/>
          <w:lang w:val="es-ES"/>
        </w:rPr>
      </w:pPr>
      <w:r w:rsidRPr="000F0D20">
        <w:rPr>
          <w:rFonts w:ascii="Verdana" w:hAnsi="Verdana"/>
          <w:i/>
          <w:szCs w:val="12"/>
          <w:lang w:val="es-ES"/>
        </w:rPr>
        <w:t>La consolidación de los espacios de articulación institucional con el fin de facilitar la implementación de los diferentes proyectos en los territorios, en el marco de NTP.</w:t>
      </w:r>
    </w:p>
    <w:p w:rsidR="00DA252E" w:rsidRPr="00D511AC" w:rsidRDefault="00DA252E" w:rsidP="00FF784D">
      <w:pPr>
        <w:pStyle w:val="Default"/>
        <w:numPr>
          <w:ilvl w:val="0"/>
          <w:numId w:val="16"/>
        </w:numPr>
        <w:ind w:left="709" w:hanging="283"/>
        <w:jc w:val="both"/>
        <w:rPr>
          <w:rFonts w:ascii="Verdana" w:hAnsi="Verdana"/>
          <w:i/>
        </w:rPr>
      </w:pPr>
      <w:r w:rsidRPr="000F0D20">
        <w:rPr>
          <w:rFonts w:ascii="Verdana" w:hAnsi="Verdana"/>
          <w:i/>
          <w:szCs w:val="12"/>
          <w:lang w:val="es-ES"/>
        </w:rPr>
        <w:t xml:space="preserve"> El fortalecimiento de los  4 Comités Territoriales, uno por región, como espacios de diálogo abierto y transparente entre las organizaciones sociales y ejecutoras de los proyectos y el DPS, logrando concretar aportes  que orienten</w:t>
      </w:r>
      <w:r w:rsidRPr="00244B0B">
        <w:rPr>
          <w:rFonts w:ascii="Verdana" w:hAnsi="Verdana"/>
          <w:i/>
        </w:rPr>
        <w:t xml:space="preserve"> y aumenten el impacto de las acciones en cada región. </w:t>
      </w:r>
      <w:bookmarkStart w:id="48" w:name="_Toc410111295"/>
    </w:p>
    <w:p w:rsidR="00DA252E" w:rsidRPr="000C478C" w:rsidRDefault="00DA252E" w:rsidP="00DA252E">
      <w:bookmarkStart w:id="49" w:name="_Toc410376792"/>
    </w:p>
    <w:p w:rsidR="00DA252E" w:rsidRPr="00334E15" w:rsidRDefault="00DA252E" w:rsidP="00DA252E">
      <w:pPr>
        <w:pStyle w:val="Ttulo3"/>
        <w:spacing w:before="0" w:after="0" w:line="240" w:lineRule="auto"/>
        <w:rPr>
          <w:rFonts w:ascii="Verdana" w:hAnsi="Verdana"/>
          <w:color w:val="548DD4" w:themeColor="text2" w:themeTint="99"/>
          <w:sz w:val="24"/>
          <w:szCs w:val="24"/>
          <w:u w:val="single"/>
        </w:rPr>
      </w:pPr>
      <w:r w:rsidRPr="00334E15">
        <w:rPr>
          <w:rFonts w:ascii="Verdana" w:hAnsi="Verdana"/>
          <w:color w:val="548DD4" w:themeColor="text2" w:themeTint="99"/>
          <w:sz w:val="24"/>
          <w:szCs w:val="24"/>
          <w:u w:val="single"/>
        </w:rPr>
        <w:t>FAMILIAS EN SU TIERRA</w:t>
      </w:r>
      <w:bookmarkEnd w:id="26"/>
      <w:bookmarkEnd w:id="48"/>
      <w:r w:rsidRPr="00334E15">
        <w:rPr>
          <w:rFonts w:ascii="Verdana" w:hAnsi="Verdana"/>
          <w:color w:val="548DD4" w:themeColor="text2" w:themeTint="99"/>
          <w:sz w:val="24"/>
          <w:szCs w:val="24"/>
          <w:u w:val="single"/>
        </w:rPr>
        <w:t xml:space="preserve"> - FEST</w:t>
      </w:r>
      <w:bookmarkEnd w:id="49"/>
    </w:p>
    <w:p w:rsidR="00DA252E" w:rsidRPr="00F71B84" w:rsidRDefault="00DA252E" w:rsidP="00DA252E">
      <w:pPr>
        <w:spacing w:after="0" w:line="240" w:lineRule="auto"/>
        <w:jc w:val="center"/>
        <w:rPr>
          <w:rFonts w:ascii="Verdana" w:hAnsi="Verdana" w:cs="Arial"/>
          <w:b/>
          <w:sz w:val="24"/>
          <w:szCs w:val="24"/>
        </w:rPr>
      </w:pPr>
    </w:p>
    <w:p w:rsidR="00DA252E" w:rsidRPr="00405354" w:rsidRDefault="00DA252E" w:rsidP="00DA252E">
      <w:pPr>
        <w:pStyle w:val="Prrafodelista"/>
        <w:spacing w:after="0" w:line="240" w:lineRule="auto"/>
        <w:ind w:left="0"/>
        <w:jc w:val="both"/>
        <w:rPr>
          <w:rFonts w:ascii="Verdana" w:hAnsi="Verdana" w:cs="Arial"/>
          <w:b/>
          <w:color w:val="548DD4" w:themeColor="text2" w:themeTint="99"/>
          <w:sz w:val="24"/>
          <w:szCs w:val="24"/>
        </w:rPr>
      </w:pPr>
      <w:r w:rsidRPr="00405354">
        <w:rPr>
          <w:rFonts w:ascii="Verdana" w:hAnsi="Verdana" w:cs="Arial"/>
          <w:b/>
          <w:color w:val="548DD4" w:themeColor="text2" w:themeTint="99"/>
          <w:sz w:val="24"/>
          <w:szCs w:val="24"/>
        </w:rPr>
        <w:t xml:space="preserve">Objetivos </w:t>
      </w:r>
    </w:p>
    <w:p w:rsidR="00DA252E" w:rsidRPr="00F71B84" w:rsidRDefault="00DA252E" w:rsidP="00DA252E">
      <w:pPr>
        <w:spacing w:after="0" w:line="240" w:lineRule="auto"/>
        <w:jc w:val="both"/>
        <w:rPr>
          <w:rFonts w:ascii="Verdana" w:hAnsi="Verdana" w:cs="Arial"/>
          <w:sz w:val="24"/>
          <w:szCs w:val="24"/>
        </w:rPr>
      </w:pPr>
    </w:p>
    <w:p w:rsidR="00DA252E" w:rsidRPr="00F71B84" w:rsidRDefault="00DA252E" w:rsidP="00DA252E">
      <w:pPr>
        <w:spacing w:after="0" w:line="240" w:lineRule="auto"/>
        <w:jc w:val="both"/>
        <w:rPr>
          <w:rFonts w:ascii="Verdana" w:hAnsi="Verdana" w:cs="Arial"/>
          <w:color w:val="000000"/>
          <w:sz w:val="24"/>
          <w:szCs w:val="24"/>
        </w:rPr>
      </w:pPr>
      <w:r>
        <w:rPr>
          <w:rFonts w:ascii="Verdana" w:hAnsi="Verdana" w:cs="Arial"/>
          <w:sz w:val="24"/>
          <w:szCs w:val="24"/>
        </w:rPr>
        <w:t>C</w:t>
      </w:r>
      <w:r w:rsidRPr="00F71B84">
        <w:rPr>
          <w:rFonts w:ascii="Verdana" w:hAnsi="Verdana" w:cs="Arial"/>
          <w:sz w:val="24"/>
          <w:szCs w:val="24"/>
        </w:rPr>
        <w:t>ontribuir a la estabilización</w:t>
      </w:r>
      <w:r w:rsidRPr="00F71B84">
        <w:rPr>
          <w:rFonts w:ascii="Verdana" w:hAnsi="Verdana" w:cs="Arial"/>
          <w:color w:val="000000"/>
          <w:sz w:val="24"/>
          <w:szCs w:val="24"/>
        </w:rPr>
        <w:t xml:space="preserve"> socioeconómica, al goce efectivo de derechos y a la reparación simbólica de la población víctima retornada o reubicada, y al arraigo de los Hogares a través de un acompañamiento comunitario y la entrega de incentivos condicionados que permitan abordar los componentes de seguridad alimentaria, reducción de carencias básicas habitacionales, promoción de ideas </w:t>
      </w:r>
      <w:r w:rsidRPr="00F71B84">
        <w:rPr>
          <w:rFonts w:ascii="Verdana" w:hAnsi="Verdana" w:cs="Arial"/>
          <w:color w:val="000000"/>
          <w:sz w:val="24"/>
          <w:szCs w:val="24"/>
        </w:rPr>
        <w:lastRenderedPageBreak/>
        <w:t xml:space="preserve">productivas, acceso de la población a la verdad, justicia y reparación, organización social, ingresos y trabajo.  </w:t>
      </w:r>
    </w:p>
    <w:p w:rsidR="00DA252E" w:rsidRDefault="00DA252E" w:rsidP="00DA252E">
      <w:pPr>
        <w:spacing w:after="0" w:line="240" w:lineRule="auto"/>
        <w:rPr>
          <w:rFonts w:ascii="Verdana" w:hAnsi="Verdana"/>
          <w:b/>
          <w:color w:val="548DD4" w:themeColor="text2" w:themeTint="99"/>
          <w:sz w:val="24"/>
          <w:szCs w:val="24"/>
        </w:rPr>
      </w:pPr>
    </w:p>
    <w:p w:rsidR="00DA252E" w:rsidRPr="00405354"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Líneas de Acción</w:t>
      </w:r>
    </w:p>
    <w:p w:rsidR="00DA252E" w:rsidRPr="00F71B84" w:rsidRDefault="00DA252E" w:rsidP="00DA252E">
      <w:pPr>
        <w:spacing w:after="0" w:line="240" w:lineRule="auto"/>
        <w:rPr>
          <w:rFonts w:ascii="Verdana" w:hAnsi="Verdana"/>
          <w:b/>
          <w:sz w:val="24"/>
          <w:szCs w:val="24"/>
        </w:rPr>
      </w:pPr>
    </w:p>
    <w:p w:rsidR="00DA252E" w:rsidRPr="00F71B84" w:rsidRDefault="00DA252E" w:rsidP="00DA252E">
      <w:pPr>
        <w:spacing w:after="0" w:line="240" w:lineRule="auto"/>
        <w:jc w:val="both"/>
        <w:rPr>
          <w:rFonts w:ascii="Verdana" w:hAnsi="Verdana" w:cs="Arial"/>
          <w:sz w:val="24"/>
          <w:szCs w:val="24"/>
        </w:rPr>
      </w:pPr>
      <w:r w:rsidRPr="00F71B84">
        <w:rPr>
          <w:rFonts w:ascii="Verdana" w:hAnsi="Verdana" w:cs="Arial"/>
          <w:sz w:val="24"/>
          <w:szCs w:val="24"/>
        </w:rPr>
        <w:t>Coordinar y ejecutar acciones para la atención y reparación integral de las víctimas de la violencia y la reconciliación de los colombianos. De conformidad con el artículo 4 de la Resolución 0985 del 21 de Octubre de 2013, los componentes del Programa Familias en su Tierra -</w:t>
      </w:r>
      <w:r>
        <w:rPr>
          <w:rFonts w:ascii="Verdana" w:hAnsi="Verdana" w:cs="Arial"/>
          <w:sz w:val="24"/>
          <w:szCs w:val="24"/>
        </w:rPr>
        <w:t xml:space="preserve"> </w:t>
      </w:r>
      <w:r w:rsidRPr="00F71B84">
        <w:rPr>
          <w:rFonts w:ascii="Verdana" w:hAnsi="Verdana" w:cs="Arial"/>
          <w:sz w:val="24"/>
          <w:szCs w:val="24"/>
        </w:rPr>
        <w:t>FEST, son los siguientes:</w:t>
      </w:r>
    </w:p>
    <w:p w:rsidR="00DA252E" w:rsidRPr="00F71B84" w:rsidRDefault="00DA252E" w:rsidP="00DA252E">
      <w:pPr>
        <w:spacing w:after="0" w:line="240" w:lineRule="auto"/>
        <w:jc w:val="both"/>
        <w:rPr>
          <w:rFonts w:ascii="Verdana" w:hAnsi="Verdana" w:cs="Arial"/>
          <w:sz w:val="24"/>
          <w:szCs w:val="24"/>
        </w:rPr>
      </w:pPr>
    </w:p>
    <w:p w:rsidR="00DA252E" w:rsidRPr="00A67F92" w:rsidRDefault="00DA252E" w:rsidP="00FF784D">
      <w:pPr>
        <w:pStyle w:val="Prrafodelista"/>
        <w:numPr>
          <w:ilvl w:val="0"/>
          <w:numId w:val="7"/>
        </w:numPr>
        <w:tabs>
          <w:tab w:val="left" w:pos="709"/>
        </w:tabs>
        <w:spacing w:after="0" w:line="240" w:lineRule="auto"/>
        <w:ind w:left="709" w:hanging="283"/>
        <w:jc w:val="both"/>
        <w:rPr>
          <w:rFonts w:ascii="Verdana" w:hAnsi="Verdana" w:cs="Arial"/>
          <w:sz w:val="24"/>
          <w:szCs w:val="24"/>
        </w:rPr>
      </w:pPr>
      <w:r w:rsidRPr="00A67F92">
        <w:rPr>
          <w:rStyle w:val="Ttulo4Car"/>
          <w:rFonts w:eastAsia="Calibri" w:cs="Arial"/>
          <w:sz w:val="24"/>
        </w:rPr>
        <w:t>Acompañamiento Social-Comunitario</w:t>
      </w:r>
      <w:r w:rsidRPr="00A67F92">
        <w:rPr>
          <w:rFonts w:ascii="Verdana" w:hAnsi="Verdana" w:cs="Arial"/>
          <w:b/>
          <w:sz w:val="24"/>
          <w:szCs w:val="24"/>
        </w:rPr>
        <w:t>:</w:t>
      </w:r>
      <w:r w:rsidRPr="00A67F92">
        <w:rPr>
          <w:rFonts w:ascii="Verdana" w:hAnsi="Verdana" w:cs="Arial"/>
          <w:sz w:val="24"/>
          <w:szCs w:val="24"/>
        </w:rPr>
        <w:t xml:space="preserve"> actividades transversales y permanentes que se adelantan de manera colectiva y simbólica, siendo desarrolladas con la comunidad, dirigidas a brindar capacitación social, técnica y ambiental a los hogares retornados o reubicados, con el fin de contribuir a la generación y fortalecimiento de sus capacidades. </w:t>
      </w:r>
    </w:p>
    <w:p w:rsidR="00DA252E" w:rsidRPr="00A67F92" w:rsidRDefault="00DA252E" w:rsidP="00FF784D">
      <w:pPr>
        <w:pStyle w:val="Prrafodelista"/>
        <w:numPr>
          <w:ilvl w:val="0"/>
          <w:numId w:val="7"/>
        </w:numPr>
        <w:tabs>
          <w:tab w:val="left" w:pos="709"/>
        </w:tabs>
        <w:spacing w:after="0" w:line="240" w:lineRule="auto"/>
        <w:ind w:left="709" w:hanging="283"/>
        <w:jc w:val="both"/>
        <w:rPr>
          <w:rFonts w:ascii="Verdana" w:hAnsi="Verdana" w:cs="Arial"/>
          <w:sz w:val="24"/>
          <w:szCs w:val="24"/>
        </w:rPr>
      </w:pPr>
      <w:r w:rsidRPr="00A67F92">
        <w:rPr>
          <w:rFonts w:ascii="Verdana" w:hAnsi="Verdana" w:cs="Arial"/>
          <w:sz w:val="24"/>
          <w:szCs w:val="24"/>
        </w:rPr>
        <w:t>Incentivos Económicos Condicionados: recursos económicos que permiten la puesta en marcha de estrategias para, la reducción de carencias básicas habitacionales, seguridad alimentaria e idea productiva. Los incentivos transferidos por el Programa corresponden a:</w:t>
      </w:r>
    </w:p>
    <w:p w:rsidR="00DA252E" w:rsidRPr="00A67F92" w:rsidRDefault="00DA252E" w:rsidP="00582BDE">
      <w:pPr>
        <w:pStyle w:val="Prrafodelista"/>
        <w:numPr>
          <w:ilvl w:val="0"/>
          <w:numId w:val="128"/>
        </w:numPr>
        <w:spacing w:after="0" w:line="240" w:lineRule="auto"/>
        <w:jc w:val="both"/>
        <w:rPr>
          <w:rFonts w:ascii="Verdana" w:hAnsi="Verdana" w:cs="Arial"/>
          <w:sz w:val="24"/>
          <w:szCs w:val="24"/>
        </w:rPr>
      </w:pPr>
      <w:r w:rsidRPr="00A67F92">
        <w:rPr>
          <w:rFonts w:ascii="Verdana" w:hAnsi="Verdana" w:cs="Arial"/>
          <w:sz w:val="24"/>
          <w:szCs w:val="24"/>
        </w:rPr>
        <w:t xml:space="preserve">Subcomponente de incentivo al retorno o la reubicación: su finalidad es estimular el retorno o la reubicación de los hogares víctimas del desplazamiento forzado y su arraigo, orientado a la solución de necesidades básicas de respuesta urgente y el inicio del proceso progresivo de restitución de derechos. </w:t>
      </w:r>
    </w:p>
    <w:p w:rsidR="00DA252E" w:rsidRPr="00A67F92" w:rsidRDefault="00DA252E" w:rsidP="00582BDE">
      <w:pPr>
        <w:pStyle w:val="Prrafodelista"/>
        <w:numPr>
          <w:ilvl w:val="0"/>
          <w:numId w:val="128"/>
        </w:numPr>
        <w:spacing w:after="0" w:line="240" w:lineRule="auto"/>
        <w:jc w:val="both"/>
        <w:rPr>
          <w:rFonts w:ascii="Verdana" w:hAnsi="Verdana" w:cs="Arial"/>
          <w:sz w:val="24"/>
          <w:szCs w:val="24"/>
        </w:rPr>
      </w:pPr>
      <w:r w:rsidRPr="00A67F92">
        <w:rPr>
          <w:rFonts w:ascii="Verdana" w:hAnsi="Verdana" w:cs="Arial"/>
          <w:sz w:val="24"/>
          <w:szCs w:val="24"/>
        </w:rPr>
        <w:t xml:space="preserve">Subcomponente de reducción de carencias básicas habitacionales: está orientado a la superación de  deficiencias habitacionales prioritarias a partir de reparaciones y adecuaciones locativas en el inmueble, intervenciones para la motivación del arraigo y promoción de acciones para el mejoramiento de las condiciones de saneamiento básico. </w:t>
      </w:r>
    </w:p>
    <w:p w:rsidR="00DA252E" w:rsidRPr="00A67F92" w:rsidRDefault="00DA252E" w:rsidP="00582BDE">
      <w:pPr>
        <w:pStyle w:val="Prrafodelista"/>
        <w:numPr>
          <w:ilvl w:val="0"/>
          <w:numId w:val="128"/>
        </w:numPr>
        <w:spacing w:after="0" w:line="240" w:lineRule="auto"/>
        <w:jc w:val="both"/>
        <w:rPr>
          <w:rFonts w:ascii="Verdana" w:hAnsi="Verdana" w:cs="Arial"/>
          <w:sz w:val="24"/>
          <w:szCs w:val="24"/>
        </w:rPr>
      </w:pPr>
      <w:r w:rsidRPr="00A67F92">
        <w:rPr>
          <w:rFonts w:ascii="Verdana" w:hAnsi="Verdana" w:cs="Arial"/>
          <w:sz w:val="24"/>
          <w:szCs w:val="24"/>
        </w:rPr>
        <w:t xml:space="preserve">Subcomponente de seguridad alimentaria: busca que los hogares tengan disponibilidad para el acceso oportuno y estable a los alimentos, en cantidad, calidad e inocuidad que les permita una vida saludable, mediante la promoción de acciones orientadas al autoabastecimiento y su sostenibilidad. </w:t>
      </w:r>
    </w:p>
    <w:p w:rsidR="00DA252E" w:rsidRPr="00A67F92" w:rsidRDefault="00DA252E" w:rsidP="00582BDE">
      <w:pPr>
        <w:pStyle w:val="Prrafodelista"/>
        <w:numPr>
          <w:ilvl w:val="0"/>
          <w:numId w:val="128"/>
        </w:numPr>
        <w:spacing w:after="0" w:line="240" w:lineRule="auto"/>
        <w:jc w:val="both"/>
        <w:rPr>
          <w:rFonts w:ascii="Verdana" w:hAnsi="Verdana" w:cs="Arial"/>
          <w:sz w:val="24"/>
          <w:szCs w:val="24"/>
          <w:u w:val="single"/>
        </w:rPr>
      </w:pPr>
      <w:r w:rsidRPr="00A67F92">
        <w:rPr>
          <w:rFonts w:ascii="Verdana" w:hAnsi="Verdana" w:cs="Arial"/>
          <w:sz w:val="24"/>
          <w:szCs w:val="24"/>
        </w:rPr>
        <w:t xml:space="preserve">Subcomponente de idea productiva: este componente busca contribuir a la estabilización socioeconómica, mediante la identificación de las competencias ocupacionales de la población, así como la vocación productiva del territorio, para la promoción de iniciativas productivas viables y sostenibles. </w:t>
      </w:r>
    </w:p>
    <w:p w:rsidR="00DA252E" w:rsidRPr="00A67F92" w:rsidRDefault="00DA252E" w:rsidP="00582BDE">
      <w:pPr>
        <w:pStyle w:val="Prrafodelista"/>
        <w:numPr>
          <w:ilvl w:val="0"/>
          <w:numId w:val="128"/>
        </w:numPr>
        <w:spacing w:after="0" w:line="240" w:lineRule="auto"/>
        <w:jc w:val="both"/>
        <w:rPr>
          <w:rFonts w:ascii="Verdana" w:hAnsi="Verdana" w:cs="Arial"/>
          <w:sz w:val="24"/>
          <w:szCs w:val="24"/>
        </w:rPr>
      </w:pPr>
      <w:r w:rsidRPr="00A67F92">
        <w:rPr>
          <w:rFonts w:ascii="Verdana" w:hAnsi="Verdana" w:cs="Arial"/>
          <w:sz w:val="24"/>
          <w:szCs w:val="24"/>
        </w:rPr>
        <w:lastRenderedPageBreak/>
        <w:t>Acciones de Integración Comunitaria con Enfoque Reparador: acciones que tienen como objeto acompañar los procesos de integración comunitaria entre los hogares retornados o reubicados y la población receptora apuntando a la reconstrucción y fortalecimiento del tejido social. Estas son: i) acto de integración comunitaria; ii) iniciativa ambiental con enfoque de reparación simbólica; iii) acto simbólico de cierre con enfoque de reparación colectiva.</w:t>
      </w:r>
    </w:p>
    <w:p w:rsidR="00DA252E" w:rsidRPr="00F71B84" w:rsidRDefault="00DA252E" w:rsidP="00DA252E">
      <w:pPr>
        <w:spacing w:after="0" w:line="240" w:lineRule="auto"/>
        <w:rPr>
          <w:rFonts w:ascii="Verdana" w:hAnsi="Verdana"/>
          <w:b/>
          <w:sz w:val="20"/>
          <w:szCs w:val="24"/>
        </w:rPr>
      </w:pPr>
    </w:p>
    <w:p w:rsidR="00A67F92" w:rsidRDefault="00A67F92" w:rsidP="00DA252E">
      <w:pPr>
        <w:spacing w:after="0" w:line="240" w:lineRule="auto"/>
        <w:rPr>
          <w:rFonts w:ascii="Verdana" w:hAnsi="Verdana"/>
          <w:b/>
          <w:color w:val="548DD4" w:themeColor="text2" w:themeTint="99"/>
          <w:sz w:val="24"/>
          <w:szCs w:val="24"/>
        </w:rPr>
      </w:pPr>
    </w:p>
    <w:p w:rsidR="00DA252E" w:rsidRPr="00405354"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Cumplimiento Metas</w:t>
      </w:r>
    </w:p>
    <w:p w:rsidR="00DA252E" w:rsidRDefault="00DA252E" w:rsidP="00DA252E">
      <w:pPr>
        <w:spacing w:after="0" w:line="240" w:lineRule="auto"/>
        <w:rPr>
          <w:rFonts w:ascii="Verdana" w:hAnsi="Verdana"/>
          <w:b/>
          <w:sz w:val="24"/>
          <w:szCs w:val="24"/>
        </w:rPr>
      </w:pPr>
    </w:p>
    <w:p w:rsidR="00DA252E" w:rsidRPr="00E72E21" w:rsidRDefault="00DA252E" w:rsidP="00DA252E">
      <w:pPr>
        <w:spacing w:after="0" w:line="240" w:lineRule="auto"/>
        <w:jc w:val="both"/>
        <w:rPr>
          <w:rFonts w:ascii="Verdana" w:hAnsi="Verdana"/>
          <w:sz w:val="24"/>
          <w:szCs w:val="24"/>
        </w:rPr>
      </w:pPr>
      <w:r w:rsidRPr="00E72E21">
        <w:rPr>
          <w:rFonts w:ascii="Verdana" w:hAnsi="Verdana"/>
          <w:sz w:val="24"/>
          <w:szCs w:val="24"/>
        </w:rPr>
        <w:t>Meta 2014: 14.000 Hogares.</w:t>
      </w:r>
    </w:p>
    <w:p w:rsidR="00DA252E" w:rsidRPr="00E72E21" w:rsidRDefault="00DA252E" w:rsidP="00DA252E">
      <w:pPr>
        <w:spacing w:after="0" w:line="240" w:lineRule="auto"/>
        <w:jc w:val="both"/>
        <w:rPr>
          <w:rFonts w:ascii="Verdana" w:hAnsi="Verdana"/>
          <w:sz w:val="24"/>
          <w:szCs w:val="24"/>
        </w:rPr>
      </w:pPr>
      <w:r w:rsidRPr="00E72E21">
        <w:rPr>
          <w:rFonts w:ascii="Verdana" w:hAnsi="Verdana"/>
          <w:sz w:val="24"/>
          <w:szCs w:val="24"/>
        </w:rPr>
        <w:t>Avance Meta: 14.177 Hogares.</w:t>
      </w:r>
    </w:p>
    <w:p w:rsidR="00DA252E" w:rsidRPr="00F71B84" w:rsidRDefault="00DA252E" w:rsidP="00DA252E">
      <w:pPr>
        <w:spacing w:after="0" w:line="240" w:lineRule="auto"/>
        <w:rPr>
          <w:rFonts w:ascii="Verdana" w:hAnsi="Verdana"/>
          <w:b/>
          <w:sz w:val="24"/>
          <w:szCs w:val="24"/>
        </w:rPr>
      </w:pPr>
    </w:p>
    <w:p w:rsidR="00DA252E" w:rsidRPr="00D973F0" w:rsidRDefault="00DA252E" w:rsidP="00DA252E">
      <w:pPr>
        <w:spacing w:after="0" w:line="240" w:lineRule="auto"/>
        <w:jc w:val="both"/>
        <w:rPr>
          <w:rFonts w:ascii="Verdana" w:eastAsia="Verdana" w:hAnsi="Verdana" w:cs="Arial"/>
          <w:sz w:val="24"/>
          <w:szCs w:val="24"/>
        </w:rPr>
      </w:pPr>
      <w:r>
        <w:rPr>
          <w:rFonts w:ascii="Verdana" w:eastAsia="Verdana" w:hAnsi="Verdana" w:cs="Arial"/>
          <w:sz w:val="24"/>
          <w:szCs w:val="24"/>
        </w:rPr>
        <w:t>S</w:t>
      </w:r>
      <w:r w:rsidRPr="00F71B84">
        <w:rPr>
          <w:rFonts w:ascii="Verdana" w:eastAsia="Verdana" w:hAnsi="Verdana" w:cs="Arial"/>
          <w:sz w:val="24"/>
          <w:szCs w:val="24"/>
        </w:rPr>
        <w:t>e han atendido 43.</w:t>
      </w:r>
      <w:r>
        <w:rPr>
          <w:rFonts w:ascii="Verdana" w:eastAsia="Verdana" w:hAnsi="Verdana" w:cs="Arial"/>
          <w:sz w:val="24"/>
          <w:szCs w:val="24"/>
        </w:rPr>
        <w:t>144</w:t>
      </w:r>
      <w:r w:rsidRPr="00F71B84">
        <w:rPr>
          <w:rFonts w:ascii="Verdana" w:eastAsia="Verdana" w:hAnsi="Verdana" w:cs="Arial"/>
          <w:sz w:val="24"/>
          <w:szCs w:val="24"/>
        </w:rPr>
        <w:t xml:space="preserve"> hogares intervenidos bajo este esquema. Distribuidos de la siguiente manera: Convocatoria I</w:t>
      </w:r>
      <w:r w:rsidRPr="00D973F0">
        <w:rPr>
          <w:rFonts w:ascii="Verdana" w:eastAsia="Verdana" w:hAnsi="Verdana" w:cs="Arial"/>
          <w:sz w:val="24"/>
          <w:szCs w:val="24"/>
        </w:rPr>
        <w:t>, 17.5</w:t>
      </w:r>
      <w:r>
        <w:rPr>
          <w:rFonts w:ascii="Verdana" w:eastAsia="Verdana" w:hAnsi="Verdana" w:cs="Arial"/>
          <w:sz w:val="24"/>
          <w:szCs w:val="24"/>
        </w:rPr>
        <w:t>67</w:t>
      </w:r>
      <w:r w:rsidRPr="00D973F0">
        <w:rPr>
          <w:rFonts w:ascii="Verdana" w:eastAsia="Verdana" w:hAnsi="Verdana" w:cs="Arial"/>
          <w:sz w:val="24"/>
          <w:szCs w:val="24"/>
        </w:rPr>
        <w:t xml:space="preserve"> hogares participantes; Convocatoria II, 11.400; Convocatoria III, 14.177.</w:t>
      </w:r>
    </w:p>
    <w:p w:rsidR="00DA252E" w:rsidRDefault="00DA252E" w:rsidP="00DA252E">
      <w:pPr>
        <w:spacing w:after="0" w:line="240" w:lineRule="auto"/>
        <w:rPr>
          <w:rFonts w:ascii="Verdana" w:hAnsi="Verdana"/>
          <w:b/>
          <w:sz w:val="14"/>
          <w:szCs w:val="24"/>
        </w:rPr>
      </w:pPr>
    </w:p>
    <w:p w:rsidR="00DA252E" w:rsidRDefault="00DA252E" w:rsidP="00DA252E">
      <w:pPr>
        <w:spacing w:after="0" w:line="240" w:lineRule="auto"/>
        <w:rPr>
          <w:rFonts w:ascii="Verdana" w:hAnsi="Verdana"/>
          <w:b/>
          <w:sz w:val="14"/>
          <w:szCs w:val="24"/>
        </w:rPr>
      </w:pPr>
    </w:p>
    <w:p w:rsidR="00DA252E" w:rsidRPr="00D973F0" w:rsidRDefault="00DA252E" w:rsidP="00DA252E">
      <w:pPr>
        <w:spacing w:after="0" w:line="240" w:lineRule="auto"/>
        <w:rPr>
          <w:rFonts w:ascii="Verdana" w:hAnsi="Verdana"/>
          <w:b/>
          <w:sz w:val="14"/>
          <w:szCs w:val="24"/>
        </w:rPr>
      </w:pPr>
    </w:p>
    <w:p w:rsidR="00DA252E" w:rsidRDefault="00DA252E" w:rsidP="00DA252E">
      <w:pPr>
        <w:spacing w:after="0" w:line="240" w:lineRule="auto"/>
        <w:rPr>
          <w:rFonts w:ascii="Verdana" w:hAnsi="Verdana"/>
          <w:b/>
          <w:color w:val="548DD4" w:themeColor="text2" w:themeTint="99"/>
          <w:sz w:val="24"/>
          <w:szCs w:val="24"/>
        </w:rPr>
      </w:pPr>
      <w:r w:rsidRPr="00D973F0">
        <w:rPr>
          <w:rFonts w:ascii="Verdana" w:hAnsi="Verdana"/>
          <w:b/>
          <w:color w:val="548DD4" w:themeColor="text2" w:themeTint="99"/>
          <w:sz w:val="24"/>
          <w:szCs w:val="24"/>
        </w:rPr>
        <w:t xml:space="preserve">Logros </w:t>
      </w:r>
    </w:p>
    <w:p w:rsidR="00DA252E" w:rsidRPr="00D973F0" w:rsidRDefault="00DA252E" w:rsidP="00DA252E">
      <w:pPr>
        <w:spacing w:after="0" w:line="240" w:lineRule="auto"/>
        <w:rPr>
          <w:rFonts w:ascii="Verdana" w:hAnsi="Verdana"/>
          <w:b/>
          <w:color w:val="548DD4" w:themeColor="text2" w:themeTint="99"/>
          <w:sz w:val="24"/>
          <w:szCs w:val="24"/>
        </w:rPr>
      </w:pPr>
    </w:p>
    <w:p w:rsidR="00DA252E" w:rsidRPr="00D973F0" w:rsidRDefault="00DA252E" w:rsidP="00FF784D">
      <w:pPr>
        <w:pStyle w:val="Prrafodelista"/>
        <w:numPr>
          <w:ilvl w:val="0"/>
          <w:numId w:val="8"/>
        </w:numPr>
        <w:spacing w:after="0" w:line="240" w:lineRule="auto"/>
        <w:ind w:left="709" w:hanging="284"/>
        <w:jc w:val="both"/>
        <w:rPr>
          <w:rFonts w:ascii="Verdana" w:eastAsia="Verdana" w:hAnsi="Verdana" w:cs="Arial"/>
          <w:i/>
          <w:sz w:val="24"/>
          <w:szCs w:val="24"/>
        </w:rPr>
      </w:pPr>
      <w:r w:rsidRPr="00D973F0">
        <w:rPr>
          <w:rFonts w:ascii="Verdana" w:eastAsia="Verdana" w:hAnsi="Verdana" w:cs="Arial"/>
          <w:i/>
          <w:sz w:val="24"/>
          <w:szCs w:val="24"/>
        </w:rPr>
        <w:t>La intervención del Programa FEST en la Convocatoria I, compuesta por 17.5</w:t>
      </w:r>
      <w:r>
        <w:rPr>
          <w:rFonts w:ascii="Verdana" w:eastAsia="Verdana" w:hAnsi="Verdana" w:cs="Arial"/>
          <w:i/>
          <w:sz w:val="24"/>
          <w:szCs w:val="24"/>
        </w:rPr>
        <w:t>67</w:t>
      </w:r>
      <w:r w:rsidRPr="00D973F0">
        <w:rPr>
          <w:rFonts w:ascii="Verdana" w:eastAsia="Verdana" w:hAnsi="Verdana" w:cs="Arial"/>
          <w:i/>
          <w:sz w:val="24"/>
          <w:szCs w:val="24"/>
        </w:rPr>
        <w:t xml:space="preserve"> hogares en 2014 dispersó la totalidad de los componentes, la cobertura de esta convocatoria es de 15 departamentos y 54 municipios. </w:t>
      </w:r>
    </w:p>
    <w:p w:rsidR="00DA252E" w:rsidRPr="00407CE8" w:rsidRDefault="00DA252E" w:rsidP="00FF784D">
      <w:pPr>
        <w:pStyle w:val="Prrafodelista"/>
        <w:numPr>
          <w:ilvl w:val="0"/>
          <w:numId w:val="8"/>
        </w:numPr>
        <w:spacing w:after="0" w:line="240" w:lineRule="auto"/>
        <w:ind w:left="709" w:hanging="284"/>
        <w:jc w:val="both"/>
        <w:rPr>
          <w:rFonts w:ascii="Verdana" w:eastAsia="Verdana" w:hAnsi="Verdana" w:cs="Arial"/>
          <w:i/>
          <w:sz w:val="24"/>
          <w:szCs w:val="24"/>
        </w:rPr>
      </w:pPr>
      <w:r w:rsidRPr="00D973F0">
        <w:rPr>
          <w:rFonts w:ascii="Verdana" w:eastAsia="Verdana" w:hAnsi="Verdana" w:cs="Arial"/>
          <w:i/>
          <w:sz w:val="24"/>
          <w:szCs w:val="24"/>
        </w:rPr>
        <w:t>Respecto a la Convocatoria II, en 2014</w:t>
      </w:r>
      <w:r w:rsidRPr="00407CE8">
        <w:rPr>
          <w:rFonts w:ascii="Verdana" w:eastAsia="Verdana" w:hAnsi="Verdana" w:cs="Arial"/>
          <w:i/>
          <w:sz w:val="24"/>
          <w:szCs w:val="24"/>
        </w:rPr>
        <w:t xml:space="preserve"> se atendió 11.</w:t>
      </w:r>
      <w:r>
        <w:rPr>
          <w:rFonts w:ascii="Verdana" w:eastAsia="Verdana" w:hAnsi="Verdana" w:cs="Arial"/>
          <w:i/>
          <w:sz w:val="24"/>
          <w:szCs w:val="24"/>
        </w:rPr>
        <w:t>400</w:t>
      </w:r>
      <w:r w:rsidRPr="00407CE8">
        <w:rPr>
          <w:rFonts w:ascii="Verdana" w:eastAsia="Verdana" w:hAnsi="Verdana" w:cs="Arial"/>
          <w:i/>
          <w:sz w:val="24"/>
          <w:szCs w:val="24"/>
        </w:rPr>
        <w:t xml:space="preserve"> hogares, que recibieron  Acompañamiento Social Comunitario, Incentivo al Retorno o Reubicación, Carencias Básicas Habitacionales y Seguridad Alimentaria, la cobertura alcanzada con esta convocatoria es de 9 departamentos y 41 municipios. </w:t>
      </w:r>
    </w:p>
    <w:p w:rsidR="00DA252E" w:rsidRPr="00164C6A" w:rsidRDefault="00DA252E" w:rsidP="00FF784D">
      <w:pPr>
        <w:pStyle w:val="Prrafodelista"/>
        <w:numPr>
          <w:ilvl w:val="0"/>
          <w:numId w:val="8"/>
        </w:numPr>
        <w:spacing w:after="0" w:line="240" w:lineRule="auto"/>
        <w:ind w:left="709" w:hanging="284"/>
        <w:jc w:val="both"/>
        <w:rPr>
          <w:rFonts w:ascii="Verdana" w:eastAsia="Verdana" w:hAnsi="Verdana" w:cs="Arial"/>
          <w:i/>
          <w:sz w:val="24"/>
          <w:szCs w:val="24"/>
        </w:rPr>
      </w:pPr>
      <w:r w:rsidRPr="00407CE8">
        <w:rPr>
          <w:rFonts w:ascii="Verdana" w:eastAsia="Verdana" w:hAnsi="Verdana" w:cs="Arial"/>
          <w:i/>
          <w:sz w:val="24"/>
          <w:szCs w:val="24"/>
        </w:rPr>
        <w:t>En esta misma vigencia, se realizó la inscripción de 14.177 hogares de la Convocatoria III, a los cuales se les ha dispersado el Incentivo</w:t>
      </w:r>
      <w:r w:rsidRPr="00164C6A">
        <w:rPr>
          <w:rFonts w:ascii="Verdana" w:eastAsia="Verdana" w:hAnsi="Verdana" w:cs="Arial"/>
          <w:i/>
          <w:sz w:val="24"/>
          <w:szCs w:val="24"/>
        </w:rPr>
        <w:t xml:space="preserve"> al Retorno o Reubicación, el rango geográfico de esta convocatoria es de 14 departamentos y 63 municipios. </w:t>
      </w:r>
    </w:p>
    <w:p w:rsidR="00DA252E" w:rsidRPr="00164C6A" w:rsidRDefault="00DA252E" w:rsidP="00FF784D">
      <w:pPr>
        <w:pStyle w:val="Prrafodelista"/>
        <w:numPr>
          <w:ilvl w:val="0"/>
          <w:numId w:val="8"/>
        </w:numPr>
        <w:spacing w:after="0" w:line="240" w:lineRule="auto"/>
        <w:ind w:left="709" w:hanging="284"/>
        <w:jc w:val="both"/>
        <w:rPr>
          <w:rFonts w:ascii="Verdana" w:eastAsia="Verdana" w:hAnsi="Verdana" w:cs="Arial"/>
          <w:i/>
          <w:sz w:val="24"/>
          <w:szCs w:val="24"/>
        </w:rPr>
      </w:pPr>
      <w:r w:rsidRPr="00164C6A">
        <w:rPr>
          <w:rFonts w:ascii="Verdana" w:eastAsia="Verdana" w:hAnsi="Verdana" w:cs="Arial"/>
          <w:i/>
          <w:sz w:val="24"/>
          <w:szCs w:val="24"/>
        </w:rPr>
        <w:t>El Programa ha avanzado en la entrega de los incentivos condicionados a los hogares vinculados, a través de los servicios prestados por el Banco Agrario de Colombia y Davivienda, bajo la modalidad de giro, para cada uno de los componentes del programa de la siguiente forma:</w:t>
      </w:r>
    </w:p>
    <w:p w:rsidR="00DA252E" w:rsidRDefault="00DA252E" w:rsidP="00DA252E">
      <w:pPr>
        <w:spacing w:after="0" w:line="240" w:lineRule="auto"/>
        <w:rPr>
          <w:rFonts w:ascii="Verdana" w:hAnsi="Verdana"/>
          <w:b/>
          <w:sz w:val="20"/>
          <w:szCs w:val="24"/>
        </w:rPr>
      </w:pPr>
    </w:p>
    <w:tbl>
      <w:tblPr>
        <w:tblW w:w="5000" w:type="pct"/>
        <w:tblCellMar>
          <w:left w:w="70" w:type="dxa"/>
          <w:right w:w="70" w:type="dxa"/>
        </w:tblCellMar>
        <w:tblLook w:val="04A0"/>
      </w:tblPr>
      <w:tblGrid>
        <w:gridCol w:w="7843"/>
        <w:gridCol w:w="2269"/>
      </w:tblGrid>
      <w:tr w:rsidR="00A2165D" w:rsidRPr="00A2165D" w:rsidTr="00A2165D">
        <w:trPr>
          <w:trHeight w:val="315"/>
        </w:trPr>
        <w:tc>
          <w:tcPr>
            <w:tcW w:w="3878" w:type="pct"/>
            <w:tcBorders>
              <w:top w:val="single" w:sz="8" w:space="0" w:color="FFFFFF"/>
              <w:left w:val="single" w:sz="8" w:space="0" w:color="FFFFFF"/>
              <w:bottom w:val="single" w:sz="8" w:space="0" w:color="FFFFFF"/>
              <w:right w:val="single" w:sz="8" w:space="0" w:color="FFFFFF"/>
            </w:tcBorders>
            <w:shd w:val="clear" w:color="000000" w:fill="548DD4"/>
            <w:noWrap/>
            <w:hideMark/>
          </w:tcPr>
          <w:p w:rsidR="00A2165D" w:rsidRPr="00A2165D" w:rsidRDefault="00A2165D" w:rsidP="00A2165D">
            <w:pPr>
              <w:spacing w:after="0" w:line="240" w:lineRule="auto"/>
              <w:rPr>
                <w:rFonts w:ascii="Verdana" w:eastAsia="Times New Roman" w:hAnsi="Verdana" w:cs="Times New Roman"/>
                <w:b/>
                <w:bCs/>
                <w:color w:val="FFFFFF"/>
                <w:sz w:val="20"/>
                <w:lang w:eastAsia="es-CO"/>
              </w:rPr>
            </w:pPr>
            <w:r w:rsidRPr="00A2165D">
              <w:rPr>
                <w:rFonts w:ascii="Verdana" w:eastAsia="Times New Roman" w:hAnsi="Verdana" w:cs="Times New Roman"/>
                <w:b/>
                <w:bCs/>
                <w:color w:val="FFFFFF"/>
                <w:sz w:val="20"/>
                <w:lang w:eastAsia="es-CO"/>
              </w:rPr>
              <w:t>Incentivo económico y convocatoria</w:t>
            </w:r>
          </w:p>
        </w:tc>
        <w:tc>
          <w:tcPr>
            <w:tcW w:w="1122" w:type="pct"/>
            <w:tcBorders>
              <w:top w:val="single" w:sz="8" w:space="0" w:color="FFFFFF"/>
              <w:left w:val="nil"/>
              <w:bottom w:val="single" w:sz="8" w:space="0" w:color="FFFFFF"/>
              <w:right w:val="single" w:sz="8" w:space="0" w:color="FFFFFF"/>
            </w:tcBorders>
            <w:shd w:val="clear" w:color="000000" w:fill="548DD4"/>
            <w:hideMark/>
          </w:tcPr>
          <w:p w:rsidR="00A2165D" w:rsidRPr="00A2165D" w:rsidRDefault="00A2165D" w:rsidP="00A2165D">
            <w:pPr>
              <w:spacing w:after="0" w:line="240" w:lineRule="auto"/>
              <w:jc w:val="center"/>
              <w:rPr>
                <w:rFonts w:ascii="Verdana" w:eastAsia="Times New Roman" w:hAnsi="Verdana" w:cs="Times New Roman"/>
                <w:b/>
                <w:bCs/>
                <w:color w:val="FFFFFF"/>
                <w:sz w:val="20"/>
                <w:lang w:eastAsia="es-CO"/>
              </w:rPr>
            </w:pPr>
            <w:r w:rsidRPr="00A2165D">
              <w:rPr>
                <w:rFonts w:ascii="Verdana" w:eastAsia="Times New Roman" w:hAnsi="Verdana" w:cs="Times New Roman"/>
                <w:b/>
                <w:bCs/>
                <w:color w:val="FFFFFF"/>
                <w:sz w:val="20"/>
                <w:lang w:eastAsia="es-CO"/>
              </w:rPr>
              <w:t>Hogares atendidos</w:t>
            </w:r>
          </w:p>
        </w:tc>
      </w:tr>
      <w:tr w:rsidR="00A2165D" w:rsidRPr="00A2165D" w:rsidTr="00A2165D">
        <w:trPr>
          <w:trHeight w:val="473"/>
        </w:trPr>
        <w:tc>
          <w:tcPr>
            <w:tcW w:w="3878" w:type="pct"/>
            <w:tcBorders>
              <w:top w:val="nil"/>
              <w:left w:val="single" w:sz="8" w:space="0" w:color="FFFFFF"/>
              <w:bottom w:val="single" w:sz="8" w:space="0" w:color="FFFFFF"/>
              <w:right w:val="single" w:sz="8" w:space="0" w:color="FFFFFF"/>
            </w:tcBorders>
            <w:shd w:val="clear" w:color="B8CCE4" w:fill="B8CCE4"/>
            <w:noWrap/>
            <w:vAlign w:val="center"/>
            <w:hideMark/>
          </w:tcPr>
          <w:p w:rsidR="00A2165D" w:rsidRPr="00A2165D" w:rsidRDefault="00A2165D" w:rsidP="00A2165D">
            <w:pPr>
              <w:spacing w:after="0" w:line="240" w:lineRule="auto"/>
              <w:rPr>
                <w:rFonts w:ascii="Verdana" w:eastAsia="Times New Roman" w:hAnsi="Verdana" w:cs="Times New Roman"/>
                <w:color w:val="000000"/>
                <w:sz w:val="20"/>
                <w:lang w:eastAsia="es-CO"/>
              </w:rPr>
            </w:pPr>
            <w:r w:rsidRPr="00A2165D">
              <w:rPr>
                <w:rFonts w:ascii="Verdana" w:eastAsia="Times New Roman" w:hAnsi="Verdana" w:cs="Times New Roman"/>
                <w:color w:val="000000"/>
                <w:sz w:val="20"/>
                <w:lang w:eastAsia="es-CO"/>
              </w:rPr>
              <w:lastRenderedPageBreak/>
              <w:t>INCENTIVO ECONOMICO RCBH – C I</w:t>
            </w:r>
          </w:p>
        </w:tc>
        <w:tc>
          <w:tcPr>
            <w:tcW w:w="1122" w:type="pct"/>
            <w:tcBorders>
              <w:top w:val="nil"/>
              <w:left w:val="nil"/>
              <w:bottom w:val="single" w:sz="8" w:space="0" w:color="FFFFFF"/>
              <w:right w:val="single" w:sz="8" w:space="0" w:color="FFFFFF"/>
            </w:tcBorders>
            <w:shd w:val="clear" w:color="B8CCE4" w:fill="B8CCE4"/>
            <w:noWrap/>
            <w:vAlign w:val="center"/>
            <w:hideMark/>
          </w:tcPr>
          <w:p w:rsidR="00A2165D" w:rsidRPr="00A2165D" w:rsidRDefault="00A2165D" w:rsidP="00A2165D">
            <w:pPr>
              <w:spacing w:after="0" w:line="240" w:lineRule="auto"/>
              <w:jc w:val="center"/>
              <w:rPr>
                <w:rFonts w:ascii="Verdana" w:eastAsia="Times New Roman" w:hAnsi="Verdana" w:cs="Times New Roman"/>
                <w:color w:val="000000"/>
                <w:sz w:val="20"/>
                <w:lang w:eastAsia="es-CO"/>
              </w:rPr>
            </w:pPr>
            <w:r w:rsidRPr="00A2165D">
              <w:rPr>
                <w:rFonts w:ascii="Verdana" w:eastAsia="Times New Roman" w:hAnsi="Verdana" w:cs="Times New Roman"/>
                <w:color w:val="000000"/>
                <w:sz w:val="20"/>
                <w:lang w:eastAsia="es-CO"/>
              </w:rPr>
              <w:t>16.547</w:t>
            </w:r>
          </w:p>
        </w:tc>
      </w:tr>
      <w:tr w:rsidR="00A2165D" w:rsidRPr="00A2165D" w:rsidTr="00A2165D">
        <w:trPr>
          <w:trHeight w:val="315"/>
        </w:trPr>
        <w:tc>
          <w:tcPr>
            <w:tcW w:w="3878" w:type="pct"/>
            <w:tcBorders>
              <w:top w:val="nil"/>
              <w:left w:val="single" w:sz="8" w:space="0" w:color="FFFFFF"/>
              <w:bottom w:val="single" w:sz="8" w:space="0" w:color="FFFFFF"/>
              <w:right w:val="single" w:sz="8" w:space="0" w:color="FFFFFF"/>
            </w:tcBorders>
            <w:shd w:val="clear" w:color="DBE5F1" w:fill="DBE5F1"/>
            <w:noWrap/>
            <w:vAlign w:val="center"/>
            <w:hideMark/>
          </w:tcPr>
          <w:p w:rsidR="00A2165D" w:rsidRPr="00A2165D" w:rsidRDefault="00A2165D" w:rsidP="00A2165D">
            <w:pPr>
              <w:spacing w:after="0" w:line="240" w:lineRule="auto"/>
              <w:rPr>
                <w:rFonts w:ascii="Verdana" w:eastAsia="Times New Roman" w:hAnsi="Verdana" w:cs="Times New Roman"/>
                <w:color w:val="000000"/>
                <w:sz w:val="20"/>
                <w:lang w:eastAsia="es-CO"/>
              </w:rPr>
            </w:pPr>
            <w:r w:rsidRPr="00A2165D">
              <w:rPr>
                <w:rFonts w:ascii="Verdana" w:eastAsia="Times New Roman" w:hAnsi="Verdana" w:cs="Times New Roman"/>
                <w:color w:val="000000"/>
                <w:sz w:val="20"/>
                <w:lang w:eastAsia="es-CO"/>
              </w:rPr>
              <w:t>INCENTIVO SEGURIDAD ALIMENTARIA – C I</w:t>
            </w:r>
          </w:p>
        </w:tc>
        <w:tc>
          <w:tcPr>
            <w:tcW w:w="1122" w:type="pct"/>
            <w:tcBorders>
              <w:top w:val="nil"/>
              <w:left w:val="nil"/>
              <w:bottom w:val="single" w:sz="8" w:space="0" w:color="FFFFFF"/>
              <w:right w:val="single" w:sz="8" w:space="0" w:color="FFFFFF"/>
            </w:tcBorders>
            <w:shd w:val="clear" w:color="DBE5F1" w:fill="DBE5F1"/>
            <w:noWrap/>
            <w:vAlign w:val="center"/>
            <w:hideMark/>
          </w:tcPr>
          <w:p w:rsidR="00A2165D" w:rsidRPr="00A2165D" w:rsidRDefault="00A2165D" w:rsidP="00A2165D">
            <w:pPr>
              <w:spacing w:after="0" w:line="240" w:lineRule="auto"/>
              <w:jc w:val="center"/>
              <w:rPr>
                <w:rFonts w:ascii="Verdana" w:eastAsia="Times New Roman" w:hAnsi="Verdana" w:cs="Times New Roman"/>
                <w:color w:val="000000"/>
                <w:sz w:val="20"/>
                <w:lang w:eastAsia="es-CO"/>
              </w:rPr>
            </w:pPr>
            <w:r w:rsidRPr="00A2165D">
              <w:rPr>
                <w:rFonts w:ascii="Verdana" w:eastAsia="Times New Roman" w:hAnsi="Verdana" w:cs="Times New Roman"/>
                <w:color w:val="000000"/>
                <w:sz w:val="20"/>
                <w:lang w:eastAsia="es-CO"/>
              </w:rPr>
              <w:t>16.549</w:t>
            </w:r>
          </w:p>
        </w:tc>
      </w:tr>
      <w:tr w:rsidR="00A2165D" w:rsidRPr="00A2165D" w:rsidTr="00A2165D">
        <w:trPr>
          <w:trHeight w:val="315"/>
        </w:trPr>
        <w:tc>
          <w:tcPr>
            <w:tcW w:w="3878" w:type="pct"/>
            <w:tcBorders>
              <w:top w:val="nil"/>
              <w:left w:val="single" w:sz="8" w:space="0" w:color="FFFFFF"/>
              <w:bottom w:val="single" w:sz="8" w:space="0" w:color="FFFFFF"/>
              <w:right w:val="single" w:sz="8" w:space="0" w:color="FFFFFF"/>
            </w:tcBorders>
            <w:shd w:val="clear" w:color="B8CCE4" w:fill="B8CCE4"/>
            <w:noWrap/>
            <w:vAlign w:val="center"/>
            <w:hideMark/>
          </w:tcPr>
          <w:p w:rsidR="00A2165D" w:rsidRPr="00A2165D" w:rsidRDefault="00A2165D" w:rsidP="00A2165D">
            <w:pPr>
              <w:spacing w:after="0" w:line="240" w:lineRule="auto"/>
              <w:rPr>
                <w:rFonts w:ascii="Verdana" w:eastAsia="Times New Roman" w:hAnsi="Verdana" w:cs="Times New Roman"/>
                <w:color w:val="000000"/>
                <w:sz w:val="20"/>
                <w:lang w:eastAsia="es-CO"/>
              </w:rPr>
            </w:pPr>
            <w:r w:rsidRPr="00A2165D">
              <w:rPr>
                <w:rFonts w:ascii="Verdana" w:eastAsia="Times New Roman" w:hAnsi="Verdana" w:cs="Times New Roman"/>
                <w:color w:val="000000"/>
                <w:sz w:val="20"/>
                <w:lang w:eastAsia="es-CO"/>
              </w:rPr>
              <w:t>INCENTIVO IDEA PRODUCTIVA – C I</w:t>
            </w:r>
          </w:p>
        </w:tc>
        <w:tc>
          <w:tcPr>
            <w:tcW w:w="1122" w:type="pct"/>
            <w:tcBorders>
              <w:top w:val="nil"/>
              <w:left w:val="nil"/>
              <w:bottom w:val="single" w:sz="8" w:space="0" w:color="FFFFFF"/>
              <w:right w:val="single" w:sz="8" w:space="0" w:color="FFFFFF"/>
            </w:tcBorders>
            <w:shd w:val="clear" w:color="B8CCE4" w:fill="B8CCE4"/>
            <w:noWrap/>
            <w:vAlign w:val="center"/>
            <w:hideMark/>
          </w:tcPr>
          <w:p w:rsidR="00A2165D" w:rsidRPr="00A2165D" w:rsidRDefault="00A2165D" w:rsidP="00A2165D">
            <w:pPr>
              <w:spacing w:after="0" w:line="240" w:lineRule="auto"/>
              <w:jc w:val="center"/>
              <w:rPr>
                <w:rFonts w:ascii="Verdana" w:eastAsia="Times New Roman" w:hAnsi="Verdana" w:cs="Times New Roman"/>
                <w:color w:val="000000"/>
                <w:sz w:val="20"/>
                <w:lang w:eastAsia="es-CO"/>
              </w:rPr>
            </w:pPr>
            <w:r w:rsidRPr="00A2165D">
              <w:rPr>
                <w:rFonts w:ascii="Verdana" w:eastAsia="Times New Roman" w:hAnsi="Verdana" w:cs="Times New Roman"/>
                <w:color w:val="000000"/>
                <w:sz w:val="20"/>
                <w:lang w:eastAsia="es-CO"/>
              </w:rPr>
              <w:t>16.479</w:t>
            </w:r>
          </w:p>
        </w:tc>
      </w:tr>
      <w:tr w:rsidR="00A2165D" w:rsidRPr="00A2165D" w:rsidTr="00A2165D">
        <w:trPr>
          <w:trHeight w:val="315"/>
        </w:trPr>
        <w:tc>
          <w:tcPr>
            <w:tcW w:w="3878" w:type="pct"/>
            <w:tcBorders>
              <w:top w:val="nil"/>
              <w:left w:val="single" w:sz="8" w:space="0" w:color="FFFFFF"/>
              <w:bottom w:val="single" w:sz="8" w:space="0" w:color="FFFFFF"/>
              <w:right w:val="single" w:sz="8" w:space="0" w:color="FFFFFF"/>
            </w:tcBorders>
            <w:shd w:val="clear" w:color="DBE5F1" w:fill="DBE5F1"/>
            <w:noWrap/>
            <w:vAlign w:val="center"/>
            <w:hideMark/>
          </w:tcPr>
          <w:p w:rsidR="00A2165D" w:rsidRPr="00A2165D" w:rsidRDefault="00A2165D" w:rsidP="00A2165D">
            <w:pPr>
              <w:spacing w:after="0" w:line="240" w:lineRule="auto"/>
              <w:rPr>
                <w:rFonts w:ascii="Verdana" w:eastAsia="Times New Roman" w:hAnsi="Verdana" w:cs="Times New Roman"/>
                <w:color w:val="000000"/>
                <w:sz w:val="20"/>
                <w:lang w:eastAsia="es-CO"/>
              </w:rPr>
            </w:pPr>
            <w:r w:rsidRPr="00A2165D">
              <w:rPr>
                <w:rFonts w:ascii="Verdana" w:eastAsia="Times New Roman" w:hAnsi="Verdana" w:cs="Times New Roman"/>
                <w:color w:val="000000"/>
                <w:sz w:val="20"/>
                <w:lang w:eastAsia="es-CO"/>
              </w:rPr>
              <w:t>INCENTIVO ECONÓMICO AL RETORNO Y/O REUBICACIÓN – C II</w:t>
            </w:r>
          </w:p>
        </w:tc>
        <w:tc>
          <w:tcPr>
            <w:tcW w:w="1122" w:type="pct"/>
            <w:tcBorders>
              <w:top w:val="nil"/>
              <w:left w:val="nil"/>
              <w:bottom w:val="single" w:sz="8" w:space="0" w:color="FFFFFF"/>
              <w:right w:val="single" w:sz="8" w:space="0" w:color="FFFFFF"/>
            </w:tcBorders>
            <w:shd w:val="clear" w:color="DBE5F1" w:fill="DBE5F1"/>
            <w:noWrap/>
            <w:vAlign w:val="center"/>
            <w:hideMark/>
          </w:tcPr>
          <w:p w:rsidR="00A2165D" w:rsidRPr="00A2165D" w:rsidRDefault="00A2165D" w:rsidP="00A2165D">
            <w:pPr>
              <w:spacing w:after="0" w:line="240" w:lineRule="auto"/>
              <w:jc w:val="center"/>
              <w:rPr>
                <w:rFonts w:ascii="Verdana" w:eastAsia="Times New Roman" w:hAnsi="Verdana" w:cs="Times New Roman"/>
                <w:color w:val="000000"/>
                <w:sz w:val="20"/>
                <w:lang w:eastAsia="es-CO"/>
              </w:rPr>
            </w:pPr>
            <w:r w:rsidRPr="00A2165D">
              <w:rPr>
                <w:rFonts w:ascii="Verdana" w:eastAsia="Times New Roman" w:hAnsi="Verdana" w:cs="Times New Roman"/>
                <w:color w:val="000000"/>
                <w:sz w:val="20"/>
                <w:lang w:eastAsia="es-CO"/>
              </w:rPr>
              <w:t>11.121</w:t>
            </w:r>
          </w:p>
        </w:tc>
      </w:tr>
      <w:tr w:rsidR="00A2165D" w:rsidRPr="00A2165D" w:rsidTr="00A2165D">
        <w:trPr>
          <w:trHeight w:val="315"/>
        </w:trPr>
        <w:tc>
          <w:tcPr>
            <w:tcW w:w="3878" w:type="pct"/>
            <w:tcBorders>
              <w:top w:val="nil"/>
              <w:left w:val="single" w:sz="8" w:space="0" w:color="FFFFFF"/>
              <w:bottom w:val="single" w:sz="8" w:space="0" w:color="FFFFFF"/>
              <w:right w:val="single" w:sz="8" w:space="0" w:color="FFFFFF"/>
            </w:tcBorders>
            <w:shd w:val="clear" w:color="B8CCE4" w:fill="B8CCE4"/>
            <w:noWrap/>
            <w:vAlign w:val="center"/>
            <w:hideMark/>
          </w:tcPr>
          <w:p w:rsidR="00A2165D" w:rsidRPr="00A2165D" w:rsidRDefault="00A2165D" w:rsidP="00A2165D">
            <w:pPr>
              <w:spacing w:after="0" w:line="240" w:lineRule="auto"/>
              <w:rPr>
                <w:rFonts w:ascii="Verdana" w:eastAsia="Times New Roman" w:hAnsi="Verdana" w:cs="Times New Roman"/>
                <w:color w:val="000000"/>
                <w:sz w:val="20"/>
                <w:lang w:eastAsia="es-CO"/>
              </w:rPr>
            </w:pPr>
            <w:r w:rsidRPr="00A2165D">
              <w:rPr>
                <w:rFonts w:ascii="Verdana" w:eastAsia="Times New Roman" w:hAnsi="Verdana" w:cs="Times New Roman"/>
                <w:color w:val="000000"/>
                <w:sz w:val="20"/>
                <w:lang w:eastAsia="es-CO"/>
              </w:rPr>
              <w:t>INCENTIVO ECONOMICO RCBH – C II</w:t>
            </w:r>
          </w:p>
        </w:tc>
        <w:tc>
          <w:tcPr>
            <w:tcW w:w="1122" w:type="pct"/>
            <w:tcBorders>
              <w:top w:val="nil"/>
              <w:left w:val="nil"/>
              <w:bottom w:val="single" w:sz="8" w:space="0" w:color="FFFFFF"/>
              <w:right w:val="single" w:sz="8" w:space="0" w:color="FFFFFF"/>
            </w:tcBorders>
            <w:shd w:val="clear" w:color="B8CCE4" w:fill="B8CCE4"/>
            <w:noWrap/>
            <w:vAlign w:val="center"/>
            <w:hideMark/>
          </w:tcPr>
          <w:p w:rsidR="00A2165D" w:rsidRPr="00A2165D" w:rsidRDefault="00A2165D" w:rsidP="00A2165D">
            <w:pPr>
              <w:spacing w:after="0" w:line="240" w:lineRule="auto"/>
              <w:jc w:val="center"/>
              <w:rPr>
                <w:rFonts w:ascii="Verdana" w:eastAsia="Times New Roman" w:hAnsi="Verdana" w:cs="Times New Roman"/>
                <w:color w:val="000000"/>
                <w:sz w:val="20"/>
                <w:lang w:eastAsia="es-CO"/>
              </w:rPr>
            </w:pPr>
            <w:r w:rsidRPr="00A2165D">
              <w:rPr>
                <w:rFonts w:ascii="Verdana" w:eastAsia="Times New Roman" w:hAnsi="Verdana" w:cs="Times New Roman"/>
                <w:color w:val="000000"/>
                <w:sz w:val="20"/>
                <w:lang w:eastAsia="es-CO"/>
              </w:rPr>
              <w:t>10.209</w:t>
            </w:r>
          </w:p>
        </w:tc>
      </w:tr>
      <w:tr w:rsidR="00A2165D" w:rsidRPr="00A2165D" w:rsidTr="00A2165D">
        <w:trPr>
          <w:trHeight w:val="315"/>
        </w:trPr>
        <w:tc>
          <w:tcPr>
            <w:tcW w:w="3878" w:type="pct"/>
            <w:tcBorders>
              <w:top w:val="nil"/>
              <w:left w:val="single" w:sz="8" w:space="0" w:color="FFFFFF"/>
              <w:bottom w:val="single" w:sz="8" w:space="0" w:color="FFFFFF"/>
              <w:right w:val="single" w:sz="8" w:space="0" w:color="FFFFFF"/>
            </w:tcBorders>
            <w:shd w:val="clear" w:color="DBE5F1" w:fill="DBE5F1"/>
            <w:noWrap/>
            <w:vAlign w:val="center"/>
            <w:hideMark/>
          </w:tcPr>
          <w:p w:rsidR="00A2165D" w:rsidRPr="00A2165D" w:rsidRDefault="00A2165D" w:rsidP="00A2165D">
            <w:pPr>
              <w:spacing w:after="0" w:line="240" w:lineRule="auto"/>
              <w:rPr>
                <w:rFonts w:ascii="Verdana" w:eastAsia="Times New Roman" w:hAnsi="Verdana" w:cs="Times New Roman"/>
                <w:color w:val="000000"/>
                <w:sz w:val="20"/>
                <w:lang w:eastAsia="es-CO"/>
              </w:rPr>
            </w:pPr>
            <w:r w:rsidRPr="00A2165D">
              <w:rPr>
                <w:rFonts w:ascii="Verdana" w:eastAsia="Times New Roman" w:hAnsi="Verdana" w:cs="Times New Roman"/>
                <w:color w:val="000000"/>
                <w:sz w:val="20"/>
                <w:lang w:eastAsia="es-CO"/>
              </w:rPr>
              <w:t>INCENTIVO SEGURIDAD ALIMENTARIA – C II</w:t>
            </w:r>
          </w:p>
        </w:tc>
        <w:tc>
          <w:tcPr>
            <w:tcW w:w="1122" w:type="pct"/>
            <w:tcBorders>
              <w:top w:val="nil"/>
              <w:left w:val="nil"/>
              <w:bottom w:val="single" w:sz="8" w:space="0" w:color="FFFFFF"/>
              <w:right w:val="single" w:sz="8" w:space="0" w:color="FFFFFF"/>
            </w:tcBorders>
            <w:shd w:val="clear" w:color="DBE5F1" w:fill="DBE5F1"/>
            <w:noWrap/>
            <w:vAlign w:val="center"/>
            <w:hideMark/>
          </w:tcPr>
          <w:p w:rsidR="00A2165D" w:rsidRPr="00A2165D" w:rsidRDefault="00A2165D" w:rsidP="00A2165D">
            <w:pPr>
              <w:spacing w:after="0" w:line="240" w:lineRule="auto"/>
              <w:jc w:val="center"/>
              <w:rPr>
                <w:rFonts w:ascii="Verdana" w:eastAsia="Times New Roman" w:hAnsi="Verdana" w:cs="Times New Roman"/>
                <w:color w:val="000000"/>
                <w:sz w:val="20"/>
                <w:lang w:eastAsia="es-CO"/>
              </w:rPr>
            </w:pPr>
            <w:r w:rsidRPr="00A2165D">
              <w:rPr>
                <w:rFonts w:ascii="Verdana" w:eastAsia="Times New Roman" w:hAnsi="Verdana" w:cs="Times New Roman"/>
                <w:color w:val="000000"/>
                <w:sz w:val="20"/>
                <w:lang w:eastAsia="es-CO"/>
              </w:rPr>
              <w:t>11.044</w:t>
            </w:r>
          </w:p>
        </w:tc>
      </w:tr>
    </w:tbl>
    <w:p w:rsidR="00DA252E" w:rsidRPr="00FF5E20" w:rsidRDefault="00DA252E" w:rsidP="00DA252E">
      <w:pPr>
        <w:pStyle w:val="Sinespaciado"/>
        <w:jc w:val="center"/>
        <w:rPr>
          <w:rFonts w:ascii="Verdana" w:hAnsi="Verdana" w:cs="Arial"/>
          <w:i/>
          <w:sz w:val="18"/>
        </w:rPr>
      </w:pPr>
      <w:r w:rsidRPr="00FF5E20">
        <w:rPr>
          <w:rFonts w:ascii="Verdana" w:hAnsi="Verdana" w:cs="Arial"/>
          <w:i/>
          <w:sz w:val="18"/>
        </w:rPr>
        <w:t>Hogares atendidos de la Fase I e incentivos entregados por componente del Programa Familias en su Tierra.</w:t>
      </w:r>
    </w:p>
    <w:p w:rsidR="00DA252E" w:rsidRPr="00FF5E20" w:rsidRDefault="00DA252E" w:rsidP="00DA252E">
      <w:pPr>
        <w:spacing w:after="0" w:line="240" w:lineRule="auto"/>
        <w:rPr>
          <w:rFonts w:ascii="Verdana" w:hAnsi="Verdana"/>
          <w:b/>
          <w:sz w:val="20"/>
          <w:szCs w:val="24"/>
          <w:lang w:val="es-ES"/>
        </w:rPr>
      </w:pPr>
    </w:p>
    <w:p w:rsidR="00DA252E" w:rsidRDefault="00DA252E" w:rsidP="00DA252E">
      <w:pPr>
        <w:spacing w:after="0" w:line="240" w:lineRule="auto"/>
        <w:rPr>
          <w:rFonts w:ascii="Verdana" w:hAnsi="Verdana"/>
          <w:b/>
          <w:sz w:val="20"/>
          <w:szCs w:val="24"/>
        </w:rPr>
      </w:pPr>
    </w:p>
    <w:p w:rsidR="00DA252E" w:rsidRDefault="00DA252E" w:rsidP="00DA252E">
      <w:pPr>
        <w:spacing w:after="0" w:line="240" w:lineRule="auto"/>
        <w:rPr>
          <w:rFonts w:ascii="Verdana" w:hAnsi="Verdana"/>
          <w:b/>
          <w:sz w:val="24"/>
          <w:szCs w:val="24"/>
        </w:rPr>
      </w:pPr>
      <w:r w:rsidRPr="00405354">
        <w:rPr>
          <w:rFonts w:ascii="Verdana" w:hAnsi="Verdana"/>
          <w:b/>
          <w:color w:val="548DD4" w:themeColor="text2" w:themeTint="99"/>
          <w:sz w:val="24"/>
          <w:szCs w:val="24"/>
        </w:rPr>
        <w:t>Retos 2015</w:t>
      </w:r>
      <w:r w:rsidRPr="00F71B84">
        <w:rPr>
          <w:rFonts w:ascii="Verdana" w:hAnsi="Verdana"/>
          <w:b/>
          <w:sz w:val="24"/>
          <w:szCs w:val="24"/>
        </w:rPr>
        <w:t xml:space="preserve"> </w:t>
      </w:r>
    </w:p>
    <w:p w:rsidR="00DA252E" w:rsidRPr="00F71B84" w:rsidRDefault="00DA252E" w:rsidP="00DA252E">
      <w:pPr>
        <w:spacing w:after="0" w:line="240" w:lineRule="auto"/>
        <w:rPr>
          <w:rFonts w:ascii="Verdana" w:hAnsi="Verdana"/>
          <w:b/>
          <w:sz w:val="24"/>
          <w:szCs w:val="24"/>
        </w:rPr>
      </w:pPr>
    </w:p>
    <w:p w:rsidR="00DA252E" w:rsidRPr="00B93F59" w:rsidRDefault="00DA252E" w:rsidP="00FF784D">
      <w:pPr>
        <w:pStyle w:val="Prrafodelista"/>
        <w:numPr>
          <w:ilvl w:val="0"/>
          <w:numId w:val="9"/>
        </w:numPr>
        <w:spacing w:after="0" w:line="240" w:lineRule="auto"/>
        <w:ind w:left="709" w:hanging="284"/>
        <w:jc w:val="both"/>
        <w:rPr>
          <w:rFonts w:ascii="Verdana" w:hAnsi="Verdana"/>
          <w:i/>
          <w:sz w:val="24"/>
          <w:szCs w:val="24"/>
        </w:rPr>
      </w:pPr>
      <w:r>
        <w:rPr>
          <w:rFonts w:ascii="Verdana" w:hAnsi="Verdana"/>
          <w:i/>
          <w:sz w:val="24"/>
          <w:szCs w:val="24"/>
        </w:rPr>
        <w:t xml:space="preserve">Profundizar en procesos de integración local y comunitaria para garantizar el arraigo en la población que propicien la no discriminación y la construcción de tejido social.  </w:t>
      </w:r>
    </w:p>
    <w:p w:rsidR="00DA252E" w:rsidRDefault="00DA252E" w:rsidP="00DA252E">
      <w:pPr>
        <w:spacing w:after="0" w:line="240" w:lineRule="auto"/>
        <w:rPr>
          <w:rFonts w:ascii="Verdana" w:hAnsi="Verdana"/>
          <w:b/>
          <w:sz w:val="24"/>
          <w:szCs w:val="24"/>
        </w:rPr>
      </w:pPr>
    </w:p>
    <w:p w:rsidR="00DA252E" w:rsidRPr="00334E15" w:rsidRDefault="00DA252E" w:rsidP="00DA252E">
      <w:pPr>
        <w:pStyle w:val="Ttulo3"/>
        <w:spacing w:before="0" w:after="0" w:line="240" w:lineRule="auto"/>
        <w:rPr>
          <w:rFonts w:ascii="Verdana" w:hAnsi="Verdana"/>
          <w:color w:val="548DD4" w:themeColor="text2" w:themeTint="99"/>
          <w:sz w:val="24"/>
          <w:szCs w:val="24"/>
          <w:u w:val="single"/>
        </w:rPr>
      </w:pPr>
      <w:bookmarkStart w:id="50" w:name="_Toc410035280"/>
      <w:bookmarkStart w:id="51" w:name="_Toc410111296"/>
      <w:bookmarkStart w:id="52" w:name="_Toc410376793"/>
      <w:r w:rsidRPr="00334E15">
        <w:rPr>
          <w:rFonts w:ascii="Verdana" w:hAnsi="Verdana"/>
          <w:color w:val="548DD4" w:themeColor="text2" w:themeTint="99"/>
          <w:sz w:val="24"/>
          <w:szCs w:val="24"/>
          <w:u w:val="single"/>
        </w:rPr>
        <w:t>PUEBLOS INDÍGENAS</w:t>
      </w:r>
      <w:bookmarkEnd w:id="50"/>
      <w:bookmarkEnd w:id="51"/>
      <w:bookmarkEnd w:id="52"/>
    </w:p>
    <w:p w:rsidR="00DA252E" w:rsidRPr="00405354" w:rsidRDefault="00DA252E" w:rsidP="00DA252E">
      <w:pPr>
        <w:spacing w:after="0" w:line="240" w:lineRule="auto"/>
        <w:rPr>
          <w:rFonts w:ascii="Verdana" w:hAnsi="Verdana"/>
          <w:b/>
          <w:color w:val="548DD4" w:themeColor="text2" w:themeTint="99"/>
          <w:sz w:val="24"/>
          <w:szCs w:val="24"/>
        </w:rPr>
      </w:pPr>
    </w:p>
    <w:p w:rsidR="00DA252E" w:rsidRPr="00405354"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Objetivo</w:t>
      </w:r>
    </w:p>
    <w:p w:rsidR="00DA252E" w:rsidRPr="00F71B84" w:rsidRDefault="00DA252E" w:rsidP="00DA252E">
      <w:pPr>
        <w:spacing w:after="0" w:line="240" w:lineRule="auto"/>
        <w:rPr>
          <w:rFonts w:ascii="Verdana" w:hAnsi="Verdana"/>
          <w:sz w:val="24"/>
          <w:szCs w:val="24"/>
        </w:rPr>
      </w:pPr>
    </w:p>
    <w:p w:rsidR="00DA252E" w:rsidRPr="00F71B84" w:rsidRDefault="00DA252E" w:rsidP="00DA252E">
      <w:pPr>
        <w:pStyle w:val="Ttulo"/>
        <w:jc w:val="both"/>
        <w:rPr>
          <w:rFonts w:ascii="Verdana" w:hAnsi="Verdana" w:cs="Calibri"/>
          <w:b w:val="0"/>
          <w:w w:val="102"/>
          <w:lang w:val="es-CO"/>
        </w:rPr>
      </w:pPr>
      <w:bookmarkStart w:id="53" w:name="_Toc410031167"/>
      <w:bookmarkStart w:id="54" w:name="_Toc410031199"/>
      <w:bookmarkStart w:id="55" w:name="_Toc410031315"/>
      <w:bookmarkStart w:id="56" w:name="_Toc410031637"/>
      <w:bookmarkStart w:id="57" w:name="_Toc410034970"/>
      <w:bookmarkStart w:id="58" w:name="_Toc410035281"/>
      <w:bookmarkStart w:id="59" w:name="_Toc410111297"/>
      <w:bookmarkStart w:id="60" w:name="_Toc410116122"/>
      <w:r w:rsidRPr="00F71B84">
        <w:rPr>
          <w:rFonts w:ascii="Verdana" w:eastAsia="Calibri" w:hAnsi="Verdana" w:cs="Times New Roman"/>
          <w:b w:val="0"/>
          <w:bCs w:val="0"/>
          <w:lang w:val="es-CO" w:eastAsia="en-US"/>
        </w:rPr>
        <w:t>Contribuir desde el DPS a la implementación del programa de garantías de los derechos de los pueblos indígenas</w:t>
      </w:r>
      <w:r>
        <w:rPr>
          <w:rFonts w:ascii="Verdana" w:eastAsia="Calibri" w:hAnsi="Verdana" w:cs="Times New Roman"/>
          <w:b w:val="0"/>
          <w:bCs w:val="0"/>
          <w:lang w:val="es-CO" w:eastAsia="en-US"/>
        </w:rPr>
        <w:t>, m</w:t>
      </w:r>
      <w:r w:rsidRPr="00F71B84">
        <w:rPr>
          <w:rFonts w:ascii="Verdana" w:eastAsia="Calibri" w:hAnsi="Verdana" w:cs="Times New Roman"/>
          <w:b w:val="0"/>
          <w:bCs w:val="0"/>
          <w:lang w:val="es-CO" w:eastAsia="en-US"/>
        </w:rPr>
        <w:t>ediante la realización de acciones que permitan abonar el camino para el goce de los derechos de las comunidades indígenas y el fortalecimiento de sus organizaciones.</w:t>
      </w:r>
      <w:bookmarkEnd w:id="53"/>
      <w:bookmarkEnd w:id="54"/>
      <w:bookmarkEnd w:id="55"/>
      <w:bookmarkEnd w:id="56"/>
      <w:bookmarkEnd w:id="57"/>
      <w:bookmarkEnd w:id="58"/>
      <w:bookmarkEnd w:id="59"/>
      <w:bookmarkEnd w:id="60"/>
    </w:p>
    <w:p w:rsidR="00DA252E" w:rsidRDefault="00DA252E" w:rsidP="00DA252E">
      <w:pPr>
        <w:spacing w:after="0" w:line="240" w:lineRule="auto"/>
        <w:rPr>
          <w:rFonts w:ascii="Verdana" w:hAnsi="Verdana"/>
          <w:b/>
          <w:sz w:val="24"/>
          <w:szCs w:val="24"/>
        </w:rPr>
      </w:pPr>
    </w:p>
    <w:p w:rsidR="00DA252E" w:rsidRPr="00405354"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Líneas de Acción</w:t>
      </w:r>
    </w:p>
    <w:p w:rsidR="00DA252E" w:rsidRPr="00F71B84" w:rsidRDefault="00DA252E" w:rsidP="00DA252E">
      <w:pPr>
        <w:spacing w:after="0" w:line="240" w:lineRule="auto"/>
        <w:rPr>
          <w:rFonts w:ascii="Verdana" w:hAnsi="Verdana"/>
          <w:b/>
          <w:sz w:val="24"/>
          <w:szCs w:val="24"/>
        </w:rPr>
      </w:pPr>
    </w:p>
    <w:p w:rsidR="00DA252E" w:rsidRPr="00F71B84" w:rsidRDefault="00DA252E" w:rsidP="00DA252E">
      <w:pPr>
        <w:spacing w:after="0" w:line="240" w:lineRule="auto"/>
        <w:jc w:val="both"/>
        <w:rPr>
          <w:rFonts w:ascii="Verdana" w:hAnsi="Verdana"/>
          <w:sz w:val="24"/>
          <w:szCs w:val="24"/>
        </w:rPr>
      </w:pPr>
      <w:r w:rsidRPr="00F71B84">
        <w:rPr>
          <w:rFonts w:ascii="Verdana" w:hAnsi="Verdana"/>
          <w:sz w:val="24"/>
          <w:szCs w:val="24"/>
        </w:rPr>
        <w:t>El proyecto tiene principalmente 3 líneas de acción:</w:t>
      </w:r>
    </w:p>
    <w:p w:rsidR="00DA252E" w:rsidRPr="00F71B84" w:rsidRDefault="00DA252E" w:rsidP="00DA252E">
      <w:pPr>
        <w:spacing w:after="0" w:line="240" w:lineRule="auto"/>
        <w:jc w:val="both"/>
        <w:rPr>
          <w:rFonts w:ascii="Verdana" w:hAnsi="Verdana"/>
          <w:sz w:val="24"/>
          <w:szCs w:val="24"/>
        </w:rPr>
      </w:pPr>
    </w:p>
    <w:p w:rsidR="00DA252E" w:rsidRPr="0091035C" w:rsidRDefault="00DA252E" w:rsidP="00FF784D">
      <w:pPr>
        <w:pStyle w:val="Prrafodelista"/>
        <w:numPr>
          <w:ilvl w:val="0"/>
          <w:numId w:val="42"/>
        </w:numPr>
        <w:spacing w:after="0" w:line="240" w:lineRule="auto"/>
        <w:ind w:left="709" w:hanging="283"/>
        <w:jc w:val="both"/>
        <w:rPr>
          <w:rFonts w:ascii="Verdana" w:hAnsi="Verdana"/>
          <w:sz w:val="24"/>
          <w:szCs w:val="24"/>
        </w:rPr>
      </w:pPr>
      <w:r w:rsidRPr="0091035C">
        <w:rPr>
          <w:rFonts w:ascii="Verdana" w:hAnsi="Verdana"/>
          <w:sz w:val="24"/>
          <w:szCs w:val="24"/>
        </w:rPr>
        <w:t>Infraestructura social: garantizar el acceso a los servicios sociales del Estado, Educación, fortalecer la medicina tradicional, restaurantes escolares, agua, luz.</w:t>
      </w:r>
    </w:p>
    <w:p w:rsidR="00DA252E" w:rsidRPr="0091035C" w:rsidRDefault="00DA252E" w:rsidP="00FF784D">
      <w:pPr>
        <w:pStyle w:val="Prrafodelista"/>
        <w:numPr>
          <w:ilvl w:val="0"/>
          <w:numId w:val="42"/>
        </w:numPr>
        <w:spacing w:after="0" w:line="240" w:lineRule="auto"/>
        <w:ind w:left="709" w:hanging="283"/>
        <w:jc w:val="both"/>
        <w:rPr>
          <w:rFonts w:ascii="Verdana" w:hAnsi="Verdana"/>
          <w:sz w:val="24"/>
          <w:szCs w:val="24"/>
        </w:rPr>
      </w:pPr>
      <w:r w:rsidRPr="0091035C">
        <w:rPr>
          <w:rFonts w:ascii="Verdana" w:hAnsi="Verdana"/>
          <w:sz w:val="24"/>
          <w:szCs w:val="24"/>
        </w:rPr>
        <w:t xml:space="preserve">Productivo: articular al ICBF, SENA y DPS en la implementación de una estrategia productiva para las comunidades.  </w:t>
      </w:r>
    </w:p>
    <w:p w:rsidR="00DA252E" w:rsidRPr="0091035C" w:rsidRDefault="00DA252E" w:rsidP="00FF784D">
      <w:pPr>
        <w:pStyle w:val="Prrafodelista"/>
        <w:numPr>
          <w:ilvl w:val="0"/>
          <w:numId w:val="42"/>
        </w:numPr>
        <w:spacing w:after="0" w:line="240" w:lineRule="auto"/>
        <w:ind w:left="709" w:hanging="283"/>
        <w:jc w:val="both"/>
        <w:rPr>
          <w:rFonts w:ascii="Verdana" w:hAnsi="Verdana"/>
          <w:sz w:val="24"/>
          <w:szCs w:val="24"/>
        </w:rPr>
      </w:pPr>
      <w:r w:rsidRPr="0091035C">
        <w:rPr>
          <w:rFonts w:ascii="Verdana" w:hAnsi="Verdana"/>
          <w:sz w:val="24"/>
          <w:szCs w:val="24"/>
        </w:rPr>
        <w:t xml:space="preserve">Fortalecimiento: apoyar y elaborar un plan de fortalecimiento con las comunidades indígenas. </w:t>
      </w:r>
    </w:p>
    <w:p w:rsidR="00DA252E" w:rsidRPr="00F71B84" w:rsidRDefault="00DA252E" w:rsidP="00DA252E">
      <w:pPr>
        <w:spacing w:after="0" w:line="240" w:lineRule="auto"/>
        <w:jc w:val="both"/>
        <w:rPr>
          <w:rFonts w:ascii="Verdana" w:hAnsi="Verdana"/>
          <w:b/>
          <w:sz w:val="24"/>
          <w:szCs w:val="24"/>
        </w:rPr>
      </w:pPr>
    </w:p>
    <w:p w:rsidR="00DA252E"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Cumplimiento Metas</w:t>
      </w:r>
    </w:p>
    <w:p w:rsidR="00DA252E" w:rsidRDefault="00DA252E" w:rsidP="00DA252E">
      <w:pPr>
        <w:spacing w:after="0" w:line="240" w:lineRule="auto"/>
        <w:rPr>
          <w:rFonts w:ascii="Verdana" w:hAnsi="Verdana"/>
          <w:b/>
          <w:color w:val="548DD4" w:themeColor="text2" w:themeTint="99"/>
          <w:sz w:val="24"/>
          <w:szCs w:val="24"/>
        </w:rPr>
      </w:pPr>
    </w:p>
    <w:p w:rsidR="00DA252E" w:rsidRDefault="00DA252E" w:rsidP="00DA252E">
      <w:pPr>
        <w:spacing w:after="0" w:line="240" w:lineRule="auto"/>
        <w:jc w:val="both"/>
        <w:rPr>
          <w:rFonts w:ascii="Verdana" w:hAnsi="Verdana"/>
          <w:b/>
          <w:color w:val="548DD4" w:themeColor="text2" w:themeTint="99"/>
          <w:sz w:val="24"/>
          <w:szCs w:val="24"/>
        </w:rPr>
      </w:pPr>
      <w:r w:rsidRPr="002D199E">
        <w:rPr>
          <w:rFonts w:ascii="Verdana" w:hAnsi="Verdana"/>
          <w:sz w:val="24"/>
          <w:szCs w:val="24"/>
        </w:rPr>
        <w:lastRenderedPageBreak/>
        <w:t xml:space="preserve">Se concertaron 3 proyectos de fortalecimiento alrededor de los pueblos que se venían atendiendo y se concluyó la construcción de dos escuelas con la comunidad Arhuaca. </w:t>
      </w:r>
    </w:p>
    <w:p w:rsidR="00DA252E" w:rsidRDefault="00DA252E" w:rsidP="00DA252E">
      <w:pPr>
        <w:spacing w:after="0" w:line="240" w:lineRule="auto"/>
        <w:rPr>
          <w:rFonts w:ascii="Verdana" w:hAnsi="Verdana"/>
          <w:b/>
          <w:color w:val="548DD4" w:themeColor="text2" w:themeTint="99"/>
          <w:sz w:val="24"/>
          <w:szCs w:val="24"/>
        </w:rPr>
      </w:pPr>
    </w:p>
    <w:p w:rsidR="00DA252E"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 xml:space="preserve">Logros </w:t>
      </w:r>
    </w:p>
    <w:p w:rsidR="00DA252E" w:rsidRPr="00405354" w:rsidRDefault="00DA252E" w:rsidP="00DA252E">
      <w:pPr>
        <w:spacing w:after="0" w:line="240" w:lineRule="auto"/>
        <w:rPr>
          <w:rFonts w:ascii="Verdana" w:hAnsi="Verdana"/>
          <w:b/>
          <w:color w:val="548DD4" w:themeColor="text2" w:themeTint="99"/>
          <w:sz w:val="24"/>
          <w:szCs w:val="24"/>
        </w:rPr>
      </w:pPr>
    </w:p>
    <w:p w:rsidR="00DA252E" w:rsidRPr="0091035C" w:rsidRDefault="00DA252E" w:rsidP="00FF784D">
      <w:pPr>
        <w:pStyle w:val="Prrafodelista"/>
        <w:numPr>
          <w:ilvl w:val="0"/>
          <w:numId w:val="42"/>
        </w:numPr>
        <w:spacing w:after="0" w:line="240" w:lineRule="auto"/>
        <w:ind w:left="709" w:hanging="283"/>
        <w:jc w:val="both"/>
        <w:rPr>
          <w:rFonts w:ascii="Verdana" w:hAnsi="Verdana"/>
          <w:i/>
          <w:sz w:val="24"/>
          <w:szCs w:val="24"/>
        </w:rPr>
      </w:pPr>
      <w:r w:rsidRPr="0091035C">
        <w:rPr>
          <w:rFonts w:ascii="Verdana" w:hAnsi="Verdana"/>
          <w:i/>
          <w:sz w:val="24"/>
          <w:szCs w:val="24"/>
        </w:rPr>
        <w:t>Se firmaron 6 convenios para el fortalecimiento de 8 comunidades indígenas. (Hitnu, Makaguan, Bari, Embera Chami, Katio, Kuna-Tule, Wiwa, Ahuaco).</w:t>
      </w:r>
    </w:p>
    <w:p w:rsidR="00DA252E" w:rsidRPr="0091035C" w:rsidRDefault="00DA252E" w:rsidP="00FF784D">
      <w:pPr>
        <w:pStyle w:val="Prrafodelista"/>
        <w:numPr>
          <w:ilvl w:val="0"/>
          <w:numId w:val="42"/>
        </w:numPr>
        <w:spacing w:after="0" w:line="240" w:lineRule="auto"/>
        <w:ind w:left="709" w:hanging="283"/>
        <w:jc w:val="both"/>
        <w:rPr>
          <w:rFonts w:ascii="Verdana" w:hAnsi="Verdana"/>
          <w:i/>
          <w:sz w:val="24"/>
          <w:szCs w:val="24"/>
        </w:rPr>
      </w:pPr>
      <w:r w:rsidRPr="0091035C">
        <w:rPr>
          <w:rFonts w:ascii="Verdana" w:hAnsi="Verdana"/>
          <w:i/>
          <w:sz w:val="24"/>
          <w:szCs w:val="24"/>
        </w:rPr>
        <w:t>Se terminaron las obras de dos pueblos indígenas Seyvanchi con los Kogi y Gunkey con los Arhuacos.</w:t>
      </w:r>
    </w:p>
    <w:p w:rsidR="00DA252E" w:rsidRPr="0091035C" w:rsidRDefault="00DA252E" w:rsidP="00FF784D">
      <w:pPr>
        <w:pStyle w:val="Prrafodelista"/>
        <w:numPr>
          <w:ilvl w:val="0"/>
          <w:numId w:val="42"/>
        </w:numPr>
        <w:spacing w:after="0" w:line="240" w:lineRule="auto"/>
        <w:ind w:left="709" w:hanging="283"/>
        <w:jc w:val="both"/>
        <w:rPr>
          <w:rFonts w:ascii="Verdana" w:hAnsi="Verdana"/>
          <w:i/>
          <w:sz w:val="24"/>
          <w:szCs w:val="24"/>
        </w:rPr>
      </w:pPr>
      <w:r w:rsidRPr="0091035C">
        <w:rPr>
          <w:rFonts w:ascii="Verdana" w:hAnsi="Verdana"/>
          <w:i/>
          <w:sz w:val="24"/>
          <w:szCs w:val="24"/>
        </w:rPr>
        <w:t xml:space="preserve">Se construyeron dos escuelas de Mamos como estrategia de fortalecimiento cultural con los Arhuacos en el Magdalena.   </w:t>
      </w:r>
    </w:p>
    <w:p w:rsidR="00DA252E" w:rsidRPr="00F71B84" w:rsidRDefault="00DA252E" w:rsidP="00DA252E">
      <w:pPr>
        <w:spacing w:after="0" w:line="240" w:lineRule="auto"/>
        <w:rPr>
          <w:rFonts w:ascii="Verdana" w:hAnsi="Verdana"/>
          <w:b/>
          <w:sz w:val="24"/>
          <w:szCs w:val="24"/>
        </w:rPr>
      </w:pPr>
    </w:p>
    <w:p w:rsidR="00DA252E"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 xml:space="preserve">Retos 2015 </w:t>
      </w:r>
    </w:p>
    <w:p w:rsidR="00DA252E" w:rsidRPr="00405354" w:rsidRDefault="00DA252E" w:rsidP="00DA252E">
      <w:pPr>
        <w:spacing w:after="0" w:line="240" w:lineRule="auto"/>
        <w:rPr>
          <w:rFonts w:ascii="Verdana" w:hAnsi="Verdana"/>
          <w:b/>
          <w:color w:val="548DD4" w:themeColor="text2" w:themeTint="99"/>
          <w:sz w:val="24"/>
          <w:szCs w:val="24"/>
        </w:rPr>
      </w:pPr>
    </w:p>
    <w:p w:rsidR="00DA252E" w:rsidRPr="00164C6A" w:rsidRDefault="00DA252E" w:rsidP="00FF784D">
      <w:pPr>
        <w:pStyle w:val="Prrafodelista"/>
        <w:numPr>
          <w:ilvl w:val="0"/>
          <w:numId w:val="42"/>
        </w:numPr>
        <w:spacing w:after="0" w:line="240" w:lineRule="auto"/>
        <w:ind w:left="709" w:hanging="283"/>
        <w:jc w:val="both"/>
        <w:rPr>
          <w:rFonts w:ascii="Verdana" w:hAnsi="Verdana"/>
          <w:i/>
          <w:sz w:val="24"/>
          <w:szCs w:val="24"/>
        </w:rPr>
      </w:pPr>
      <w:r>
        <w:rPr>
          <w:rFonts w:ascii="Verdana" w:hAnsi="Verdana"/>
          <w:i/>
          <w:sz w:val="24"/>
          <w:szCs w:val="24"/>
        </w:rPr>
        <w:t>E</w:t>
      </w:r>
      <w:r w:rsidRPr="00164C6A">
        <w:rPr>
          <w:rFonts w:ascii="Verdana" w:hAnsi="Verdana"/>
          <w:i/>
          <w:sz w:val="24"/>
          <w:szCs w:val="24"/>
        </w:rPr>
        <w:t>jecutar las obras de los convenios firmados en el 2013.</w:t>
      </w:r>
    </w:p>
    <w:p w:rsidR="00DA252E" w:rsidRPr="00164C6A" w:rsidRDefault="00DA252E" w:rsidP="00FF784D">
      <w:pPr>
        <w:pStyle w:val="Prrafodelista"/>
        <w:numPr>
          <w:ilvl w:val="0"/>
          <w:numId w:val="42"/>
        </w:numPr>
        <w:spacing w:after="0" w:line="240" w:lineRule="auto"/>
        <w:ind w:left="709" w:hanging="283"/>
        <w:jc w:val="both"/>
        <w:rPr>
          <w:rFonts w:ascii="Verdana" w:hAnsi="Verdana"/>
          <w:i/>
          <w:sz w:val="24"/>
          <w:szCs w:val="24"/>
        </w:rPr>
      </w:pPr>
      <w:r>
        <w:rPr>
          <w:rFonts w:ascii="Verdana" w:hAnsi="Verdana"/>
          <w:i/>
          <w:sz w:val="24"/>
          <w:szCs w:val="24"/>
        </w:rPr>
        <w:t>P</w:t>
      </w:r>
      <w:r w:rsidRPr="00164C6A">
        <w:rPr>
          <w:rFonts w:ascii="Verdana" w:hAnsi="Verdana"/>
          <w:i/>
          <w:sz w:val="24"/>
          <w:szCs w:val="24"/>
        </w:rPr>
        <w:t>otencializar la es</w:t>
      </w:r>
      <w:r>
        <w:rPr>
          <w:rFonts w:ascii="Verdana" w:hAnsi="Verdana"/>
          <w:i/>
          <w:sz w:val="24"/>
          <w:szCs w:val="24"/>
        </w:rPr>
        <w:t>trategi</w:t>
      </w:r>
      <w:r w:rsidRPr="00164C6A">
        <w:rPr>
          <w:rFonts w:ascii="Verdana" w:hAnsi="Verdana"/>
          <w:i/>
          <w:sz w:val="24"/>
          <w:szCs w:val="24"/>
        </w:rPr>
        <w:t>a de la escuela de Mamos con los Arhuacos.</w:t>
      </w:r>
    </w:p>
    <w:p w:rsidR="00DA252E" w:rsidRPr="00164C6A" w:rsidRDefault="00DA252E" w:rsidP="00FF784D">
      <w:pPr>
        <w:pStyle w:val="Prrafodelista"/>
        <w:numPr>
          <w:ilvl w:val="0"/>
          <w:numId w:val="42"/>
        </w:numPr>
        <w:spacing w:after="0" w:line="240" w:lineRule="auto"/>
        <w:ind w:left="709" w:hanging="283"/>
        <w:jc w:val="both"/>
        <w:rPr>
          <w:rFonts w:ascii="Verdana" w:hAnsi="Verdana"/>
          <w:i/>
          <w:sz w:val="24"/>
          <w:szCs w:val="24"/>
        </w:rPr>
      </w:pPr>
      <w:r w:rsidRPr="00164C6A">
        <w:rPr>
          <w:rFonts w:ascii="Verdana" w:hAnsi="Verdana"/>
          <w:i/>
          <w:sz w:val="24"/>
          <w:szCs w:val="24"/>
        </w:rPr>
        <w:t xml:space="preserve">Gestionar una alianza efectiva con el Ministerio de Educación que propicie el mejoramiento de la Etno-educación y de la infraestructura en nuestras comunidades. </w:t>
      </w:r>
    </w:p>
    <w:p w:rsidR="00DA252E" w:rsidRPr="00164C6A" w:rsidRDefault="00DA252E" w:rsidP="00FF784D">
      <w:pPr>
        <w:pStyle w:val="Prrafodelista"/>
        <w:numPr>
          <w:ilvl w:val="0"/>
          <w:numId w:val="42"/>
        </w:numPr>
        <w:spacing w:after="0" w:line="240" w:lineRule="auto"/>
        <w:ind w:left="709" w:hanging="283"/>
        <w:jc w:val="both"/>
        <w:rPr>
          <w:rFonts w:ascii="Verdana" w:hAnsi="Verdana"/>
          <w:i/>
          <w:sz w:val="24"/>
          <w:szCs w:val="24"/>
        </w:rPr>
      </w:pPr>
      <w:r w:rsidRPr="00164C6A">
        <w:rPr>
          <w:rFonts w:ascii="Verdana" w:hAnsi="Verdana"/>
          <w:i/>
          <w:sz w:val="24"/>
          <w:szCs w:val="24"/>
        </w:rPr>
        <w:t>Gestionar con el Ministerio de Ambiente proyectos ambientalmente sostenibles para las comunidades indígenas, teniendo como antecedentes proyectos como Familias Guardabosques Corazón del Mundo.</w:t>
      </w:r>
    </w:p>
    <w:p w:rsidR="00DA252E" w:rsidRDefault="00DA252E" w:rsidP="0091035C">
      <w:pPr>
        <w:pStyle w:val="Prrafodelista"/>
        <w:spacing w:after="0" w:line="240" w:lineRule="auto"/>
        <w:ind w:left="709"/>
        <w:jc w:val="both"/>
        <w:rPr>
          <w:rFonts w:ascii="Verdana" w:hAnsi="Verdana"/>
          <w:i/>
          <w:sz w:val="24"/>
          <w:szCs w:val="24"/>
        </w:rPr>
      </w:pPr>
      <w:bookmarkStart w:id="61" w:name="_Toc410035282"/>
      <w:bookmarkStart w:id="62" w:name="_Toc410111298"/>
    </w:p>
    <w:p w:rsidR="0091035C" w:rsidRDefault="0091035C" w:rsidP="0091035C">
      <w:pPr>
        <w:pStyle w:val="Prrafodelista"/>
        <w:spacing w:after="0" w:line="240" w:lineRule="auto"/>
        <w:ind w:left="709"/>
        <w:jc w:val="both"/>
        <w:rPr>
          <w:rFonts w:ascii="Verdana" w:hAnsi="Verdana"/>
          <w:i/>
          <w:sz w:val="24"/>
          <w:szCs w:val="24"/>
        </w:rPr>
      </w:pPr>
    </w:p>
    <w:p w:rsidR="00DA252E" w:rsidRPr="00334E15" w:rsidRDefault="00DA252E" w:rsidP="00DA252E">
      <w:pPr>
        <w:pStyle w:val="Ttulo3"/>
        <w:spacing w:before="0" w:after="0" w:line="240" w:lineRule="auto"/>
        <w:rPr>
          <w:rFonts w:ascii="Verdana" w:hAnsi="Verdana"/>
          <w:color w:val="548DD4" w:themeColor="text2" w:themeTint="99"/>
          <w:sz w:val="24"/>
          <w:szCs w:val="24"/>
          <w:u w:val="single"/>
        </w:rPr>
      </w:pPr>
      <w:bookmarkStart w:id="63" w:name="_Toc410376794"/>
      <w:r w:rsidRPr="00334E15">
        <w:rPr>
          <w:rFonts w:ascii="Verdana" w:hAnsi="Verdana"/>
          <w:color w:val="548DD4" w:themeColor="text2" w:themeTint="99"/>
          <w:sz w:val="24"/>
          <w:szCs w:val="24"/>
          <w:u w:val="single"/>
        </w:rPr>
        <w:t>LEGIÓN DEL AFECTO</w:t>
      </w:r>
      <w:bookmarkEnd w:id="61"/>
      <w:bookmarkEnd w:id="62"/>
      <w:bookmarkEnd w:id="63"/>
    </w:p>
    <w:p w:rsidR="00DA252E" w:rsidRPr="00F71B84" w:rsidRDefault="00DA252E" w:rsidP="00DA252E">
      <w:pPr>
        <w:spacing w:after="0" w:line="240" w:lineRule="auto"/>
        <w:ind w:left="705"/>
        <w:jc w:val="both"/>
        <w:rPr>
          <w:rFonts w:ascii="Verdana" w:hAnsi="Verdana"/>
          <w:i/>
          <w:sz w:val="24"/>
          <w:szCs w:val="24"/>
        </w:rPr>
      </w:pPr>
    </w:p>
    <w:p w:rsidR="00DA252E" w:rsidRPr="00405354"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Objetivo</w:t>
      </w:r>
    </w:p>
    <w:p w:rsidR="00DA252E" w:rsidRPr="00F71B84" w:rsidRDefault="00DA252E" w:rsidP="00DA252E">
      <w:pPr>
        <w:spacing w:after="0" w:line="240" w:lineRule="auto"/>
        <w:rPr>
          <w:rFonts w:ascii="Verdana" w:hAnsi="Verdana"/>
          <w:sz w:val="24"/>
          <w:szCs w:val="24"/>
        </w:rPr>
      </w:pPr>
    </w:p>
    <w:p w:rsidR="00DA252E" w:rsidRPr="00F71B84" w:rsidRDefault="00DA252E" w:rsidP="00DA252E">
      <w:pPr>
        <w:spacing w:after="0" w:line="240" w:lineRule="auto"/>
        <w:jc w:val="both"/>
        <w:rPr>
          <w:rFonts w:ascii="Verdana" w:hAnsi="Verdana"/>
          <w:sz w:val="24"/>
          <w:szCs w:val="24"/>
        </w:rPr>
      </w:pPr>
      <w:r w:rsidRPr="00F71B84">
        <w:rPr>
          <w:rFonts w:ascii="Verdana" w:hAnsi="Verdana"/>
          <w:sz w:val="24"/>
          <w:szCs w:val="24"/>
        </w:rPr>
        <w:t>Propiciar hechos de paz y de reconciliación en la vida cotidiana de poblaciones vulnerables y víctimas de la violencia o en situación de riesgo y marginalidad, a través de la implementación de metodologías comunitarias de acompañamiento socialmente masivo lideradas por sus propios jóvenes. Para ello se les reconoce un  incentivo social por el servicio a la comunidad y se aplica el código de honor para recuperar el principio de legalidad, de tal m</w:t>
      </w:r>
      <w:r>
        <w:rPr>
          <w:rFonts w:ascii="Verdana" w:hAnsi="Verdana"/>
          <w:sz w:val="24"/>
          <w:szCs w:val="24"/>
        </w:rPr>
        <w:t>an</w:t>
      </w:r>
      <w:r w:rsidRPr="00F71B84">
        <w:rPr>
          <w:rFonts w:ascii="Verdana" w:hAnsi="Verdana"/>
          <w:sz w:val="24"/>
          <w:szCs w:val="24"/>
        </w:rPr>
        <w:t>era que puedan recuperar su autoestima y dignidad y constituirse en ciudadanos autónomos y aptos para el bien común y la construcción de un nuevo país.</w:t>
      </w:r>
    </w:p>
    <w:p w:rsidR="00DA252E" w:rsidRDefault="00DA252E" w:rsidP="00DA252E">
      <w:pPr>
        <w:spacing w:after="0" w:line="240" w:lineRule="auto"/>
        <w:rPr>
          <w:rFonts w:ascii="Verdana" w:hAnsi="Verdana"/>
          <w:b/>
          <w:color w:val="548DD4" w:themeColor="text2" w:themeTint="99"/>
          <w:sz w:val="24"/>
          <w:szCs w:val="24"/>
        </w:rPr>
      </w:pPr>
    </w:p>
    <w:p w:rsidR="00FE71FF" w:rsidRDefault="00FE71FF" w:rsidP="00DA252E">
      <w:pPr>
        <w:spacing w:after="0" w:line="240" w:lineRule="auto"/>
        <w:rPr>
          <w:rFonts w:ascii="Verdana" w:hAnsi="Verdana"/>
          <w:b/>
          <w:color w:val="548DD4" w:themeColor="text2" w:themeTint="99"/>
          <w:sz w:val="24"/>
          <w:szCs w:val="24"/>
        </w:rPr>
      </w:pPr>
    </w:p>
    <w:p w:rsidR="00DA252E" w:rsidRDefault="00DA252E" w:rsidP="00DA252E">
      <w:pPr>
        <w:spacing w:after="0" w:line="240" w:lineRule="auto"/>
        <w:rPr>
          <w:rFonts w:ascii="Verdana" w:hAnsi="Verdana"/>
          <w:b/>
          <w:color w:val="548DD4" w:themeColor="text2" w:themeTint="99"/>
          <w:sz w:val="24"/>
          <w:szCs w:val="24"/>
        </w:rPr>
      </w:pPr>
      <w:r>
        <w:rPr>
          <w:rFonts w:ascii="Verdana" w:hAnsi="Verdana"/>
          <w:b/>
          <w:color w:val="548DD4" w:themeColor="text2" w:themeTint="99"/>
          <w:sz w:val="24"/>
          <w:szCs w:val="24"/>
        </w:rPr>
        <w:t>Líneas de Acción</w:t>
      </w:r>
    </w:p>
    <w:p w:rsidR="00DA252E" w:rsidRDefault="00DA252E" w:rsidP="00DA252E">
      <w:pPr>
        <w:spacing w:after="0" w:line="240" w:lineRule="auto"/>
        <w:rPr>
          <w:rFonts w:ascii="Verdana" w:hAnsi="Verdana"/>
          <w:b/>
          <w:color w:val="548DD4" w:themeColor="text2" w:themeTint="99"/>
          <w:sz w:val="24"/>
          <w:szCs w:val="24"/>
        </w:rPr>
      </w:pPr>
    </w:p>
    <w:p w:rsidR="00DA252E" w:rsidRPr="0091035C" w:rsidRDefault="00DA252E" w:rsidP="00FF784D">
      <w:pPr>
        <w:pStyle w:val="Prrafodelista"/>
        <w:numPr>
          <w:ilvl w:val="0"/>
          <w:numId w:val="13"/>
        </w:numPr>
        <w:tabs>
          <w:tab w:val="left" w:pos="709"/>
        </w:tabs>
        <w:spacing w:after="0" w:line="240" w:lineRule="auto"/>
        <w:ind w:left="709" w:hanging="284"/>
        <w:jc w:val="both"/>
        <w:rPr>
          <w:rFonts w:ascii="Verdana" w:hAnsi="Verdana"/>
          <w:sz w:val="24"/>
          <w:szCs w:val="24"/>
        </w:rPr>
      </w:pPr>
      <w:r w:rsidRPr="0091035C">
        <w:rPr>
          <w:rFonts w:ascii="Verdana" w:hAnsi="Verdana"/>
          <w:sz w:val="24"/>
          <w:szCs w:val="24"/>
        </w:rPr>
        <w:t xml:space="preserve">Gestación de la reconciliación y de hechos de paz en la vida cotidiana. Para contribuir a ponerle fin a décadas de muerte criminal, temor, odios y venganzas,  y facilitando el retorno del Estado con inversión social e infraestructura a zonas urbanas y rurales críticamente desatendidas. Se trata de potenciar el poder reparador del afecto, las alianzas entre estratos sociales, los intercambios de saberes, el trabajo de campo, los actos de amor al desconocido, la generación de confianzas sociales que permitan re-ligar nación. </w:t>
      </w:r>
    </w:p>
    <w:p w:rsidR="00DA252E" w:rsidRPr="0091035C" w:rsidRDefault="00DA252E" w:rsidP="00FF784D">
      <w:pPr>
        <w:pStyle w:val="Prrafodelista"/>
        <w:numPr>
          <w:ilvl w:val="0"/>
          <w:numId w:val="13"/>
        </w:numPr>
        <w:tabs>
          <w:tab w:val="left" w:pos="709"/>
        </w:tabs>
        <w:spacing w:after="0" w:line="240" w:lineRule="auto"/>
        <w:ind w:left="709" w:hanging="284"/>
        <w:jc w:val="both"/>
        <w:rPr>
          <w:rFonts w:ascii="Verdana" w:hAnsi="Verdana"/>
          <w:sz w:val="24"/>
          <w:szCs w:val="24"/>
        </w:rPr>
      </w:pPr>
      <w:r w:rsidRPr="0091035C">
        <w:rPr>
          <w:rFonts w:ascii="Verdana" w:hAnsi="Verdana"/>
          <w:sz w:val="24"/>
          <w:szCs w:val="24"/>
        </w:rPr>
        <w:t>Acompañamiento a la “reparación de los irreparables daños del conflicto”. Mediante el poder de los lenguajes alternativos y la potencia del afecto, acompañar a comunidades desplazadas que están retornando a sus tierras para reconstruir la confianza, la solidaridad, la amistad,  y adelantar acciones de reparación al daño simbólico. Es una típica acción sanadora propia del post-conflicto.</w:t>
      </w:r>
    </w:p>
    <w:p w:rsidR="00DA252E" w:rsidRPr="0091035C" w:rsidRDefault="00DA252E" w:rsidP="00FF784D">
      <w:pPr>
        <w:pStyle w:val="Prrafodelista"/>
        <w:numPr>
          <w:ilvl w:val="0"/>
          <w:numId w:val="13"/>
        </w:numPr>
        <w:tabs>
          <w:tab w:val="left" w:pos="709"/>
        </w:tabs>
        <w:spacing w:after="0" w:line="240" w:lineRule="auto"/>
        <w:ind w:left="709" w:hanging="284"/>
        <w:jc w:val="both"/>
        <w:rPr>
          <w:rFonts w:ascii="Verdana" w:hAnsi="Verdana"/>
          <w:sz w:val="24"/>
          <w:szCs w:val="24"/>
        </w:rPr>
      </w:pPr>
      <w:r w:rsidRPr="0091035C">
        <w:rPr>
          <w:rFonts w:ascii="Verdana" w:hAnsi="Verdana"/>
          <w:sz w:val="24"/>
          <w:szCs w:val="24"/>
        </w:rPr>
        <w:t>Recuperación de la movilidad de los caminos de la guerra, para que sean caminos de la paz y la reconciliación. Mediante expediciones y “viajes a pie” por los territorios y caminos estigmatizados por la violencia, recuperar la confianza de transitar por los caminos  y senderos de la Colombia profunda, así como para acompañar a comunidades históricamente sitiadas por el conflicto.</w:t>
      </w:r>
    </w:p>
    <w:p w:rsidR="00DA252E" w:rsidRPr="0091035C" w:rsidRDefault="00DA252E" w:rsidP="00FF784D">
      <w:pPr>
        <w:pStyle w:val="Prrafodelista"/>
        <w:numPr>
          <w:ilvl w:val="0"/>
          <w:numId w:val="13"/>
        </w:numPr>
        <w:tabs>
          <w:tab w:val="left" w:pos="709"/>
        </w:tabs>
        <w:spacing w:after="0" w:line="240" w:lineRule="auto"/>
        <w:ind w:left="709" w:hanging="284"/>
        <w:jc w:val="both"/>
        <w:rPr>
          <w:rFonts w:ascii="Verdana" w:hAnsi="Verdana"/>
          <w:sz w:val="24"/>
          <w:szCs w:val="24"/>
        </w:rPr>
      </w:pPr>
      <w:r w:rsidRPr="0091035C">
        <w:rPr>
          <w:rFonts w:ascii="Verdana" w:hAnsi="Verdana"/>
          <w:sz w:val="24"/>
          <w:szCs w:val="24"/>
        </w:rPr>
        <w:t xml:space="preserve">Prevención de la muerte criminal y de las distintas violencias en sectores urbanos y rurales. Basados en los activos sociales, culturales y económicos de cada comunidad, se potencia el liderazgo de los jóvenes como peritos de cotidianidad, capaces de mitigar los factores de riesgo, amenaza y vulnerabilidad de la convivencia pacífica. Para ello se propician también, diálogos con las élites locales de poder de cara a la solución de los problemas sociales, antes de que degeneren en violencia. </w:t>
      </w:r>
    </w:p>
    <w:p w:rsidR="00FE71FF" w:rsidRDefault="00FE71FF" w:rsidP="00FE71FF">
      <w:pPr>
        <w:spacing w:after="0" w:line="240" w:lineRule="auto"/>
        <w:rPr>
          <w:rFonts w:ascii="Verdana" w:hAnsi="Verdana"/>
          <w:b/>
          <w:color w:val="548DD4" w:themeColor="text2" w:themeTint="99"/>
          <w:sz w:val="24"/>
          <w:szCs w:val="24"/>
        </w:rPr>
      </w:pPr>
    </w:p>
    <w:p w:rsidR="00FE71FF" w:rsidRDefault="00FE71FF" w:rsidP="00DA252E">
      <w:pPr>
        <w:spacing w:after="0" w:line="240" w:lineRule="auto"/>
        <w:rPr>
          <w:rFonts w:ascii="Verdana" w:hAnsi="Verdana"/>
          <w:b/>
          <w:color w:val="548DD4" w:themeColor="text2" w:themeTint="99"/>
          <w:sz w:val="24"/>
          <w:szCs w:val="24"/>
        </w:rPr>
      </w:pPr>
      <w:r w:rsidRPr="00FE71FF">
        <w:rPr>
          <w:rFonts w:ascii="Verdana" w:hAnsi="Verdana"/>
          <w:b/>
          <w:color w:val="548DD4" w:themeColor="text2" w:themeTint="99"/>
          <w:sz w:val="24"/>
          <w:szCs w:val="24"/>
        </w:rPr>
        <w:t>Cumplimiento Metas</w:t>
      </w:r>
    </w:p>
    <w:p w:rsidR="00FE71FF" w:rsidRDefault="00FE71FF" w:rsidP="00DA252E">
      <w:pPr>
        <w:spacing w:after="0" w:line="240" w:lineRule="auto"/>
        <w:rPr>
          <w:rFonts w:ascii="Verdana" w:hAnsi="Verdana"/>
          <w:b/>
          <w:color w:val="548DD4" w:themeColor="text2" w:themeTint="99"/>
          <w:sz w:val="24"/>
          <w:szCs w:val="24"/>
        </w:rPr>
      </w:pPr>
    </w:p>
    <w:tbl>
      <w:tblPr>
        <w:tblpPr w:leftFromText="141" w:rightFromText="141" w:vertAnchor="text" w:horzAnchor="margin" w:tblpYSpec="bottom"/>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4644"/>
        <w:gridCol w:w="5434"/>
      </w:tblGrid>
      <w:tr w:rsidR="00DA252E" w:rsidRPr="005465D0" w:rsidTr="00DA252E">
        <w:trPr>
          <w:trHeight w:val="274"/>
        </w:trPr>
        <w:tc>
          <w:tcPr>
            <w:tcW w:w="4644" w:type="dxa"/>
            <w:shd w:val="clear" w:color="auto" w:fill="548DD4" w:themeFill="text2" w:themeFillTint="99"/>
          </w:tcPr>
          <w:p w:rsidR="00DA252E" w:rsidRPr="0091035C" w:rsidRDefault="00DA252E" w:rsidP="00DA252E">
            <w:pPr>
              <w:spacing w:after="0" w:line="240" w:lineRule="auto"/>
              <w:jc w:val="center"/>
              <w:rPr>
                <w:rFonts w:ascii="Verdana" w:hAnsi="Verdana"/>
                <w:b/>
                <w:bCs/>
                <w:color w:val="FFFFFF" w:themeColor="background1"/>
                <w:sz w:val="20"/>
                <w:szCs w:val="20"/>
              </w:rPr>
            </w:pPr>
            <w:r w:rsidRPr="0091035C">
              <w:rPr>
                <w:rFonts w:ascii="Verdana" w:hAnsi="Verdana"/>
                <w:b/>
                <w:bCs/>
                <w:color w:val="FFFFFF" w:themeColor="background1"/>
                <w:sz w:val="20"/>
                <w:szCs w:val="20"/>
              </w:rPr>
              <w:lastRenderedPageBreak/>
              <w:t>Meta</w:t>
            </w:r>
          </w:p>
        </w:tc>
        <w:tc>
          <w:tcPr>
            <w:tcW w:w="5434" w:type="dxa"/>
            <w:shd w:val="clear" w:color="auto" w:fill="548DD4" w:themeFill="text2" w:themeFillTint="99"/>
          </w:tcPr>
          <w:p w:rsidR="00DA252E" w:rsidRPr="0091035C" w:rsidRDefault="00DA252E" w:rsidP="00DA252E">
            <w:pPr>
              <w:spacing w:after="0" w:line="240" w:lineRule="auto"/>
              <w:jc w:val="center"/>
              <w:rPr>
                <w:rFonts w:ascii="Verdana" w:hAnsi="Verdana"/>
                <w:b/>
                <w:bCs/>
                <w:color w:val="FFFFFF" w:themeColor="background1"/>
                <w:sz w:val="20"/>
                <w:szCs w:val="20"/>
              </w:rPr>
            </w:pPr>
            <w:r w:rsidRPr="0091035C">
              <w:rPr>
                <w:rFonts w:ascii="Verdana" w:hAnsi="Verdana"/>
                <w:b/>
                <w:bCs/>
                <w:color w:val="FFFFFF" w:themeColor="background1"/>
                <w:sz w:val="20"/>
                <w:szCs w:val="20"/>
              </w:rPr>
              <w:t>Resultado</w:t>
            </w:r>
          </w:p>
        </w:tc>
      </w:tr>
      <w:tr w:rsidR="00DA252E" w:rsidRPr="005465D0" w:rsidTr="00DA252E">
        <w:trPr>
          <w:trHeight w:val="557"/>
        </w:trPr>
        <w:tc>
          <w:tcPr>
            <w:tcW w:w="4644" w:type="dxa"/>
            <w:shd w:val="clear" w:color="auto" w:fill="A7BFDE"/>
          </w:tcPr>
          <w:p w:rsidR="00DA252E" w:rsidRPr="0091035C" w:rsidRDefault="00DA252E" w:rsidP="00DA252E">
            <w:pPr>
              <w:spacing w:after="0" w:line="240" w:lineRule="auto"/>
              <w:jc w:val="both"/>
              <w:rPr>
                <w:rFonts w:ascii="Verdana" w:hAnsi="Verdana"/>
                <w:bCs/>
                <w:sz w:val="20"/>
                <w:szCs w:val="20"/>
              </w:rPr>
            </w:pPr>
            <w:r w:rsidRPr="0091035C">
              <w:rPr>
                <w:rFonts w:ascii="Verdana" w:hAnsi="Verdana"/>
                <w:bCs/>
                <w:sz w:val="20"/>
                <w:szCs w:val="20"/>
              </w:rPr>
              <w:t>15 regiones cubiertas por la Legión del Afecto</w:t>
            </w:r>
          </w:p>
        </w:tc>
        <w:tc>
          <w:tcPr>
            <w:tcW w:w="5434" w:type="dxa"/>
            <w:shd w:val="clear" w:color="auto" w:fill="A7BFDE"/>
          </w:tcPr>
          <w:p w:rsidR="00DA252E" w:rsidRPr="0091035C" w:rsidRDefault="00DA252E" w:rsidP="00DA252E">
            <w:pPr>
              <w:pStyle w:val="Prrafodelista"/>
              <w:spacing w:after="0" w:line="240" w:lineRule="auto"/>
              <w:ind w:left="176"/>
              <w:jc w:val="both"/>
              <w:rPr>
                <w:rFonts w:ascii="Verdana" w:hAnsi="Verdana"/>
                <w:sz w:val="20"/>
                <w:szCs w:val="20"/>
              </w:rPr>
            </w:pPr>
            <w:r w:rsidRPr="0091035C">
              <w:rPr>
                <w:rFonts w:ascii="Verdana" w:hAnsi="Verdana"/>
                <w:sz w:val="20"/>
                <w:szCs w:val="20"/>
              </w:rPr>
              <w:t>Se llegó a 25 territorios “donde no llega nadie”, en 18 departamentos y 45 municipios.</w:t>
            </w:r>
          </w:p>
        </w:tc>
      </w:tr>
      <w:tr w:rsidR="00DA252E" w:rsidRPr="005465D0" w:rsidTr="00DA252E">
        <w:trPr>
          <w:trHeight w:val="242"/>
        </w:trPr>
        <w:tc>
          <w:tcPr>
            <w:tcW w:w="4644" w:type="dxa"/>
            <w:shd w:val="clear" w:color="auto" w:fill="D3DFEE"/>
          </w:tcPr>
          <w:p w:rsidR="00DA252E" w:rsidRPr="0091035C" w:rsidRDefault="00DA252E" w:rsidP="00DA252E">
            <w:pPr>
              <w:spacing w:after="0" w:line="240" w:lineRule="auto"/>
              <w:jc w:val="both"/>
              <w:rPr>
                <w:rFonts w:ascii="Verdana" w:hAnsi="Verdana"/>
                <w:bCs/>
                <w:sz w:val="20"/>
                <w:szCs w:val="20"/>
              </w:rPr>
            </w:pPr>
            <w:r w:rsidRPr="0091035C">
              <w:rPr>
                <w:rFonts w:ascii="Verdana" w:hAnsi="Verdana"/>
                <w:bCs/>
                <w:sz w:val="20"/>
                <w:szCs w:val="20"/>
              </w:rPr>
              <w:t>Reconocimiento de 1.000 incentivos sociales</w:t>
            </w:r>
          </w:p>
        </w:tc>
        <w:tc>
          <w:tcPr>
            <w:tcW w:w="5434" w:type="dxa"/>
            <w:shd w:val="clear" w:color="auto" w:fill="D3DFEE"/>
          </w:tcPr>
          <w:p w:rsidR="00DA252E" w:rsidRPr="0091035C" w:rsidRDefault="00DA252E" w:rsidP="00DA252E">
            <w:pPr>
              <w:spacing w:after="0" w:line="240" w:lineRule="auto"/>
              <w:ind w:left="175"/>
              <w:jc w:val="both"/>
              <w:rPr>
                <w:rFonts w:ascii="Verdana" w:hAnsi="Verdana"/>
                <w:sz w:val="20"/>
                <w:szCs w:val="20"/>
              </w:rPr>
            </w:pPr>
            <w:r w:rsidRPr="0091035C">
              <w:rPr>
                <w:rFonts w:ascii="Verdana" w:hAnsi="Verdana"/>
                <w:sz w:val="20"/>
                <w:szCs w:val="20"/>
              </w:rPr>
              <w:t>Se reconocieron 2.234 incentivos sociales.</w:t>
            </w:r>
          </w:p>
        </w:tc>
      </w:tr>
      <w:tr w:rsidR="00DA252E" w:rsidRPr="005465D0" w:rsidTr="00DA252E">
        <w:trPr>
          <w:trHeight w:val="304"/>
        </w:trPr>
        <w:tc>
          <w:tcPr>
            <w:tcW w:w="4644" w:type="dxa"/>
            <w:shd w:val="clear" w:color="auto" w:fill="A7BFDE"/>
          </w:tcPr>
          <w:p w:rsidR="00DA252E" w:rsidRPr="0091035C" w:rsidRDefault="00DA252E" w:rsidP="00DA252E">
            <w:pPr>
              <w:spacing w:after="0" w:line="240" w:lineRule="auto"/>
              <w:jc w:val="both"/>
              <w:rPr>
                <w:rFonts w:ascii="Verdana" w:hAnsi="Verdana"/>
                <w:bCs/>
                <w:sz w:val="20"/>
                <w:szCs w:val="20"/>
              </w:rPr>
            </w:pPr>
            <w:r w:rsidRPr="0091035C">
              <w:rPr>
                <w:rFonts w:ascii="Verdana" w:hAnsi="Verdana"/>
                <w:bCs/>
                <w:sz w:val="20"/>
                <w:szCs w:val="20"/>
              </w:rPr>
              <w:t>50.000 personas movilizadas</w:t>
            </w:r>
          </w:p>
        </w:tc>
        <w:tc>
          <w:tcPr>
            <w:tcW w:w="5434" w:type="dxa"/>
            <w:shd w:val="clear" w:color="auto" w:fill="A7BFDE"/>
          </w:tcPr>
          <w:p w:rsidR="00DA252E" w:rsidRPr="0091035C" w:rsidRDefault="00DA252E" w:rsidP="00DA252E">
            <w:pPr>
              <w:spacing w:after="0" w:line="240" w:lineRule="auto"/>
              <w:ind w:left="148"/>
              <w:jc w:val="both"/>
              <w:rPr>
                <w:rFonts w:ascii="Verdana" w:hAnsi="Verdana"/>
                <w:sz w:val="20"/>
                <w:szCs w:val="20"/>
              </w:rPr>
            </w:pPr>
            <w:r w:rsidRPr="0091035C">
              <w:rPr>
                <w:rFonts w:ascii="Verdana" w:hAnsi="Verdana"/>
                <w:sz w:val="20"/>
                <w:szCs w:val="20"/>
              </w:rPr>
              <w:t>Más de 250.000 personas movilizadas.</w:t>
            </w:r>
          </w:p>
        </w:tc>
      </w:tr>
      <w:tr w:rsidR="00DA252E" w:rsidRPr="005465D0" w:rsidTr="00DA252E">
        <w:trPr>
          <w:trHeight w:val="550"/>
        </w:trPr>
        <w:tc>
          <w:tcPr>
            <w:tcW w:w="4644" w:type="dxa"/>
            <w:shd w:val="clear" w:color="auto" w:fill="D3DFEE"/>
          </w:tcPr>
          <w:p w:rsidR="00DA252E" w:rsidRPr="0091035C" w:rsidRDefault="00DA252E" w:rsidP="00DA252E">
            <w:pPr>
              <w:spacing w:after="0" w:line="240" w:lineRule="auto"/>
              <w:jc w:val="both"/>
              <w:rPr>
                <w:rFonts w:ascii="Verdana" w:hAnsi="Verdana"/>
                <w:bCs/>
                <w:sz w:val="20"/>
                <w:szCs w:val="20"/>
              </w:rPr>
            </w:pPr>
            <w:r w:rsidRPr="0091035C">
              <w:rPr>
                <w:rFonts w:ascii="Verdana" w:hAnsi="Verdana"/>
                <w:bCs/>
                <w:sz w:val="20"/>
                <w:szCs w:val="20"/>
              </w:rPr>
              <w:t>15 inventarios sociales identificados</w:t>
            </w:r>
          </w:p>
        </w:tc>
        <w:tc>
          <w:tcPr>
            <w:tcW w:w="5434" w:type="dxa"/>
            <w:shd w:val="clear" w:color="auto" w:fill="D3DFEE"/>
          </w:tcPr>
          <w:p w:rsidR="00DA252E" w:rsidRPr="0091035C" w:rsidRDefault="00DA252E" w:rsidP="00DA252E">
            <w:pPr>
              <w:spacing w:after="0" w:line="240" w:lineRule="auto"/>
              <w:ind w:left="148"/>
              <w:jc w:val="both"/>
              <w:rPr>
                <w:rFonts w:ascii="Verdana" w:hAnsi="Verdana"/>
                <w:sz w:val="20"/>
                <w:szCs w:val="20"/>
              </w:rPr>
            </w:pPr>
            <w:r w:rsidRPr="0091035C">
              <w:rPr>
                <w:rFonts w:ascii="Verdana" w:hAnsi="Verdana"/>
                <w:sz w:val="20"/>
                <w:szCs w:val="20"/>
              </w:rPr>
              <w:t>Se construyeron de manera colectiva más de 80 inventarios sociales.</w:t>
            </w:r>
          </w:p>
        </w:tc>
      </w:tr>
    </w:tbl>
    <w:p w:rsidR="00FE71FF" w:rsidRDefault="00FE71FF" w:rsidP="00DA252E">
      <w:pPr>
        <w:spacing w:after="0" w:line="240" w:lineRule="auto"/>
        <w:rPr>
          <w:rFonts w:ascii="Verdana" w:hAnsi="Verdana"/>
          <w:b/>
          <w:color w:val="548DD4" w:themeColor="text2" w:themeTint="99"/>
          <w:sz w:val="24"/>
          <w:szCs w:val="24"/>
        </w:rPr>
      </w:pPr>
    </w:p>
    <w:p w:rsidR="00DA252E"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Logros</w:t>
      </w:r>
    </w:p>
    <w:p w:rsidR="00DA252E" w:rsidRPr="00405354" w:rsidRDefault="00DA252E" w:rsidP="00DA252E">
      <w:pPr>
        <w:spacing w:after="0" w:line="240" w:lineRule="auto"/>
        <w:rPr>
          <w:rFonts w:ascii="Verdana" w:hAnsi="Verdana"/>
          <w:b/>
          <w:color w:val="548DD4" w:themeColor="text2" w:themeTint="99"/>
          <w:sz w:val="24"/>
          <w:szCs w:val="24"/>
        </w:rPr>
      </w:pPr>
    </w:p>
    <w:p w:rsidR="00DA252E" w:rsidRPr="00164C6A" w:rsidRDefault="00DA252E" w:rsidP="00FF784D">
      <w:pPr>
        <w:pStyle w:val="Prrafodelista"/>
        <w:numPr>
          <w:ilvl w:val="0"/>
          <w:numId w:val="42"/>
        </w:numPr>
        <w:spacing w:after="0" w:line="240" w:lineRule="auto"/>
        <w:ind w:left="709" w:hanging="283"/>
        <w:jc w:val="both"/>
        <w:rPr>
          <w:rFonts w:ascii="Verdana" w:hAnsi="Verdana"/>
          <w:i/>
          <w:sz w:val="24"/>
          <w:szCs w:val="24"/>
        </w:rPr>
      </w:pPr>
      <w:r w:rsidRPr="0091035C">
        <w:rPr>
          <w:rFonts w:ascii="Verdana" w:hAnsi="Verdana"/>
          <w:i/>
          <w:sz w:val="24"/>
          <w:szCs w:val="24"/>
        </w:rPr>
        <w:t>Contribución a la desactivación de fronteras invisibles, cadenas de venganzas y disminución de la muerte criminal en los contextos regionales intervenidos.</w:t>
      </w:r>
    </w:p>
    <w:p w:rsidR="00DA252E" w:rsidRPr="00164C6A" w:rsidRDefault="00DA252E" w:rsidP="00FF784D">
      <w:pPr>
        <w:pStyle w:val="Prrafodelista"/>
        <w:numPr>
          <w:ilvl w:val="0"/>
          <w:numId w:val="42"/>
        </w:numPr>
        <w:spacing w:after="0" w:line="240" w:lineRule="auto"/>
        <w:ind w:left="709" w:hanging="283"/>
        <w:jc w:val="both"/>
        <w:rPr>
          <w:rFonts w:ascii="Verdana" w:hAnsi="Verdana"/>
          <w:i/>
          <w:sz w:val="24"/>
          <w:szCs w:val="24"/>
        </w:rPr>
      </w:pPr>
      <w:r w:rsidRPr="0091035C">
        <w:rPr>
          <w:rFonts w:ascii="Verdana" w:hAnsi="Verdana"/>
          <w:i/>
          <w:sz w:val="24"/>
          <w:szCs w:val="24"/>
        </w:rPr>
        <w:t>Realización de más de 600 hechos de paz y de reconciliación en la vida cotidiana, con la participación directa de alrededor de 250.000 personas en los 25 focos regionales.</w:t>
      </w:r>
    </w:p>
    <w:p w:rsidR="00DA252E" w:rsidRPr="00164C6A" w:rsidRDefault="00DA252E" w:rsidP="00FF784D">
      <w:pPr>
        <w:pStyle w:val="Prrafodelista"/>
        <w:numPr>
          <w:ilvl w:val="0"/>
          <w:numId w:val="42"/>
        </w:numPr>
        <w:spacing w:after="0" w:line="240" w:lineRule="auto"/>
        <w:ind w:left="709" w:hanging="283"/>
        <w:jc w:val="both"/>
        <w:rPr>
          <w:rFonts w:ascii="Verdana" w:hAnsi="Verdana"/>
          <w:i/>
          <w:sz w:val="24"/>
          <w:szCs w:val="24"/>
        </w:rPr>
      </w:pPr>
      <w:r w:rsidRPr="0091035C">
        <w:rPr>
          <w:rFonts w:ascii="Verdana" w:hAnsi="Verdana"/>
          <w:i/>
          <w:sz w:val="24"/>
          <w:szCs w:val="24"/>
        </w:rPr>
        <w:t>Acompañamiento a 25 comunidades que han retornado a sus tierras, generando condiciones de confianza y de solidaridad afectiva en alianza con el programa Familias en su Tierra.</w:t>
      </w:r>
    </w:p>
    <w:p w:rsidR="00DA252E" w:rsidRPr="00164C6A" w:rsidRDefault="00DA252E" w:rsidP="00FF784D">
      <w:pPr>
        <w:pStyle w:val="Prrafodelista"/>
        <w:numPr>
          <w:ilvl w:val="0"/>
          <w:numId w:val="42"/>
        </w:numPr>
        <w:spacing w:after="0" w:line="240" w:lineRule="auto"/>
        <w:ind w:left="709" w:hanging="283"/>
        <w:jc w:val="both"/>
        <w:rPr>
          <w:rFonts w:ascii="Verdana" w:hAnsi="Verdana"/>
          <w:i/>
          <w:sz w:val="24"/>
          <w:szCs w:val="24"/>
        </w:rPr>
      </w:pPr>
      <w:r w:rsidRPr="0091035C">
        <w:rPr>
          <w:rFonts w:ascii="Verdana" w:hAnsi="Verdana"/>
          <w:i/>
          <w:sz w:val="24"/>
          <w:szCs w:val="24"/>
        </w:rPr>
        <w:t>Construcción colectiva de una ruta metodológica para la reparación simbólica de los daños causados por el conflicto.</w:t>
      </w:r>
    </w:p>
    <w:p w:rsidR="00DA252E" w:rsidRPr="00164C6A" w:rsidRDefault="00DA252E" w:rsidP="00FF784D">
      <w:pPr>
        <w:pStyle w:val="Prrafodelista"/>
        <w:numPr>
          <w:ilvl w:val="0"/>
          <w:numId w:val="42"/>
        </w:numPr>
        <w:spacing w:after="0" w:line="240" w:lineRule="auto"/>
        <w:ind w:left="709" w:hanging="283"/>
        <w:jc w:val="both"/>
        <w:rPr>
          <w:rFonts w:ascii="Verdana" w:hAnsi="Verdana"/>
          <w:i/>
          <w:sz w:val="24"/>
          <w:szCs w:val="24"/>
        </w:rPr>
      </w:pPr>
      <w:r w:rsidRPr="0091035C">
        <w:rPr>
          <w:rFonts w:ascii="Verdana" w:hAnsi="Verdana"/>
          <w:i/>
          <w:sz w:val="24"/>
          <w:szCs w:val="24"/>
        </w:rPr>
        <w:t>Realización de expediciones de acompañamientos socialmente masivos por territorios estigmatizados como el camino entre San Vicente del Caguán y La Macarena; el río Atrato entre Quibdó y Bojayá; los barrios de bajamar de Buenaventura; Cartagena del Chairá  y Remolinos del Caguán.</w:t>
      </w:r>
    </w:p>
    <w:p w:rsidR="00DA252E" w:rsidRPr="00164C6A" w:rsidRDefault="00DA252E" w:rsidP="00FF784D">
      <w:pPr>
        <w:pStyle w:val="Prrafodelista"/>
        <w:numPr>
          <w:ilvl w:val="0"/>
          <w:numId w:val="42"/>
        </w:numPr>
        <w:spacing w:after="0" w:line="240" w:lineRule="auto"/>
        <w:ind w:left="709" w:hanging="283"/>
        <w:jc w:val="both"/>
        <w:rPr>
          <w:rFonts w:ascii="Verdana" w:hAnsi="Verdana"/>
          <w:i/>
          <w:sz w:val="24"/>
          <w:szCs w:val="24"/>
        </w:rPr>
      </w:pPr>
      <w:r w:rsidRPr="0091035C">
        <w:rPr>
          <w:rFonts w:ascii="Verdana" w:hAnsi="Verdana"/>
          <w:i/>
          <w:sz w:val="24"/>
          <w:szCs w:val="24"/>
        </w:rPr>
        <w:t>Reconocimiento nacional e internacional de la metodología de la Legión del Afecto, expresada en más de 120 publicaciones en periódicos, revistas, programas de televisión y redes sociales.</w:t>
      </w:r>
    </w:p>
    <w:p w:rsidR="00DA252E" w:rsidRPr="00164C6A" w:rsidRDefault="00DA252E" w:rsidP="00FF784D">
      <w:pPr>
        <w:pStyle w:val="Prrafodelista"/>
        <w:numPr>
          <w:ilvl w:val="0"/>
          <w:numId w:val="42"/>
        </w:numPr>
        <w:spacing w:after="0" w:line="240" w:lineRule="auto"/>
        <w:ind w:left="709" w:hanging="283"/>
        <w:jc w:val="both"/>
        <w:rPr>
          <w:rFonts w:ascii="Verdana" w:hAnsi="Verdana"/>
          <w:i/>
          <w:sz w:val="24"/>
          <w:szCs w:val="24"/>
        </w:rPr>
      </w:pPr>
      <w:r w:rsidRPr="0091035C">
        <w:rPr>
          <w:rFonts w:ascii="Verdana" w:hAnsi="Verdana"/>
          <w:i/>
          <w:sz w:val="24"/>
          <w:szCs w:val="24"/>
        </w:rPr>
        <w:t>Generación de sinergias y de alianzas estratégicas con programas DPS como Familias en su Tierra y Nuevos Territorios de Paz.</w:t>
      </w:r>
    </w:p>
    <w:p w:rsidR="00DA252E" w:rsidRDefault="00DA252E" w:rsidP="00DA252E">
      <w:pPr>
        <w:spacing w:after="0" w:line="240" w:lineRule="auto"/>
        <w:rPr>
          <w:rFonts w:ascii="Verdana" w:hAnsi="Verdana"/>
          <w:b/>
          <w:sz w:val="24"/>
          <w:szCs w:val="24"/>
        </w:rPr>
      </w:pPr>
    </w:p>
    <w:p w:rsidR="00DA252E"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 xml:space="preserve">Retos 2015 </w:t>
      </w:r>
    </w:p>
    <w:p w:rsidR="00DA252E" w:rsidRPr="00405354" w:rsidRDefault="00DA252E" w:rsidP="00DA252E">
      <w:pPr>
        <w:spacing w:after="0" w:line="240" w:lineRule="auto"/>
        <w:rPr>
          <w:rFonts w:ascii="Verdana" w:hAnsi="Verdana"/>
          <w:b/>
          <w:color w:val="548DD4" w:themeColor="text2" w:themeTint="99"/>
          <w:sz w:val="24"/>
          <w:szCs w:val="24"/>
        </w:rPr>
      </w:pPr>
    </w:p>
    <w:p w:rsidR="00DA252E" w:rsidRPr="00164C6A" w:rsidRDefault="00DA252E" w:rsidP="00FF784D">
      <w:pPr>
        <w:pStyle w:val="Prrafodelista"/>
        <w:numPr>
          <w:ilvl w:val="0"/>
          <w:numId w:val="42"/>
        </w:numPr>
        <w:spacing w:after="0" w:line="240" w:lineRule="auto"/>
        <w:ind w:left="709" w:hanging="283"/>
        <w:jc w:val="both"/>
        <w:rPr>
          <w:rFonts w:ascii="Verdana" w:hAnsi="Verdana"/>
          <w:i/>
          <w:sz w:val="24"/>
          <w:szCs w:val="24"/>
        </w:rPr>
      </w:pPr>
      <w:r w:rsidRPr="00164C6A">
        <w:rPr>
          <w:rFonts w:ascii="Verdana" w:hAnsi="Verdana"/>
          <w:i/>
          <w:sz w:val="24"/>
          <w:szCs w:val="24"/>
        </w:rPr>
        <w:t>Fortalecer y ampliar la incidencia en los 25 territorios identificados, con estabilidad en sus intervenciones para poder dejar capacidad instalada</w:t>
      </w:r>
      <w:r>
        <w:rPr>
          <w:rFonts w:ascii="Verdana" w:hAnsi="Verdana"/>
          <w:i/>
          <w:sz w:val="24"/>
          <w:szCs w:val="24"/>
        </w:rPr>
        <w:t>.</w:t>
      </w:r>
    </w:p>
    <w:p w:rsidR="00DA252E" w:rsidRPr="004632E4" w:rsidRDefault="00DA252E" w:rsidP="00FF784D">
      <w:pPr>
        <w:pStyle w:val="Prrafodelista"/>
        <w:numPr>
          <w:ilvl w:val="0"/>
          <w:numId w:val="42"/>
        </w:numPr>
        <w:spacing w:after="0" w:line="240" w:lineRule="auto"/>
        <w:ind w:left="709" w:hanging="283"/>
        <w:jc w:val="both"/>
        <w:rPr>
          <w:rFonts w:ascii="Verdana" w:hAnsi="Verdana"/>
          <w:i/>
          <w:sz w:val="24"/>
          <w:szCs w:val="24"/>
        </w:rPr>
      </w:pPr>
      <w:r>
        <w:rPr>
          <w:rFonts w:ascii="Verdana" w:hAnsi="Verdana"/>
          <w:i/>
          <w:sz w:val="24"/>
          <w:szCs w:val="24"/>
        </w:rPr>
        <w:t>C</w:t>
      </w:r>
      <w:r w:rsidRPr="00164C6A">
        <w:rPr>
          <w:rFonts w:ascii="Verdana" w:hAnsi="Verdana"/>
          <w:i/>
          <w:sz w:val="24"/>
          <w:szCs w:val="24"/>
        </w:rPr>
        <w:t>onsolidar acuerdos con el sector público y privado a través de contratos o convenios de asociaci</w:t>
      </w:r>
      <w:r>
        <w:rPr>
          <w:rFonts w:ascii="Verdana" w:hAnsi="Verdana"/>
          <w:i/>
          <w:sz w:val="24"/>
          <w:szCs w:val="24"/>
        </w:rPr>
        <w:t>ó</w:t>
      </w:r>
      <w:r w:rsidRPr="00164C6A">
        <w:rPr>
          <w:rFonts w:ascii="Verdana" w:hAnsi="Verdana"/>
          <w:i/>
          <w:sz w:val="24"/>
          <w:szCs w:val="24"/>
        </w:rPr>
        <w:t>n que garanticen la óptima operación del programa en las regionales focalizadas.</w:t>
      </w:r>
    </w:p>
    <w:p w:rsidR="0091035C" w:rsidRPr="0091035C" w:rsidRDefault="0091035C" w:rsidP="0091035C">
      <w:bookmarkStart w:id="64" w:name="_Toc410035283"/>
      <w:bookmarkStart w:id="65" w:name="_Toc410111299"/>
    </w:p>
    <w:p w:rsidR="00DA252E" w:rsidRPr="00334E15" w:rsidRDefault="00DA252E" w:rsidP="00DA252E">
      <w:pPr>
        <w:pStyle w:val="Ttulo3"/>
        <w:spacing w:before="0" w:after="0" w:line="240" w:lineRule="auto"/>
        <w:rPr>
          <w:rFonts w:ascii="Verdana" w:hAnsi="Verdana"/>
          <w:color w:val="548DD4" w:themeColor="text2" w:themeTint="99"/>
          <w:sz w:val="24"/>
          <w:szCs w:val="24"/>
          <w:u w:val="single"/>
        </w:rPr>
      </w:pPr>
      <w:bookmarkStart w:id="66" w:name="_Toc410376795"/>
      <w:r w:rsidRPr="00334E15">
        <w:rPr>
          <w:rFonts w:ascii="Verdana" w:hAnsi="Verdana"/>
          <w:color w:val="548DD4" w:themeColor="text2" w:themeTint="99"/>
          <w:sz w:val="24"/>
          <w:szCs w:val="24"/>
          <w:u w:val="single"/>
        </w:rPr>
        <w:lastRenderedPageBreak/>
        <w:t>MÚSICA PARA LA RECONCILIACIÓN</w:t>
      </w:r>
      <w:bookmarkEnd w:id="64"/>
      <w:bookmarkEnd w:id="65"/>
      <w:bookmarkEnd w:id="66"/>
    </w:p>
    <w:p w:rsidR="00DA252E" w:rsidRPr="00F71B84" w:rsidRDefault="00DA252E" w:rsidP="00DA252E">
      <w:pPr>
        <w:spacing w:after="0" w:line="240" w:lineRule="auto"/>
        <w:rPr>
          <w:rFonts w:ascii="Verdana" w:hAnsi="Verdana"/>
          <w:b/>
          <w:sz w:val="24"/>
          <w:szCs w:val="24"/>
        </w:rPr>
      </w:pPr>
    </w:p>
    <w:p w:rsidR="0091035C" w:rsidRDefault="0091035C" w:rsidP="00DA252E">
      <w:pPr>
        <w:spacing w:after="0" w:line="240" w:lineRule="auto"/>
        <w:rPr>
          <w:rFonts w:ascii="Verdana" w:hAnsi="Verdana"/>
          <w:b/>
          <w:color w:val="548DD4" w:themeColor="text2" w:themeTint="99"/>
          <w:sz w:val="24"/>
          <w:szCs w:val="24"/>
        </w:rPr>
      </w:pPr>
    </w:p>
    <w:p w:rsidR="00DA252E" w:rsidRPr="00405354"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Objetivo</w:t>
      </w:r>
    </w:p>
    <w:p w:rsidR="00DA252E" w:rsidRPr="00F71B84" w:rsidRDefault="00DA252E" w:rsidP="00DA252E">
      <w:pPr>
        <w:spacing w:after="0" w:line="240" w:lineRule="auto"/>
        <w:rPr>
          <w:rFonts w:ascii="Verdana" w:hAnsi="Verdana"/>
          <w:b/>
          <w:sz w:val="24"/>
          <w:szCs w:val="24"/>
        </w:rPr>
      </w:pPr>
    </w:p>
    <w:p w:rsidR="00DA252E" w:rsidRPr="00F71B84" w:rsidRDefault="00DA252E" w:rsidP="00DA252E">
      <w:pPr>
        <w:spacing w:after="0" w:line="240" w:lineRule="auto"/>
        <w:jc w:val="both"/>
        <w:rPr>
          <w:rFonts w:ascii="Verdana" w:hAnsi="Verdana" w:cs="Arial"/>
          <w:sz w:val="24"/>
          <w:szCs w:val="24"/>
        </w:rPr>
      </w:pPr>
      <w:r w:rsidRPr="00F71B84">
        <w:rPr>
          <w:rFonts w:ascii="Verdana" w:hAnsi="Verdana" w:cs="Arial"/>
          <w:sz w:val="24"/>
          <w:szCs w:val="24"/>
        </w:rPr>
        <w:t>Brindar formación musical  para enriquecer la vida de niños, niñas, adolescentes, jóvenes y adultos víctimas del conflicto interno y de la población más vulnerable, a través de un modelo integral de atención musical-psicosocial de alta calidad, que contribuya a garantizar el ejercicio de sus derechos y su desarrollo integral como parte de la Atención Psicosocial.</w:t>
      </w:r>
    </w:p>
    <w:p w:rsidR="00DA252E" w:rsidRDefault="00DA252E" w:rsidP="00DA252E">
      <w:pPr>
        <w:spacing w:after="0" w:line="240" w:lineRule="auto"/>
        <w:rPr>
          <w:rFonts w:ascii="Verdana" w:hAnsi="Verdana"/>
          <w:b/>
          <w:color w:val="548DD4" w:themeColor="text2" w:themeTint="99"/>
          <w:sz w:val="24"/>
          <w:szCs w:val="24"/>
        </w:rPr>
      </w:pPr>
    </w:p>
    <w:p w:rsidR="00DA252E" w:rsidRDefault="00DA252E" w:rsidP="00DA252E">
      <w:pPr>
        <w:spacing w:after="0" w:line="240" w:lineRule="auto"/>
        <w:rPr>
          <w:rFonts w:ascii="Verdana" w:hAnsi="Verdana"/>
          <w:b/>
          <w:color w:val="548DD4" w:themeColor="text2" w:themeTint="99"/>
          <w:sz w:val="24"/>
          <w:szCs w:val="24"/>
        </w:rPr>
      </w:pPr>
    </w:p>
    <w:p w:rsidR="00DA252E"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Líneas de Acción</w:t>
      </w:r>
    </w:p>
    <w:p w:rsidR="00DA252E" w:rsidRPr="00405354" w:rsidRDefault="00DA252E" w:rsidP="00DA252E">
      <w:pPr>
        <w:spacing w:after="0" w:line="240" w:lineRule="auto"/>
        <w:rPr>
          <w:rFonts w:ascii="Verdana" w:hAnsi="Verdana"/>
          <w:b/>
          <w:color w:val="548DD4" w:themeColor="text2" w:themeTint="99"/>
          <w:sz w:val="24"/>
          <w:szCs w:val="24"/>
        </w:rPr>
      </w:pPr>
    </w:p>
    <w:p w:rsidR="00DA252E" w:rsidRPr="0091035C" w:rsidRDefault="00DA252E" w:rsidP="00FF784D">
      <w:pPr>
        <w:pStyle w:val="Prrafodelista"/>
        <w:numPr>
          <w:ilvl w:val="0"/>
          <w:numId w:val="29"/>
        </w:numPr>
        <w:spacing w:after="0" w:line="240" w:lineRule="auto"/>
        <w:ind w:left="709" w:hanging="284"/>
        <w:jc w:val="both"/>
        <w:rPr>
          <w:rFonts w:ascii="Verdana" w:hAnsi="Verdana"/>
          <w:sz w:val="24"/>
          <w:szCs w:val="24"/>
        </w:rPr>
      </w:pPr>
      <w:r w:rsidRPr="0091035C">
        <w:rPr>
          <w:rFonts w:ascii="Verdana" w:hAnsi="Verdana"/>
          <w:sz w:val="24"/>
          <w:szCs w:val="24"/>
        </w:rPr>
        <w:t>Actividades musicales: se llevaron a cabo 47.126 sesiones de clases musicales.</w:t>
      </w:r>
    </w:p>
    <w:p w:rsidR="00DA252E" w:rsidRPr="0091035C" w:rsidRDefault="00DA252E" w:rsidP="00FF784D">
      <w:pPr>
        <w:pStyle w:val="Prrafodelista"/>
        <w:numPr>
          <w:ilvl w:val="0"/>
          <w:numId w:val="29"/>
        </w:numPr>
        <w:spacing w:after="0" w:line="240" w:lineRule="auto"/>
        <w:ind w:left="709" w:hanging="284"/>
        <w:jc w:val="both"/>
        <w:rPr>
          <w:rFonts w:ascii="Verdana" w:hAnsi="Verdana"/>
          <w:sz w:val="24"/>
          <w:szCs w:val="24"/>
        </w:rPr>
      </w:pPr>
      <w:r w:rsidRPr="0091035C">
        <w:rPr>
          <w:rFonts w:ascii="Verdana" w:hAnsi="Verdana"/>
          <w:sz w:val="24"/>
          <w:szCs w:val="24"/>
        </w:rPr>
        <w:t>Actividades Psicosociales: se llevaron a cabo 7.184 actividades psicosociales.</w:t>
      </w:r>
    </w:p>
    <w:p w:rsidR="00DA252E" w:rsidRPr="0091035C" w:rsidRDefault="00DA252E" w:rsidP="00FF784D">
      <w:pPr>
        <w:pStyle w:val="Prrafodelista"/>
        <w:numPr>
          <w:ilvl w:val="0"/>
          <w:numId w:val="29"/>
        </w:numPr>
        <w:spacing w:after="0" w:line="240" w:lineRule="auto"/>
        <w:ind w:left="709" w:hanging="284"/>
        <w:rPr>
          <w:rFonts w:ascii="Verdana" w:hAnsi="Verdana"/>
          <w:sz w:val="24"/>
          <w:szCs w:val="24"/>
        </w:rPr>
      </w:pPr>
      <w:r w:rsidRPr="0091035C">
        <w:rPr>
          <w:rFonts w:ascii="Verdana" w:hAnsi="Verdana"/>
          <w:sz w:val="24"/>
          <w:szCs w:val="24"/>
        </w:rPr>
        <w:t xml:space="preserve">Cada una de las actividades se llevaban a cabo 2 veces por semana en los centros musicales. </w:t>
      </w:r>
    </w:p>
    <w:p w:rsidR="00DA252E" w:rsidRPr="00F71B84" w:rsidRDefault="00DA252E" w:rsidP="00DA252E">
      <w:pPr>
        <w:spacing w:after="0" w:line="240" w:lineRule="auto"/>
        <w:rPr>
          <w:rFonts w:ascii="Verdana" w:hAnsi="Verdana"/>
          <w:b/>
          <w:sz w:val="24"/>
          <w:szCs w:val="24"/>
        </w:rPr>
      </w:pPr>
    </w:p>
    <w:p w:rsidR="00DA252E" w:rsidRPr="00405354"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Cumplimiento Metas</w:t>
      </w:r>
    </w:p>
    <w:p w:rsidR="00DA252E" w:rsidRDefault="00DA252E" w:rsidP="00DA252E">
      <w:pPr>
        <w:spacing w:after="0" w:line="240" w:lineRule="auto"/>
        <w:rPr>
          <w:rFonts w:ascii="Verdana" w:hAnsi="Verdana"/>
          <w:sz w:val="24"/>
          <w:szCs w:val="24"/>
        </w:rPr>
      </w:pPr>
    </w:p>
    <w:p w:rsidR="00DA252E" w:rsidRPr="005B0364" w:rsidRDefault="00DA252E" w:rsidP="00DA252E">
      <w:pPr>
        <w:spacing w:after="0" w:line="240" w:lineRule="auto"/>
        <w:jc w:val="both"/>
        <w:rPr>
          <w:rFonts w:ascii="Verdana" w:hAnsi="Verdana"/>
          <w:sz w:val="24"/>
          <w:szCs w:val="24"/>
        </w:rPr>
      </w:pPr>
      <w:r w:rsidRPr="005B0364">
        <w:rPr>
          <w:rFonts w:ascii="Verdana" w:hAnsi="Verdana"/>
          <w:sz w:val="24"/>
          <w:szCs w:val="24"/>
        </w:rPr>
        <w:t>Meta 2014: 17.965</w:t>
      </w:r>
    </w:p>
    <w:p w:rsidR="00DA252E" w:rsidRPr="005B0364" w:rsidRDefault="00DA252E" w:rsidP="00DA252E">
      <w:pPr>
        <w:spacing w:after="0" w:line="240" w:lineRule="auto"/>
        <w:jc w:val="both"/>
        <w:rPr>
          <w:rFonts w:ascii="Verdana" w:hAnsi="Verdana"/>
          <w:sz w:val="24"/>
          <w:szCs w:val="24"/>
        </w:rPr>
      </w:pPr>
      <w:r w:rsidRPr="005B0364">
        <w:rPr>
          <w:rFonts w:ascii="Verdana" w:hAnsi="Verdana"/>
          <w:sz w:val="24"/>
          <w:szCs w:val="24"/>
        </w:rPr>
        <w:t>Avance Meta: 20.285</w:t>
      </w:r>
    </w:p>
    <w:p w:rsidR="00DA252E" w:rsidRPr="00F71B84" w:rsidRDefault="00DA252E" w:rsidP="00DA252E">
      <w:pPr>
        <w:spacing w:after="0" w:line="240" w:lineRule="auto"/>
        <w:rPr>
          <w:rFonts w:ascii="Verdana" w:hAnsi="Verdana"/>
          <w:sz w:val="24"/>
          <w:szCs w:val="24"/>
        </w:rPr>
      </w:pPr>
    </w:p>
    <w:p w:rsidR="00DA252E" w:rsidRPr="00F71B84" w:rsidRDefault="00DA252E" w:rsidP="00DA252E">
      <w:pPr>
        <w:spacing w:after="0" w:line="240" w:lineRule="auto"/>
        <w:jc w:val="both"/>
        <w:rPr>
          <w:rFonts w:ascii="Verdana" w:hAnsi="Verdana" w:cs="Calibri"/>
          <w:sz w:val="24"/>
          <w:szCs w:val="24"/>
        </w:rPr>
      </w:pPr>
      <w:r w:rsidRPr="00696285">
        <w:rPr>
          <w:rFonts w:ascii="Verdana" w:hAnsi="Verdana"/>
          <w:sz w:val="24"/>
          <w:szCs w:val="24"/>
        </w:rPr>
        <w:t xml:space="preserve">Cumplimiento de las metas en un 112%.  En </w:t>
      </w:r>
      <w:r w:rsidRPr="00696285">
        <w:rPr>
          <w:rFonts w:ascii="Verdana" w:hAnsi="Verdana" w:cs="Calibri"/>
          <w:sz w:val="24"/>
          <w:szCs w:val="24"/>
        </w:rPr>
        <w:t xml:space="preserve"> el mes de agosto de 2014 se realizó  una adición al convenio de $2.600 millones para la apertura 3 centros musicales y reapertura 14 centros con un total de recursos  $13.910 millones con los cuales se logró una atención de 20.285 beneficiarios, discriminados de la siguiente manera:</w:t>
      </w:r>
    </w:p>
    <w:p w:rsidR="00DA252E" w:rsidRDefault="00DA252E" w:rsidP="00DA252E">
      <w:pPr>
        <w:spacing w:after="0" w:line="240" w:lineRule="auto"/>
        <w:jc w:val="both"/>
        <w:rPr>
          <w:rFonts w:ascii="Verdana" w:hAnsi="Verdana"/>
          <w:sz w:val="24"/>
          <w:szCs w:val="24"/>
        </w:rPr>
      </w:pPr>
    </w:p>
    <w:p w:rsidR="00DA252E" w:rsidRDefault="00DA252E" w:rsidP="00DA252E">
      <w:pPr>
        <w:spacing w:after="0" w:line="240" w:lineRule="auto"/>
        <w:jc w:val="both"/>
        <w:rPr>
          <w:rFonts w:ascii="Verdana" w:hAnsi="Verdana"/>
          <w:sz w:val="24"/>
          <w:szCs w:val="24"/>
        </w:rPr>
      </w:pPr>
    </w:p>
    <w:tbl>
      <w:tblPr>
        <w:tblW w:w="5000" w:type="pct"/>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7034"/>
        <w:gridCol w:w="3154"/>
      </w:tblGrid>
      <w:tr w:rsidR="00DA252E" w:rsidRPr="00696285" w:rsidTr="00CB5CC4">
        <w:trPr>
          <w:trHeight w:val="320"/>
          <w:jc w:val="center"/>
        </w:trPr>
        <w:tc>
          <w:tcPr>
            <w:tcW w:w="3452" w:type="pct"/>
            <w:shd w:val="clear" w:color="auto" w:fill="548DD4" w:themeFill="text2" w:themeFillTint="99"/>
            <w:noWrap/>
            <w:hideMark/>
          </w:tcPr>
          <w:p w:rsidR="00DA252E" w:rsidRPr="007534F5" w:rsidRDefault="00DA252E" w:rsidP="00DA252E">
            <w:pPr>
              <w:spacing w:after="0" w:line="240" w:lineRule="auto"/>
              <w:jc w:val="center"/>
              <w:rPr>
                <w:rFonts w:ascii="Verdana" w:eastAsia="Times New Roman" w:hAnsi="Verdana"/>
                <w:b/>
                <w:bCs/>
                <w:color w:val="FFFFFF" w:themeColor="background1"/>
                <w:sz w:val="20"/>
                <w:szCs w:val="20"/>
                <w:lang w:val="es-ES" w:eastAsia="es-ES"/>
              </w:rPr>
            </w:pPr>
            <w:r w:rsidRPr="007534F5">
              <w:rPr>
                <w:rFonts w:ascii="Verdana" w:eastAsia="Times New Roman" w:hAnsi="Verdana"/>
                <w:b/>
                <w:bCs/>
                <w:color w:val="FFFFFF" w:themeColor="background1"/>
                <w:sz w:val="20"/>
                <w:szCs w:val="20"/>
                <w:lang w:eastAsia="es-ES"/>
              </w:rPr>
              <w:t>COMPONENTES</w:t>
            </w:r>
          </w:p>
        </w:tc>
        <w:tc>
          <w:tcPr>
            <w:tcW w:w="1548" w:type="pct"/>
            <w:shd w:val="clear" w:color="auto" w:fill="548DD4" w:themeFill="text2" w:themeFillTint="99"/>
            <w:noWrap/>
            <w:hideMark/>
          </w:tcPr>
          <w:p w:rsidR="00DA252E" w:rsidRPr="007534F5" w:rsidRDefault="00DA252E" w:rsidP="00DA252E">
            <w:pPr>
              <w:spacing w:after="0" w:line="240" w:lineRule="auto"/>
              <w:jc w:val="center"/>
              <w:rPr>
                <w:rFonts w:ascii="Verdana" w:eastAsia="Times New Roman" w:hAnsi="Verdana"/>
                <w:b/>
                <w:bCs/>
                <w:color w:val="FFFFFF" w:themeColor="background1"/>
                <w:sz w:val="20"/>
                <w:szCs w:val="20"/>
                <w:lang w:val="es-ES" w:eastAsia="es-ES"/>
              </w:rPr>
            </w:pPr>
            <w:r w:rsidRPr="007534F5">
              <w:rPr>
                <w:rFonts w:ascii="Verdana" w:eastAsia="Times New Roman" w:hAnsi="Verdana"/>
                <w:b/>
                <w:bCs/>
                <w:color w:val="FFFFFF" w:themeColor="background1"/>
                <w:sz w:val="20"/>
                <w:szCs w:val="20"/>
                <w:lang w:eastAsia="es-ES"/>
              </w:rPr>
              <w:t>BENEFICIARIOS</w:t>
            </w:r>
          </w:p>
        </w:tc>
      </w:tr>
      <w:tr w:rsidR="00DA252E" w:rsidRPr="00696285" w:rsidTr="00CB5CC4">
        <w:trPr>
          <w:trHeight w:val="320"/>
          <w:jc w:val="center"/>
        </w:trPr>
        <w:tc>
          <w:tcPr>
            <w:tcW w:w="3452" w:type="pct"/>
            <w:shd w:val="clear" w:color="auto" w:fill="A7BFDE"/>
            <w:noWrap/>
            <w:hideMark/>
          </w:tcPr>
          <w:p w:rsidR="00DA252E" w:rsidRPr="00696285" w:rsidRDefault="00DA252E" w:rsidP="00DA252E">
            <w:pPr>
              <w:spacing w:after="0" w:line="240" w:lineRule="auto"/>
              <w:rPr>
                <w:rFonts w:ascii="Verdana" w:eastAsia="Times New Roman" w:hAnsi="Verdana"/>
                <w:bCs/>
                <w:color w:val="000000"/>
                <w:sz w:val="20"/>
                <w:szCs w:val="20"/>
                <w:lang w:val="es-ES" w:eastAsia="es-ES"/>
              </w:rPr>
            </w:pPr>
            <w:r w:rsidRPr="00696285">
              <w:rPr>
                <w:rFonts w:ascii="Verdana" w:eastAsia="Times New Roman" w:hAnsi="Verdana"/>
                <w:bCs/>
                <w:color w:val="000000"/>
                <w:sz w:val="20"/>
                <w:szCs w:val="20"/>
                <w:lang w:eastAsia="es-ES"/>
              </w:rPr>
              <w:t>Ensamble (Tipo de A y B)</w:t>
            </w:r>
          </w:p>
        </w:tc>
        <w:tc>
          <w:tcPr>
            <w:tcW w:w="1548" w:type="pct"/>
            <w:shd w:val="clear" w:color="auto" w:fill="A7BFDE"/>
            <w:noWrap/>
            <w:hideMark/>
          </w:tcPr>
          <w:p w:rsidR="00DA252E" w:rsidRPr="00696285" w:rsidRDefault="00DA252E" w:rsidP="00DA252E">
            <w:pPr>
              <w:spacing w:after="0" w:line="240" w:lineRule="auto"/>
              <w:jc w:val="right"/>
              <w:rPr>
                <w:rFonts w:ascii="Verdana" w:eastAsia="Times New Roman" w:hAnsi="Verdana"/>
                <w:color w:val="000000"/>
                <w:sz w:val="20"/>
                <w:szCs w:val="20"/>
                <w:lang w:val="es-ES" w:eastAsia="es-ES"/>
              </w:rPr>
            </w:pPr>
            <w:r w:rsidRPr="00696285">
              <w:rPr>
                <w:rFonts w:ascii="Verdana" w:eastAsia="Times New Roman" w:hAnsi="Verdana"/>
                <w:color w:val="000000"/>
                <w:sz w:val="20"/>
                <w:szCs w:val="20"/>
                <w:lang w:eastAsia="es-ES"/>
              </w:rPr>
              <w:t>19.354</w:t>
            </w:r>
          </w:p>
        </w:tc>
      </w:tr>
      <w:tr w:rsidR="00DA252E" w:rsidRPr="00696285" w:rsidTr="00CB5CC4">
        <w:trPr>
          <w:trHeight w:val="320"/>
          <w:jc w:val="center"/>
        </w:trPr>
        <w:tc>
          <w:tcPr>
            <w:tcW w:w="3452" w:type="pct"/>
            <w:shd w:val="clear" w:color="auto" w:fill="D3DFEE"/>
            <w:noWrap/>
            <w:hideMark/>
          </w:tcPr>
          <w:p w:rsidR="00DA252E" w:rsidRPr="00696285" w:rsidRDefault="00DA252E" w:rsidP="00DA252E">
            <w:pPr>
              <w:spacing w:after="0" w:line="240" w:lineRule="auto"/>
              <w:rPr>
                <w:rFonts w:ascii="Verdana" w:eastAsia="Times New Roman" w:hAnsi="Verdana"/>
                <w:bCs/>
                <w:color w:val="000000"/>
                <w:sz w:val="20"/>
                <w:szCs w:val="20"/>
                <w:lang w:val="es-ES" w:eastAsia="es-ES"/>
              </w:rPr>
            </w:pPr>
            <w:r w:rsidRPr="00696285">
              <w:rPr>
                <w:rFonts w:ascii="Verdana" w:eastAsia="Times New Roman" w:hAnsi="Verdana"/>
                <w:bCs/>
                <w:color w:val="000000"/>
                <w:sz w:val="20"/>
                <w:szCs w:val="20"/>
                <w:lang w:eastAsia="es-ES"/>
              </w:rPr>
              <w:t>Discapacidad</w:t>
            </w:r>
          </w:p>
        </w:tc>
        <w:tc>
          <w:tcPr>
            <w:tcW w:w="1548" w:type="pct"/>
            <w:shd w:val="clear" w:color="auto" w:fill="D3DFEE"/>
            <w:noWrap/>
            <w:hideMark/>
          </w:tcPr>
          <w:p w:rsidR="00DA252E" w:rsidRPr="00696285" w:rsidRDefault="00DA252E" w:rsidP="00DA252E">
            <w:pPr>
              <w:spacing w:after="0" w:line="240" w:lineRule="auto"/>
              <w:jc w:val="right"/>
              <w:rPr>
                <w:rFonts w:ascii="Verdana" w:eastAsia="Times New Roman" w:hAnsi="Verdana"/>
                <w:color w:val="000000"/>
                <w:sz w:val="20"/>
                <w:szCs w:val="20"/>
                <w:lang w:val="es-ES" w:eastAsia="es-ES"/>
              </w:rPr>
            </w:pPr>
            <w:r w:rsidRPr="00696285">
              <w:rPr>
                <w:rFonts w:ascii="Verdana" w:eastAsia="Times New Roman" w:hAnsi="Verdana"/>
                <w:color w:val="000000"/>
                <w:sz w:val="20"/>
                <w:szCs w:val="20"/>
                <w:lang w:eastAsia="es-ES"/>
              </w:rPr>
              <w:t>676</w:t>
            </w:r>
          </w:p>
        </w:tc>
      </w:tr>
      <w:tr w:rsidR="00DA252E" w:rsidRPr="00696285" w:rsidTr="00CB5CC4">
        <w:trPr>
          <w:trHeight w:val="320"/>
          <w:jc w:val="center"/>
        </w:trPr>
        <w:tc>
          <w:tcPr>
            <w:tcW w:w="3452" w:type="pct"/>
            <w:shd w:val="clear" w:color="auto" w:fill="A7BFDE"/>
            <w:noWrap/>
            <w:hideMark/>
          </w:tcPr>
          <w:p w:rsidR="00DA252E" w:rsidRPr="00696285" w:rsidRDefault="00DA252E" w:rsidP="00DA252E">
            <w:pPr>
              <w:spacing w:after="0" w:line="240" w:lineRule="auto"/>
              <w:rPr>
                <w:rFonts w:ascii="Verdana" w:eastAsia="Times New Roman" w:hAnsi="Verdana"/>
                <w:bCs/>
                <w:color w:val="000000"/>
                <w:sz w:val="20"/>
                <w:szCs w:val="20"/>
                <w:lang w:val="es-ES" w:eastAsia="es-ES"/>
              </w:rPr>
            </w:pPr>
            <w:r w:rsidRPr="00696285">
              <w:rPr>
                <w:rFonts w:ascii="Verdana" w:eastAsia="Times New Roman" w:hAnsi="Verdana"/>
                <w:bCs/>
                <w:color w:val="000000"/>
                <w:sz w:val="20"/>
                <w:szCs w:val="20"/>
                <w:lang w:eastAsia="es-ES"/>
              </w:rPr>
              <w:t xml:space="preserve">Coros  de Adultos  </w:t>
            </w:r>
          </w:p>
        </w:tc>
        <w:tc>
          <w:tcPr>
            <w:tcW w:w="1548" w:type="pct"/>
            <w:shd w:val="clear" w:color="auto" w:fill="A7BFDE"/>
            <w:noWrap/>
            <w:hideMark/>
          </w:tcPr>
          <w:p w:rsidR="00DA252E" w:rsidRPr="00696285" w:rsidRDefault="00DA252E" w:rsidP="00DA252E">
            <w:pPr>
              <w:spacing w:after="0" w:line="240" w:lineRule="auto"/>
              <w:jc w:val="right"/>
              <w:rPr>
                <w:rFonts w:ascii="Verdana" w:eastAsia="Times New Roman" w:hAnsi="Verdana"/>
                <w:color w:val="000000"/>
                <w:sz w:val="20"/>
                <w:szCs w:val="20"/>
                <w:lang w:val="es-ES" w:eastAsia="es-ES"/>
              </w:rPr>
            </w:pPr>
            <w:r w:rsidRPr="00696285">
              <w:rPr>
                <w:rFonts w:ascii="Verdana" w:eastAsia="Times New Roman" w:hAnsi="Verdana"/>
                <w:color w:val="000000"/>
                <w:sz w:val="20"/>
                <w:szCs w:val="20"/>
                <w:lang w:eastAsia="es-ES"/>
              </w:rPr>
              <w:t>255</w:t>
            </w:r>
          </w:p>
        </w:tc>
      </w:tr>
      <w:tr w:rsidR="00DA252E" w:rsidRPr="00B00A75" w:rsidTr="00CB5CC4">
        <w:trPr>
          <w:trHeight w:val="320"/>
          <w:jc w:val="center"/>
        </w:trPr>
        <w:tc>
          <w:tcPr>
            <w:tcW w:w="3452" w:type="pct"/>
            <w:shd w:val="clear" w:color="auto" w:fill="D3DFEE"/>
            <w:noWrap/>
            <w:hideMark/>
          </w:tcPr>
          <w:p w:rsidR="00DA252E" w:rsidRPr="00696285" w:rsidRDefault="00DA252E" w:rsidP="00DA252E">
            <w:pPr>
              <w:spacing w:after="0" w:line="240" w:lineRule="auto"/>
              <w:rPr>
                <w:rFonts w:ascii="Verdana" w:eastAsia="Times New Roman" w:hAnsi="Verdana"/>
                <w:b/>
                <w:bCs/>
                <w:color w:val="000000"/>
                <w:sz w:val="20"/>
                <w:szCs w:val="20"/>
                <w:lang w:val="es-ES" w:eastAsia="es-ES"/>
              </w:rPr>
            </w:pPr>
            <w:r w:rsidRPr="00696285">
              <w:rPr>
                <w:rFonts w:ascii="Verdana" w:eastAsia="Times New Roman" w:hAnsi="Verdana"/>
                <w:b/>
                <w:bCs/>
                <w:color w:val="000000"/>
                <w:sz w:val="20"/>
                <w:szCs w:val="20"/>
                <w:lang w:eastAsia="es-ES"/>
              </w:rPr>
              <w:t xml:space="preserve">BENEFICIARIOS </w:t>
            </w:r>
          </w:p>
        </w:tc>
        <w:tc>
          <w:tcPr>
            <w:tcW w:w="1548" w:type="pct"/>
            <w:shd w:val="clear" w:color="auto" w:fill="D3DFEE"/>
            <w:noWrap/>
            <w:hideMark/>
          </w:tcPr>
          <w:p w:rsidR="00DA252E" w:rsidRPr="00B00A75" w:rsidRDefault="00DA252E" w:rsidP="00DA252E">
            <w:pPr>
              <w:spacing w:after="0" w:line="240" w:lineRule="auto"/>
              <w:jc w:val="right"/>
              <w:rPr>
                <w:rFonts w:ascii="Verdana" w:eastAsia="Times New Roman" w:hAnsi="Verdana"/>
                <w:b/>
                <w:bCs/>
                <w:color w:val="000000"/>
                <w:sz w:val="20"/>
                <w:szCs w:val="20"/>
                <w:lang w:val="es-ES" w:eastAsia="es-ES"/>
              </w:rPr>
            </w:pPr>
            <w:r w:rsidRPr="00696285">
              <w:rPr>
                <w:rFonts w:ascii="Verdana" w:eastAsia="Times New Roman" w:hAnsi="Verdana"/>
                <w:b/>
                <w:bCs/>
                <w:color w:val="000000"/>
                <w:sz w:val="20"/>
                <w:szCs w:val="20"/>
                <w:lang w:eastAsia="es-ES"/>
              </w:rPr>
              <w:t>20.285</w:t>
            </w:r>
          </w:p>
        </w:tc>
      </w:tr>
    </w:tbl>
    <w:p w:rsidR="00DA252E" w:rsidRDefault="00DA252E" w:rsidP="00DA252E">
      <w:pPr>
        <w:spacing w:after="0" w:line="240" w:lineRule="auto"/>
        <w:rPr>
          <w:rFonts w:ascii="Verdana" w:hAnsi="Verdana"/>
          <w:b/>
          <w:color w:val="548DD4" w:themeColor="text2" w:themeTint="99"/>
          <w:sz w:val="24"/>
          <w:szCs w:val="24"/>
        </w:rPr>
      </w:pPr>
    </w:p>
    <w:p w:rsidR="00DA252E"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 xml:space="preserve">Logros </w:t>
      </w:r>
    </w:p>
    <w:p w:rsidR="00DA252E" w:rsidRPr="00405354" w:rsidRDefault="00DA252E" w:rsidP="00DA252E">
      <w:pPr>
        <w:spacing w:after="0" w:line="240" w:lineRule="auto"/>
        <w:rPr>
          <w:rFonts w:ascii="Verdana" w:hAnsi="Verdana"/>
          <w:b/>
          <w:color w:val="548DD4" w:themeColor="text2" w:themeTint="99"/>
          <w:sz w:val="24"/>
          <w:szCs w:val="24"/>
        </w:rPr>
      </w:pPr>
    </w:p>
    <w:p w:rsidR="00DA252E" w:rsidRPr="0091035C" w:rsidRDefault="00DA252E" w:rsidP="00FF784D">
      <w:pPr>
        <w:pStyle w:val="Prrafodelista"/>
        <w:numPr>
          <w:ilvl w:val="0"/>
          <w:numId w:val="29"/>
        </w:numPr>
        <w:spacing w:after="0" w:line="240" w:lineRule="auto"/>
        <w:ind w:left="709" w:hanging="284"/>
        <w:jc w:val="both"/>
        <w:rPr>
          <w:rFonts w:ascii="Verdana" w:hAnsi="Verdana"/>
          <w:sz w:val="24"/>
          <w:szCs w:val="24"/>
        </w:rPr>
      </w:pPr>
      <w:r w:rsidRPr="0091035C">
        <w:rPr>
          <w:rFonts w:ascii="Verdana" w:hAnsi="Verdana"/>
          <w:sz w:val="24"/>
          <w:szCs w:val="24"/>
        </w:rPr>
        <w:t xml:space="preserve">Participación en la submesa de trabajo para la atención de niños, niñas en primera infancia en situación de desplazamiento, víctimas del conflicto y afectados por minas.  </w:t>
      </w:r>
    </w:p>
    <w:p w:rsidR="00DA252E" w:rsidRPr="0091035C" w:rsidRDefault="00DA252E" w:rsidP="00FF784D">
      <w:pPr>
        <w:pStyle w:val="Prrafodelista"/>
        <w:numPr>
          <w:ilvl w:val="0"/>
          <w:numId w:val="29"/>
        </w:numPr>
        <w:spacing w:after="0" w:line="240" w:lineRule="auto"/>
        <w:ind w:left="709" w:hanging="284"/>
        <w:jc w:val="both"/>
        <w:rPr>
          <w:rFonts w:ascii="Verdana" w:hAnsi="Verdana"/>
          <w:sz w:val="24"/>
          <w:szCs w:val="24"/>
        </w:rPr>
      </w:pPr>
      <w:r w:rsidRPr="0091035C">
        <w:rPr>
          <w:rFonts w:ascii="Verdana" w:hAnsi="Verdana"/>
          <w:sz w:val="24"/>
          <w:szCs w:val="24"/>
        </w:rPr>
        <w:t>Fortalecimiento del componente musical gracias a la vinculación de la asesora musical para el programa.</w:t>
      </w:r>
    </w:p>
    <w:p w:rsidR="00DA252E" w:rsidRPr="0091035C" w:rsidRDefault="00DA252E" w:rsidP="00FF784D">
      <w:pPr>
        <w:pStyle w:val="Prrafodelista"/>
        <w:numPr>
          <w:ilvl w:val="0"/>
          <w:numId w:val="29"/>
        </w:numPr>
        <w:spacing w:after="0" w:line="240" w:lineRule="auto"/>
        <w:ind w:left="709" w:hanging="284"/>
        <w:jc w:val="both"/>
        <w:rPr>
          <w:rFonts w:ascii="Verdana" w:hAnsi="Verdana"/>
          <w:sz w:val="24"/>
          <w:szCs w:val="24"/>
        </w:rPr>
      </w:pPr>
      <w:r w:rsidRPr="0091035C">
        <w:rPr>
          <w:rFonts w:ascii="Verdana" w:hAnsi="Verdana"/>
          <w:sz w:val="24"/>
          <w:szCs w:val="24"/>
        </w:rPr>
        <w:t>Reapertura de 14 centros musicales y la apertura de 3 centros musicales para el segundo semestre de 2014.</w:t>
      </w:r>
    </w:p>
    <w:p w:rsidR="00DA252E" w:rsidRPr="0091035C" w:rsidRDefault="00DA252E" w:rsidP="00FF784D">
      <w:pPr>
        <w:pStyle w:val="Prrafodelista"/>
        <w:numPr>
          <w:ilvl w:val="0"/>
          <w:numId w:val="29"/>
        </w:numPr>
        <w:spacing w:after="0" w:line="240" w:lineRule="auto"/>
        <w:ind w:left="709" w:hanging="284"/>
        <w:jc w:val="both"/>
        <w:rPr>
          <w:rFonts w:ascii="Verdana" w:hAnsi="Verdana"/>
          <w:sz w:val="24"/>
          <w:szCs w:val="24"/>
        </w:rPr>
      </w:pPr>
      <w:r w:rsidRPr="0091035C">
        <w:rPr>
          <w:rFonts w:ascii="Verdana" w:hAnsi="Verdana"/>
          <w:sz w:val="24"/>
          <w:szCs w:val="24"/>
        </w:rPr>
        <w:t>Articulación con el grupo de Enfoque Diferencial del DPS, con el fin de fortalecer el programa.</w:t>
      </w:r>
    </w:p>
    <w:p w:rsidR="00DA252E" w:rsidRPr="0091035C" w:rsidRDefault="00DA252E" w:rsidP="00FF784D">
      <w:pPr>
        <w:pStyle w:val="Prrafodelista"/>
        <w:numPr>
          <w:ilvl w:val="0"/>
          <w:numId w:val="29"/>
        </w:numPr>
        <w:spacing w:after="0" w:line="240" w:lineRule="auto"/>
        <w:ind w:left="709" w:hanging="284"/>
        <w:jc w:val="both"/>
        <w:rPr>
          <w:rFonts w:ascii="Verdana" w:hAnsi="Verdana"/>
          <w:sz w:val="24"/>
          <w:szCs w:val="24"/>
        </w:rPr>
      </w:pPr>
      <w:r w:rsidRPr="0091035C">
        <w:rPr>
          <w:rFonts w:ascii="Verdana" w:hAnsi="Verdana"/>
          <w:sz w:val="24"/>
          <w:szCs w:val="24"/>
        </w:rPr>
        <w:t>Participación en el comité de asesoría para la compra de kits de instrumentos musicales para los hogares comunitarios del ICBF.</w:t>
      </w:r>
    </w:p>
    <w:p w:rsidR="00DA252E" w:rsidRPr="0091035C" w:rsidRDefault="00DA252E" w:rsidP="00FF784D">
      <w:pPr>
        <w:pStyle w:val="Prrafodelista"/>
        <w:numPr>
          <w:ilvl w:val="0"/>
          <w:numId w:val="29"/>
        </w:numPr>
        <w:spacing w:after="0" w:line="240" w:lineRule="auto"/>
        <w:ind w:left="709" w:hanging="284"/>
        <w:jc w:val="both"/>
        <w:rPr>
          <w:rFonts w:ascii="Verdana" w:hAnsi="Verdana"/>
          <w:sz w:val="24"/>
          <w:szCs w:val="24"/>
        </w:rPr>
      </w:pPr>
      <w:r w:rsidRPr="0091035C">
        <w:rPr>
          <w:rFonts w:ascii="Verdana" w:hAnsi="Verdana"/>
          <w:sz w:val="24"/>
          <w:szCs w:val="24"/>
        </w:rPr>
        <w:t>Los resultados de los grupos focales arrojaron la satisfacción total de los  padres en la cual expresan que el programa permite fomentar la cultura en las comunidades, adicionalmente es considerado como un espacio para que los niños estén protegidos de los “peligros de la calle” y se convierte en factor protector del pandillismo y drogadicción.</w:t>
      </w:r>
    </w:p>
    <w:p w:rsidR="00DA252E" w:rsidRPr="0091035C" w:rsidRDefault="00DA252E" w:rsidP="00FF784D">
      <w:pPr>
        <w:pStyle w:val="Prrafodelista"/>
        <w:numPr>
          <w:ilvl w:val="0"/>
          <w:numId w:val="29"/>
        </w:numPr>
        <w:spacing w:after="0" w:line="240" w:lineRule="auto"/>
        <w:ind w:left="709" w:hanging="284"/>
        <w:jc w:val="both"/>
        <w:rPr>
          <w:rFonts w:ascii="Verdana" w:hAnsi="Verdana"/>
          <w:sz w:val="24"/>
          <w:szCs w:val="24"/>
        </w:rPr>
      </w:pPr>
      <w:r w:rsidRPr="0091035C">
        <w:rPr>
          <w:rFonts w:ascii="Verdana" w:hAnsi="Verdana"/>
          <w:sz w:val="24"/>
          <w:szCs w:val="24"/>
        </w:rPr>
        <w:t>Establecer repertorios musicales para la comunidad Embera en su lengua.</w:t>
      </w:r>
    </w:p>
    <w:p w:rsidR="00DA252E" w:rsidRPr="00F71B84" w:rsidRDefault="00DA252E" w:rsidP="00DA252E">
      <w:pPr>
        <w:pStyle w:val="Prrafodelista"/>
        <w:spacing w:after="0" w:line="240" w:lineRule="auto"/>
        <w:jc w:val="both"/>
        <w:rPr>
          <w:rFonts w:ascii="Verdana" w:hAnsi="Verdana"/>
          <w:sz w:val="24"/>
          <w:szCs w:val="24"/>
        </w:rPr>
      </w:pPr>
    </w:p>
    <w:p w:rsidR="00DA252E"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 xml:space="preserve">Retos 2015 </w:t>
      </w:r>
    </w:p>
    <w:p w:rsidR="00DA252E" w:rsidRPr="00405354" w:rsidRDefault="00DA252E" w:rsidP="00DA252E">
      <w:pPr>
        <w:spacing w:after="0" w:line="240" w:lineRule="auto"/>
        <w:rPr>
          <w:rFonts w:ascii="Verdana" w:hAnsi="Verdana"/>
          <w:b/>
          <w:color w:val="548DD4" w:themeColor="text2" w:themeTint="99"/>
          <w:sz w:val="24"/>
          <w:szCs w:val="24"/>
        </w:rPr>
      </w:pPr>
    </w:p>
    <w:p w:rsidR="00DA252E" w:rsidRPr="0091035C" w:rsidRDefault="00DA252E" w:rsidP="00FF784D">
      <w:pPr>
        <w:pStyle w:val="Prrafodelista"/>
        <w:numPr>
          <w:ilvl w:val="0"/>
          <w:numId w:val="29"/>
        </w:numPr>
        <w:spacing w:after="0" w:line="240" w:lineRule="auto"/>
        <w:ind w:left="709" w:hanging="284"/>
        <w:jc w:val="both"/>
        <w:rPr>
          <w:rFonts w:ascii="Verdana" w:hAnsi="Verdana"/>
          <w:sz w:val="24"/>
          <w:szCs w:val="24"/>
        </w:rPr>
      </w:pPr>
      <w:r w:rsidRPr="0091035C">
        <w:rPr>
          <w:rFonts w:ascii="Verdana" w:hAnsi="Verdana"/>
          <w:sz w:val="24"/>
          <w:szCs w:val="24"/>
        </w:rPr>
        <w:t xml:space="preserve">El Programa Música para la Reconciliación se traslada a partir de 2015 al Ministerio de Cultura. </w:t>
      </w:r>
    </w:p>
    <w:p w:rsidR="00DA252E" w:rsidRPr="00F71B84" w:rsidRDefault="00DA252E" w:rsidP="00DA252E">
      <w:pPr>
        <w:pStyle w:val="Prrafodelista"/>
        <w:spacing w:after="0" w:line="240" w:lineRule="auto"/>
        <w:jc w:val="both"/>
        <w:rPr>
          <w:rFonts w:ascii="Verdana" w:hAnsi="Verdana"/>
          <w:sz w:val="24"/>
          <w:szCs w:val="24"/>
        </w:rPr>
      </w:pPr>
    </w:p>
    <w:p w:rsidR="00DA252E" w:rsidRDefault="00DA252E" w:rsidP="00DA252E">
      <w:pPr>
        <w:spacing w:after="0" w:line="240" w:lineRule="auto"/>
        <w:rPr>
          <w:rFonts w:ascii="Verdana" w:hAnsi="Verdana"/>
          <w:b/>
          <w:color w:val="548DD4" w:themeColor="text2" w:themeTint="99"/>
          <w:sz w:val="24"/>
          <w:szCs w:val="24"/>
        </w:rPr>
      </w:pPr>
      <w:bookmarkStart w:id="67" w:name="_Toc410035284"/>
      <w:bookmarkStart w:id="68" w:name="_Toc410111300"/>
    </w:p>
    <w:p w:rsidR="00DA252E" w:rsidRPr="0091035C" w:rsidRDefault="00DA252E" w:rsidP="002E7A21">
      <w:pPr>
        <w:spacing w:after="0" w:line="240" w:lineRule="auto"/>
        <w:outlineLvl w:val="0"/>
        <w:rPr>
          <w:rFonts w:ascii="Verdana" w:hAnsi="Verdana"/>
          <w:b/>
          <w:color w:val="548DD4" w:themeColor="text2" w:themeTint="99"/>
          <w:sz w:val="24"/>
          <w:szCs w:val="28"/>
        </w:rPr>
      </w:pPr>
      <w:bookmarkStart w:id="69" w:name="_Toc410376796"/>
      <w:r w:rsidRPr="0091035C">
        <w:rPr>
          <w:rFonts w:ascii="Verdana" w:hAnsi="Verdana"/>
          <w:b/>
          <w:color w:val="548DD4" w:themeColor="text2" w:themeTint="99"/>
          <w:sz w:val="24"/>
          <w:szCs w:val="28"/>
        </w:rPr>
        <w:t>AREAS ESTRATÉGICAS Y DE SOPORTE</w:t>
      </w:r>
      <w:bookmarkEnd w:id="67"/>
      <w:bookmarkEnd w:id="68"/>
      <w:bookmarkEnd w:id="69"/>
    </w:p>
    <w:p w:rsidR="00DA252E" w:rsidRDefault="00DA252E" w:rsidP="00DA252E">
      <w:pPr>
        <w:pStyle w:val="Prrafodelista"/>
        <w:spacing w:after="0" w:line="240" w:lineRule="auto"/>
        <w:jc w:val="center"/>
        <w:outlineLvl w:val="0"/>
        <w:rPr>
          <w:rFonts w:ascii="Verdana" w:hAnsi="Verdana"/>
          <w:b/>
          <w:color w:val="548DD4" w:themeColor="text2" w:themeTint="99"/>
          <w:sz w:val="24"/>
          <w:szCs w:val="24"/>
          <w:u w:val="single"/>
        </w:rPr>
      </w:pPr>
    </w:p>
    <w:p w:rsidR="00DA252E" w:rsidRPr="00405354" w:rsidRDefault="00DA252E" w:rsidP="00DA252E">
      <w:pPr>
        <w:pStyle w:val="Prrafodelista"/>
        <w:spacing w:after="0" w:line="240" w:lineRule="auto"/>
        <w:jc w:val="center"/>
        <w:outlineLvl w:val="0"/>
        <w:rPr>
          <w:rFonts w:ascii="Verdana" w:hAnsi="Verdana"/>
          <w:b/>
          <w:color w:val="548DD4" w:themeColor="text2" w:themeTint="99"/>
          <w:sz w:val="24"/>
          <w:szCs w:val="24"/>
          <w:u w:val="single"/>
        </w:rPr>
      </w:pPr>
    </w:p>
    <w:p w:rsidR="00DA252E" w:rsidRPr="0091035C" w:rsidRDefault="00DA252E" w:rsidP="006D562B">
      <w:pPr>
        <w:pStyle w:val="Ttulo2"/>
        <w:spacing w:before="0" w:after="0" w:line="240" w:lineRule="auto"/>
        <w:rPr>
          <w:rFonts w:ascii="Verdana" w:hAnsi="Verdana"/>
          <w:i w:val="0"/>
          <w:color w:val="548DD4" w:themeColor="text2" w:themeTint="99"/>
          <w:sz w:val="24"/>
          <w:u w:val="single"/>
        </w:rPr>
      </w:pPr>
      <w:bookmarkStart w:id="70" w:name="_Toc410035285"/>
      <w:bookmarkStart w:id="71" w:name="_Toc410111301"/>
      <w:bookmarkStart w:id="72" w:name="_Toc410376797"/>
      <w:r w:rsidRPr="0091035C">
        <w:rPr>
          <w:rFonts w:ascii="Verdana" w:hAnsi="Verdana"/>
          <w:i w:val="0"/>
          <w:color w:val="548DD4" w:themeColor="text2" w:themeTint="99"/>
          <w:sz w:val="24"/>
          <w:u w:val="single"/>
        </w:rPr>
        <w:t>ALIANZAS PÚBLICO PRIVADAS</w:t>
      </w:r>
      <w:bookmarkEnd w:id="70"/>
      <w:bookmarkEnd w:id="71"/>
      <w:bookmarkEnd w:id="72"/>
      <w:r w:rsidRPr="0091035C">
        <w:rPr>
          <w:rFonts w:ascii="Verdana" w:hAnsi="Verdana"/>
          <w:i w:val="0"/>
          <w:color w:val="548DD4" w:themeColor="text2" w:themeTint="99"/>
          <w:sz w:val="24"/>
          <w:u w:val="single"/>
        </w:rPr>
        <w:t xml:space="preserve"> </w:t>
      </w:r>
    </w:p>
    <w:p w:rsidR="00DA252E" w:rsidRPr="00F71B84" w:rsidRDefault="00DA252E" w:rsidP="00DA252E">
      <w:pPr>
        <w:spacing w:after="0" w:line="240" w:lineRule="auto"/>
        <w:rPr>
          <w:rFonts w:ascii="Verdana" w:hAnsi="Verdana"/>
          <w:b/>
          <w:sz w:val="24"/>
          <w:szCs w:val="24"/>
        </w:rPr>
      </w:pPr>
    </w:p>
    <w:p w:rsidR="00DA252E"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Objetivo</w:t>
      </w:r>
    </w:p>
    <w:p w:rsidR="00DA252E" w:rsidRPr="00405354" w:rsidRDefault="00DA252E" w:rsidP="00DA252E">
      <w:pPr>
        <w:spacing w:after="0" w:line="240" w:lineRule="auto"/>
        <w:rPr>
          <w:rFonts w:ascii="Verdana" w:hAnsi="Verdana"/>
          <w:b/>
          <w:color w:val="548DD4" w:themeColor="text2" w:themeTint="99"/>
          <w:sz w:val="24"/>
          <w:szCs w:val="24"/>
        </w:rPr>
      </w:pPr>
    </w:p>
    <w:p w:rsidR="00DA252E" w:rsidRPr="00F71B84" w:rsidRDefault="00DA252E" w:rsidP="00DA252E">
      <w:pPr>
        <w:spacing w:after="0" w:line="240" w:lineRule="auto"/>
        <w:jc w:val="both"/>
        <w:rPr>
          <w:rFonts w:ascii="Verdana" w:hAnsi="Verdana"/>
          <w:sz w:val="24"/>
          <w:szCs w:val="24"/>
        </w:rPr>
      </w:pPr>
      <w:r w:rsidRPr="00F71B84">
        <w:rPr>
          <w:rFonts w:ascii="Verdana" w:hAnsi="Verdana"/>
          <w:sz w:val="24"/>
          <w:szCs w:val="24"/>
        </w:rPr>
        <w:t xml:space="preserve">Liderar la articulación entre las entidades del Sector de Inclusión Social y Reconciliación y los demás actores públicos y privados que conforman el mercado de inversión social, a través del Mapa Social, con el fin de elaborar una estrategia conjunta en el desarrollo de proyectos y programas que contribuyan de manera efectiva a mejorar la calidad de vida de la población más vulnerable. Así mismo, </w:t>
      </w:r>
      <w:r w:rsidRPr="00F71B84">
        <w:rPr>
          <w:rFonts w:ascii="Verdana" w:hAnsi="Verdana"/>
          <w:sz w:val="24"/>
          <w:szCs w:val="24"/>
        </w:rPr>
        <w:lastRenderedPageBreak/>
        <w:t>articular la gestión de los diferentes actores públicos y privados con los Programas de la Entidad, a fin de cumplir los objetivos propuestos por el Gobierno Nacional para la superación de la pobreza y la inclusión social.</w:t>
      </w:r>
    </w:p>
    <w:p w:rsidR="00DA252E" w:rsidRPr="00F71B84" w:rsidRDefault="00DA252E" w:rsidP="00DA252E">
      <w:pPr>
        <w:spacing w:after="0" w:line="240" w:lineRule="auto"/>
        <w:jc w:val="both"/>
        <w:rPr>
          <w:rFonts w:ascii="Verdana" w:hAnsi="Verdana"/>
          <w:sz w:val="24"/>
          <w:szCs w:val="24"/>
        </w:rPr>
      </w:pPr>
    </w:p>
    <w:p w:rsidR="00DA252E" w:rsidRPr="00405354"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Líneas de Acción</w:t>
      </w:r>
    </w:p>
    <w:p w:rsidR="00DA252E" w:rsidRPr="00F71B84" w:rsidRDefault="00DA252E" w:rsidP="00DA252E">
      <w:pPr>
        <w:spacing w:after="0" w:line="240" w:lineRule="auto"/>
        <w:rPr>
          <w:rFonts w:ascii="Verdana" w:hAnsi="Verdana"/>
          <w:b/>
          <w:sz w:val="24"/>
          <w:szCs w:val="24"/>
        </w:rPr>
      </w:pPr>
    </w:p>
    <w:p w:rsidR="00DA252E" w:rsidRPr="00DE37A9" w:rsidRDefault="00DA252E" w:rsidP="0091035C">
      <w:pPr>
        <w:pStyle w:val="Prrafodelista"/>
        <w:numPr>
          <w:ilvl w:val="0"/>
          <w:numId w:val="3"/>
        </w:numPr>
        <w:spacing w:after="0" w:line="240" w:lineRule="auto"/>
        <w:ind w:left="709" w:hanging="283"/>
        <w:jc w:val="both"/>
        <w:rPr>
          <w:rFonts w:ascii="Verdana" w:hAnsi="Verdana"/>
          <w:sz w:val="24"/>
          <w:szCs w:val="24"/>
        </w:rPr>
      </w:pPr>
      <w:r w:rsidRPr="00DE37A9">
        <w:rPr>
          <w:rFonts w:ascii="Verdana" w:hAnsi="Verdana"/>
          <w:sz w:val="24"/>
          <w:szCs w:val="24"/>
        </w:rPr>
        <w:t>Diseño de la estrategia de articulación interinstitucional con actores públicos y privados para fortalecer las intervenciones de la entidad sobre su población objetivo.</w:t>
      </w:r>
    </w:p>
    <w:p w:rsidR="00DA252E" w:rsidRPr="00DE37A9" w:rsidRDefault="00DA252E" w:rsidP="0091035C">
      <w:pPr>
        <w:pStyle w:val="Prrafodelista"/>
        <w:numPr>
          <w:ilvl w:val="0"/>
          <w:numId w:val="3"/>
        </w:numPr>
        <w:spacing w:after="0" w:line="240" w:lineRule="auto"/>
        <w:ind w:left="709" w:hanging="283"/>
        <w:jc w:val="both"/>
        <w:rPr>
          <w:rFonts w:ascii="Verdana" w:hAnsi="Verdana"/>
          <w:sz w:val="24"/>
          <w:szCs w:val="24"/>
        </w:rPr>
      </w:pPr>
      <w:r w:rsidRPr="00DE37A9">
        <w:rPr>
          <w:rFonts w:ascii="Verdana" w:hAnsi="Verdana"/>
          <w:sz w:val="24"/>
          <w:szCs w:val="24"/>
        </w:rPr>
        <w:t>Articulación de estrategias de Alianzas Público Privadas con  las entidades adscritas al Sector.</w:t>
      </w:r>
    </w:p>
    <w:p w:rsidR="00DA252E" w:rsidRPr="00DE37A9" w:rsidRDefault="00DA252E" w:rsidP="0091035C">
      <w:pPr>
        <w:pStyle w:val="Prrafodelista"/>
        <w:numPr>
          <w:ilvl w:val="0"/>
          <w:numId w:val="3"/>
        </w:numPr>
        <w:spacing w:after="0" w:line="240" w:lineRule="auto"/>
        <w:ind w:left="709" w:hanging="283"/>
        <w:jc w:val="both"/>
        <w:rPr>
          <w:rFonts w:ascii="Verdana" w:hAnsi="Verdana"/>
          <w:sz w:val="24"/>
          <w:szCs w:val="24"/>
        </w:rPr>
      </w:pPr>
      <w:r w:rsidRPr="00DE37A9">
        <w:rPr>
          <w:rFonts w:ascii="Verdana" w:hAnsi="Verdana"/>
          <w:sz w:val="24"/>
          <w:szCs w:val="24"/>
        </w:rPr>
        <w:t>Diseño, acompañamiento y articulación de las estrategias de cooperación internacional de la Entidad.</w:t>
      </w:r>
    </w:p>
    <w:p w:rsidR="00DA252E" w:rsidRPr="00405354" w:rsidRDefault="00DA252E" w:rsidP="00DA252E">
      <w:pPr>
        <w:spacing w:after="0" w:line="240" w:lineRule="auto"/>
        <w:rPr>
          <w:rFonts w:ascii="Verdana" w:hAnsi="Verdana"/>
          <w:b/>
          <w:color w:val="548DD4" w:themeColor="text2" w:themeTint="99"/>
          <w:sz w:val="24"/>
          <w:szCs w:val="24"/>
        </w:rPr>
      </w:pPr>
    </w:p>
    <w:p w:rsidR="00DA252E"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Cumplimiento Metas</w:t>
      </w:r>
    </w:p>
    <w:p w:rsidR="00DA252E" w:rsidRPr="00405354" w:rsidRDefault="00DA252E" w:rsidP="00DA252E">
      <w:pPr>
        <w:spacing w:after="0" w:line="240" w:lineRule="auto"/>
        <w:rPr>
          <w:rFonts w:ascii="Verdana" w:hAnsi="Verdana"/>
          <w:b/>
          <w:color w:val="548DD4" w:themeColor="text2" w:themeTint="99"/>
          <w:sz w:val="24"/>
          <w:szCs w:val="24"/>
        </w:rPr>
      </w:pPr>
    </w:p>
    <w:p w:rsidR="00DA252E" w:rsidRPr="00DE37A9" w:rsidRDefault="00DA252E" w:rsidP="0091035C">
      <w:pPr>
        <w:pStyle w:val="Prrafodelista"/>
        <w:numPr>
          <w:ilvl w:val="0"/>
          <w:numId w:val="3"/>
        </w:numPr>
        <w:spacing w:after="0" w:line="240" w:lineRule="auto"/>
        <w:ind w:left="709" w:hanging="283"/>
        <w:jc w:val="both"/>
        <w:rPr>
          <w:rFonts w:ascii="Verdana" w:hAnsi="Verdana"/>
          <w:i/>
          <w:sz w:val="24"/>
          <w:szCs w:val="24"/>
        </w:rPr>
      </w:pPr>
      <w:r w:rsidRPr="00DE37A9">
        <w:rPr>
          <w:rFonts w:ascii="Verdana" w:hAnsi="Verdana"/>
          <w:i/>
          <w:sz w:val="24"/>
          <w:szCs w:val="24"/>
        </w:rPr>
        <w:t xml:space="preserve">La estrategia “Mapa Social” fue consolidada en su Fase inicial , contando así con una herramienta innovadora que busca  promover la eficiencia en el uso de los recursos en proyectos sociales, buscando incentivar intervenciones sociales sostenibles, pertinentes y de alto impacto con el fin de  crear un mercado de inversión social articulado y eficiente. A la fecha se cuenta con 13.103 proyectos, 3038 organizaciones y 59 casos de éxito. </w:t>
      </w:r>
    </w:p>
    <w:p w:rsidR="00DA252E" w:rsidRPr="00DE37A9" w:rsidRDefault="00DA252E" w:rsidP="0091035C">
      <w:pPr>
        <w:pStyle w:val="Prrafodelista"/>
        <w:numPr>
          <w:ilvl w:val="0"/>
          <w:numId w:val="3"/>
        </w:numPr>
        <w:spacing w:after="0" w:line="240" w:lineRule="auto"/>
        <w:ind w:left="709" w:hanging="283"/>
        <w:jc w:val="both"/>
        <w:rPr>
          <w:rFonts w:ascii="Verdana" w:hAnsi="Verdana"/>
          <w:i/>
          <w:sz w:val="24"/>
          <w:szCs w:val="24"/>
        </w:rPr>
      </w:pPr>
      <w:r w:rsidRPr="00DE37A9">
        <w:rPr>
          <w:rFonts w:ascii="Verdana" w:hAnsi="Verdana"/>
          <w:i/>
          <w:sz w:val="24"/>
          <w:szCs w:val="24"/>
        </w:rPr>
        <w:t>La estrategia de Mapa Social fue debidamente socializada con las direcciones técnicas y regionales de la entidad. En la misma temática fueron ofrecidos los acompañamientos y asesorías técnicas solicitadas por los usuarios de estos equipos.</w:t>
      </w:r>
    </w:p>
    <w:p w:rsidR="00DA252E" w:rsidRPr="00DE37A9" w:rsidRDefault="00DA252E" w:rsidP="0091035C">
      <w:pPr>
        <w:pStyle w:val="Prrafodelista"/>
        <w:numPr>
          <w:ilvl w:val="0"/>
          <w:numId w:val="3"/>
        </w:numPr>
        <w:spacing w:after="0" w:line="240" w:lineRule="auto"/>
        <w:ind w:left="709" w:hanging="283"/>
        <w:jc w:val="both"/>
        <w:rPr>
          <w:rFonts w:ascii="Verdana" w:hAnsi="Verdana"/>
          <w:i/>
          <w:sz w:val="24"/>
          <w:szCs w:val="24"/>
        </w:rPr>
      </w:pPr>
      <w:r w:rsidRPr="00DE37A9">
        <w:rPr>
          <w:rFonts w:ascii="Verdana" w:hAnsi="Verdana"/>
          <w:i/>
          <w:sz w:val="24"/>
          <w:szCs w:val="24"/>
        </w:rPr>
        <w:t>Se realizaron 5 mesas de articulación intersectoriales de cooperación internacional y de alianzas con el fin de estructurar estrategias conjuntas desde el Sector en la aproximación a privados y agencias cooperantes, así como establecer un mensaje sólido desde la inclusión social y la reconciliación.</w:t>
      </w:r>
    </w:p>
    <w:p w:rsidR="00DA252E" w:rsidRPr="00DE37A9" w:rsidRDefault="00DA252E" w:rsidP="0091035C">
      <w:pPr>
        <w:pStyle w:val="Prrafodelista"/>
        <w:numPr>
          <w:ilvl w:val="0"/>
          <w:numId w:val="3"/>
        </w:numPr>
        <w:spacing w:after="0" w:line="240" w:lineRule="auto"/>
        <w:ind w:left="709" w:hanging="283"/>
        <w:jc w:val="both"/>
        <w:rPr>
          <w:rFonts w:ascii="Verdana" w:hAnsi="Verdana"/>
          <w:i/>
          <w:sz w:val="24"/>
          <w:szCs w:val="24"/>
        </w:rPr>
      </w:pPr>
      <w:r w:rsidRPr="00DE37A9">
        <w:rPr>
          <w:rFonts w:ascii="Verdana" w:hAnsi="Verdana"/>
          <w:i/>
          <w:sz w:val="24"/>
          <w:szCs w:val="24"/>
        </w:rPr>
        <w:t>El portafolio de proyectos y servicios fue actualizado, y difundido con aliados y actores del mercado de inversión social en los diferentes espacios de sensibilización en los que participó el equipo.</w:t>
      </w:r>
    </w:p>
    <w:p w:rsidR="00DA252E" w:rsidRPr="00DE37A9" w:rsidRDefault="00DA252E" w:rsidP="0091035C">
      <w:pPr>
        <w:pStyle w:val="Prrafodelista"/>
        <w:numPr>
          <w:ilvl w:val="0"/>
          <w:numId w:val="3"/>
        </w:numPr>
        <w:spacing w:after="0" w:line="240" w:lineRule="auto"/>
        <w:ind w:left="709" w:hanging="283"/>
        <w:jc w:val="both"/>
        <w:rPr>
          <w:rFonts w:ascii="Verdana" w:hAnsi="Verdana"/>
          <w:i/>
          <w:sz w:val="24"/>
          <w:szCs w:val="24"/>
        </w:rPr>
      </w:pPr>
      <w:r w:rsidRPr="00DE37A9">
        <w:rPr>
          <w:rFonts w:ascii="Verdana" w:hAnsi="Verdana"/>
          <w:i/>
          <w:sz w:val="24"/>
          <w:szCs w:val="24"/>
        </w:rPr>
        <w:t>Se realizaron  encuentros con actores del sector privado en el marco de sesiones del consejo consultivo (2 sesiones), ruedas de alianzas (3 ediciones), y participación en espacios del sector privado (23 eventos).</w:t>
      </w:r>
    </w:p>
    <w:p w:rsidR="00DA252E" w:rsidRPr="00405354" w:rsidRDefault="00DA252E" w:rsidP="00DA252E">
      <w:pPr>
        <w:spacing w:after="0" w:line="240" w:lineRule="auto"/>
        <w:rPr>
          <w:rFonts w:ascii="Verdana" w:hAnsi="Verdana"/>
          <w:b/>
          <w:color w:val="548DD4" w:themeColor="text2" w:themeTint="99"/>
          <w:sz w:val="24"/>
          <w:szCs w:val="24"/>
        </w:rPr>
      </w:pPr>
    </w:p>
    <w:p w:rsidR="00DA252E"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 xml:space="preserve">Logros </w:t>
      </w:r>
    </w:p>
    <w:p w:rsidR="00DA252E" w:rsidRDefault="00DA252E" w:rsidP="00DA252E">
      <w:pPr>
        <w:spacing w:after="0" w:line="240" w:lineRule="auto"/>
        <w:rPr>
          <w:rFonts w:ascii="Verdana" w:hAnsi="Verdana"/>
          <w:b/>
          <w:color w:val="548DD4" w:themeColor="text2" w:themeTint="99"/>
          <w:sz w:val="24"/>
          <w:szCs w:val="24"/>
        </w:rPr>
      </w:pPr>
    </w:p>
    <w:p w:rsidR="00DA252E" w:rsidRPr="00DE37A9" w:rsidRDefault="00DA252E" w:rsidP="00DE37A9">
      <w:pPr>
        <w:pStyle w:val="Prrafodelista"/>
        <w:numPr>
          <w:ilvl w:val="0"/>
          <w:numId w:val="3"/>
        </w:numPr>
        <w:spacing w:after="0" w:line="240" w:lineRule="auto"/>
        <w:ind w:left="709" w:hanging="283"/>
        <w:jc w:val="both"/>
        <w:rPr>
          <w:rFonts w:ascii="Verdana" w:hAnsi="Verdana"/>
          <w:i/>
          <w:sz w:val="24"/>
          <w:szCs w:val="24"/>
        </w:rPr>
      </w:pPr>
      <w:r w:rsidRPr="00DE37A9">
        <w:rPr>
          <w:rFonts w:ascii="Verdana" w:hAnsi="Verdana"/>
          <w:i/>
          <w:sz w:val="24"/>
          <w:szCs w:val="24"/>
        </w:rPr>
        <w:t>Se suscribieron 34  alianzas, particularmente una Alianza con la ANDI que ofrece acompañamiento del Sector Privado en procesos estratégicos como Mapa Social, trabajo conjunto con gremios, y fortalecimiento de programas con recursos privados en territorios focalizados.</w:t>
      </w:r>
    </w:p>
    <w:p w:rsidR="00DA252E" w:rsidRPr="00DE37A9" w:rsidRDefault="00DA252E" w:rsidP="00DE37A9">
      <w:pPr>
        <w:pStyle w:val="Prrafodelista"/>
        <w:numPr>
          <w:ilvl w:val="0"/>
          <w:numId w:val="3"/>
        </w:numPr>
        <w:spacing w:after="0" w:line="240" w:lineRule="auto"/>
        <w:ind w:left="709" w:hanging="283"/>
        <w:jc w:val="both"/>
        <w:rPr>
          <w:rFonts w:ascii="Verdana" w:hAnsi="Verdana"/>
          <w:i/>
          <w:sz w:val="24"/>
          <w:szCs w:val="24"/>
        </w:rPr>
      </w:pPr>
      <w:r w:rsidRPr="00DE37A9">
        <w:rPr>
          <w:rFonts w:ascii="Verdana" w:hAnsi="Verdana"/>
          <w:i/>
          <w:sz w:val="24"/>
          <w:szCs w:val="24"/>
        </w:rPr>
        <w:t>Se implementó un sistema de acompañamiento a las alianzas suscritas, acuerdos operativos, que facilitan el monitoreo y análisis de los logros alcanzados, complementariamente a lo dispuesto en el Memorando de Entendimiento.</w:t>
      </w:r>
    </w:p>
    <w:p w:rsidR="00DA252E" w:rsidRPr="00DE37A9" w:rsidRDefault="00DA252E" w:rsidP="00DE37A9">
      <w:pPr>
        <w:pStyle w:val="Prrafodelista"/>
        <w:numPr>
          <w:ilvl w:val="0"/>
          <w:numId w:val="3"/>
        </w:numPr>
        <w:spacing w:after="0" w:line="240" w:lineRule="auto"/>
        <w:ind w:left="709" w:hanging="283"/>
        <w:jc w:val="both"/>
        <w:rPr>
          <w:rFonts w:ascii="Verdana" w:hAnsi="Verdana"/>
          <w:i/>
          <w:sz w:val="24"/>
          <w:szCs w:val="24"/>
        </w:rPr>
      </w:pPr>
      <w:r w:rsidRPr="00DE37A9">
        <w:rPr>
          <w:rFonts w:ascii="Verdana" w:hAnsi="Verdana"/>
          <w:i/>
          <w:sz w:val="24"/>
          <w:szCs w:val="24"/>
        </w:rPr>
        <w:t>Se incluyó la estrategia de Alianzas público privadas y Mapa Social del DPS en los ejes temáticos de cooperación técnica  de  la agenda binacional Colombia-Perú,  Colombia-Ecuador, y de la red de desagregar la sigla OPHI.</w:t>
      </w:r>
    </w:p>
    <w:p w:rsidR="00DA252E" w:rsidRPr="00DE37A9" w:rsidRDefault="00DA252E" w:rsidP="00DE37A9">
      <w:pPr>
        <w:pStyle w:val="Prrafodelista"/>
        <w:numPr>
          <w:ilvl w:val="0"/>
          <w:numId w:val="3"/>
        </w:numPr>
        <w:spacing w:after="0" w:line="240" w:lineRule="auto"/>
        <w:ind w:left="709" w:hanging="283"/>
        <w:jc w:val="both"/>
        <w:rPr>
          <w:rFonts w:ascii="Verdana" w:hAnsi="Verdana"/>
          <w:i/>
          <w:sz w:val="24"/>
          <w:szCs w:val="24"/>
        </w:rPr>
      </w:pPr>
      <w:r w:rsidRPr="00DE37A9">
        <w:rPr>
          <w:rFonts w:ascii="Verdana" w:hAnsi="Verdana"/>
          <w:i/>
          <w:sz w:val="24"/>
          <w:szCs w:val="24"/>
        </w:rPr>
        <w:t>Se acordó  desarrollo en conjunto con la Dirección de Inclusión Productiva  y el equipo de Alianzas Público Privadas la estrategia de empleabilidad que lidera la, en el marco del programa Incentivo para la Capacitación y el Empleo, para ser implementado a partir del primer semestre de 2015.</w:t>
      </w:r>
    </w:p>
    <w:p w:rsidR="00DA252E" w:rsidRPr="00DE37A9" w:rsidRDefault="00DA252E" w:rsidP="00DE37A9">
      <w:pPr>
        <w:pStyle w:val="Prrafodelista"/>
        <w:numPr>
          <w:ilvl w:val="0"/>
          <w:numId w:val="3"/>
        </w:numPr>
        <w:spacing w:after="0" w:line="240" w:lineRule="auto"/>
        <w:ind w:left="709" w:hanging="283"/>
        <w:jc w:val="both"/>
        <w:rPr>
          <w:rFonts w:ascii="Verdana" w:hAnsi="Verdana"/>
          <w:i/>
          <w:sz w:val="24"/>
          <w:szCs w:val="24"/>
        </w:rPr>
      </w:pPr>
      <w:r w:rsidRPr="00DE37A9">
        <w:rPr>
          <w:rFonts w:ascii="Verdana" w:hAnsi="Verdana"/>
          <w:i/>
          <w:sz w:val="24"/>
          <w:szCs w:val="24"/>
        </w:rPr>
        <w:t xml:space="preserve">Se logró visibilizar la estrategia institucional de Alianzas Público Privadas con la participación de la Dirección General en escenarios privilegiados con empresarios de las ciudades de Bogotá, Barranquilla, Cali y Medellín. </w:t>
      </w:r>
    </w:p>
    <w:p w:rsidR="00DA252E" w:rsidRPr="00DE37A9" w:rsidRDefault="00DA252E" w:rsidP="00DE37A9">
      <w:pPr>
        <w:pStyle w:val="Prrafodelista"/>
        <w:numPr>
          <w:ilvl w:val="0"/>
          <w:numId w:val="3"/>
        </w:numPr>
        <w:spacing w:after="0" w:line="240" w:lineRule="auto"/>
        <w:ind w:left="709" w:hanging="283"/>
        <w:jc w:val="both"/>
        <w:rPr>
          <w:rFonts w:ascii="Verdana" w:hAnsi="Verdana"/>
          <w:i/>
          <w:sz w:val="24"/>
          <w:szCs w:val="24"/>
        </w:rPr>
      </w:pPr>
      <w:r w:rsidRPr="00DE37A9">
        <w:rPr>
          <w:rFonts w:ascii="Verdana" w:hAnsi="Verdana"/>
          <w:i/>
          <w:sz w:val="24"/>
          <w:szCs w:val="24"/>
        </w:rPr>
        <w:t xml:space="preserve">Se diseñó e inició un trabajo de articulación empresarial enfocado en el sector de Hidrocarburos en acuerdo con la Agencia Nacional de Hidrocarburos, que entra a fortalecer la estrategia con el Sector Minero Energético. </w:t>
      </w:r>
    </w:p>
    <w:p w:rsidR="00DA252E" w:rsidRPr="00DE37A9" w:rsidRDefault="00DA252E" w:rsidP="00DE37A9">
      <w:pPr>
        <w:pStyle w:val="Prrafodelista"/>
        <w:numPr>
          <w:ilvl w:val="0"/>
          <w:numId w:val="3"/>
        </w:numPr>
        <w:spacing w:after="0" w:line="240" w:lineRule="auto"/>
        <w:ind w:left="709" w:hanging="283"/>
        <w:jc w:val="both"/>
        <w:rPr>
          <w:rFonts w:ascii="Verdana" w:hAnsi="Verdana"/>
          <w:i/>
          <w:sz w:val="24"/>
          <w:szCs w:val="24"/>
        </w:rPr>
      </w:pPr>
      <w:r w:rsidRPr="00DE37A9">
        <w:rPr>
          <w:rFonts w:ascii="Verdana" w:hAnsi="Verdana"/>
          <w:i/>
          <w:sz w:val="24"/>
          <w:szCs w:val="24"/>
        </w:rPr>
        <w:t>Se diseñó y ejecutó con participación asocio con la Oficina de Servicio al Ciudadano, la primera estrategia de voluntariado institucional del DPS, alcanzando más de 15.000 paquetes de obsequios entregados en diferentes municipios de los Departamentos de Amazonas, Cauca, Chocó, Córdoba, La Guajira, Sucre y Vaupés.</w:t>
      </w:r>
    </w:p>
    <w:p w:rsidR="00DA252E" w:rsidRDefault="00DA252E" w:rsidP="00DA252E">
      <w:pPr>
        <w:spacing w:after="0" w:line="240" w:lineRule="auto"/>
        <w:rPr>
          <w:rFonts w:ascii="Verdana" w:hAnsi="Verdana"/>
          <w:b/>
          <w:color w:val="548DD4" w:themeColor="text2" w:themeTint="99"/>
          <w:sz w:val="24"/>
          <w:szCs w:val="24"/>
        </w:rPr>
      </w:pPr>
    </w:p>
    <w:p w:rsidR="00DA252E" w:rsidRDefault="00DA252E" w:rsidP="00DA252E">
      <w:pPr>
        <w:spacing w:after="0" w:line="240" w:lineRule="auto"/>
        <w:rPr>
          <w:rFonts w:ascii="Verdana" w:hAnsi="Verdana"/>
          <w:b/>
          <w:color w:val="548DD4" w:themeColor="text2" w:themeTint="99"/>
          <w:sz w:val="24"/>
          <w:szCs w:val="24"/>
        </w:rPr>
      </w:pPr>
      <w:r>
        <w:rPr>
          <w:rFonts w:ascii="Verdana" w:hAnsi="Verdana"/>
          <w:b/>
          <w:color w:val="548DD4" w:themeColor="text2" w:themeTint="99"/>
          <w:sz w:val="24"/>
          <w:szCs w:val="24"/>
        </w:rPr>
        <w:t>R</w:t>
      </w:r>
      <w:r w:rsidRPr="00405354">
        <w:rPr>
          <w:rFonts w:ascii="Verdana" w:hAnsi="Verdana"/>
          <w:b/>
          <w:color w:val="548DD4" w:themeColor="text2" w:themeTint="99"/>
          <w:sz w:val="24"/>
          <w:szCs w:val="24"/>
        </w:rPr>
        <w:t xml:space="preserve">etos 2015 </w:t>
      </w:r>
    </w:p>
    <w:p w:rsidR="00DA252E" w:rsidRPr="00405354" w:rsidRDefault="00DA252E" w:rsidP="00DA252E">
      <w:pPr>
        <w:spacing w:after="0" w:line="240" w:lineRule="auto"/>
        <w:rPr>
          <w:rFonts w:ascii="Verdana" w:hAnsi="Verdana"/>
          <w:b/>
          <w:color w:val="548DD4" w:themeColor="text2" w:themeTint="99"/>
          <w:sz w:val="24"/>
          <w:szCs w:val="24"/>
        </w:rPr>
      </w:pPr>
    </w:p>
    <w:p w:rsidR="00DA252E" w:rsidRPr="00D0087D" w:rsidRDefault="00DA252E" w:rsidP="00DE37A9">
      <w:pPr>
        <w:pStyle w:val="Prrafodelista"/>
        <w:numPr>
          <w:ilvl w:val="0"/>
          <w:numId w:val="3"/>
        </w:numPr>
        <w:spacing w:after="0" w:line="240" w:lineRule="auto"/>
        <w:ind w:left="709" w:hanging="283"/>
        <w:jc w:val="both"/>
        <w:rPr>
          <w:rFonts w:ascii="Verdana" w:hAnsi="Verdana"/>
          <w:i/>
          <w:sz w:val="24"/>
          <w:szCs w:val="24"/>
        </w:rPr>
      </w:pPr>
      <w:r w:rsidRPr="00D0087D">
        <w:rPr>
          <w:rFonts w:ascii="Verdana" w:hAnsi="Verdana"/>
          <w:i/>
          <w:sz w:val="24"/>
          <w:szCs w:val="24"/>
        </w:rPr>
        <w:t>Consolidar la línea de empleabilidad con privados en articulación con los programas de ICE y JeA.</w:t>
      </w:r>
    </w:p>
    <w:p w:rsidR="00DA252E" w:rsidRPr="00D0087D" w:rsidRDefault="00DA252E" w:rsidP="00DE37A9">
      <w:pPr>
        <w:pStyle w:val="Prrafodelista"/>
        <w:numPr>
          <w:ilvl w:val="0"/>
          <w:numId w:val="3"/>
        </w:numPr>
        <w:spacing w:after="0" w:line="240" w:lineRule="auto"/>
        <w:ind w:left="709" w:hanging="283"/>
        <w:jc w:val="both"/>
        <w:rPr>
          <w:rFonts w:ascii="Verdana" w:hAnsi="Verdana"/>
          <w:i/>
          <w:sz w:val="24"/>
          <w:szCs w:val="24"/>
        </w:rPr>
      </w:pPr>
      <w:r w:rsidRPr="00D0087D">
        <w:rPr>
          <w:rFonts w:ascii="Verdana" w:hAnsi="Verdana"/>
          <w:i/>
          <w:sz w:val="24"/>
          <w:szCs w:val="24"/>
        </w:rPr>
        <w:t>Establecer una ruta efectiva de articulación de oferta con sectores estratégicos focalizados, de acuerdo con las demandas del mercado laboral.</w:t>
      </w:r>
    </w:p>
    <w:p w:rsidR="00DA252E" w:rsidRPr="00D0087D" w:rsidRDefault="00DA252E" w:rsidP="00DE37A9">
      <w:pPr>
        <w:pStyle w:val="Prrafodelista"/>
        <w:numPr>
          <w:ilvl w:val="0"/>
          <w:numId w:val="3"/>
        </w:numPr>
        <w:spacing w:after="0" w:line="240" w:lineRule="auto"/>
        <w:ind w:left="709" w:hanging="283"/>
        <w:jc w:val="both"/>
        <w:rPr>
          <w:rFonts w:ascii="Verdana" w:hAnsi="Verdana"/>
          <w:i/>
          <w:sz w:val="24"/>
          <w:szCs w:val="24"/>
        </w:rPr>
      </w:pPr>
      <w:r w:rsidRPr="00D0087D">
        <w:rPr>
          <w:rFonts w:ascii="Verdana" w:hAnsi="Verdana"/>
          <w:i/>
          <w:sz w:val="24"/>
          <w:szCs w:val="24"/>
        </w:rPr>
        <w:t>Definir un esquema de acompañamiento a la actualización de la plataforma Mapa Social por medio de la vinculación de un gestor de la información.</w:t>
      </w:r>
    </w:p>
    <w:p w:rsidR="00DA252E" w:rsidRPr="00D0087D" w:rsidRDefault="00DA252E" w:rsidP="00DE37A9">
      <w:pPr>
        <w:pStyle w:val="Prrafodelista"/>
        <w:numPr>
          <w:ilvl w:val="0"/>
          <w:numId w:val="3"/>
        </w:numPr>
        <w:spacing w:after="0" w:line="240" w:lineRule="auto"/>
        <w:ind w:left="709" w:hanging="283"/>
        <w:jc w:val="both"/>
        <w:rPr>
          <w:rFonts w:ascii="Verdana" w:hAnsi="Verdana"/>
          <w:i/>
          <w:sz w:val="24"/>
          <w:szCs w:val="24"/>
        </w:rPr>
      </w:pPr>
      <w:r w:rsidRPr="00D0087D">
        <w:rPr>
          <w:rFonts w:ascii="Verdana" w:hAnsi="Verdana"/>
          <w:i/>
          <w:sz w:val="24"/>
          <w:szCs w:val="24"/>
        </w:rPr>
        <w:lastRenderedPageBreak/>
        <w:t>Implementar las mejoras y fase 2 de la herramienta  Mapa Social en donde se incluye,  aquí faltarían nombrar las otras mejoras, or ejemplo el módulo de ingreso   indicadores, e implementación de Índice de Mapa Social.</w:t>
      </w:r>
    </w:p>
    <w:p w:rsidR="00DA252E" w:rsidRPr="00D0087D" w:rsidRDefault="00DA252E" w:rsidP="00DE37A9">
      <w:pPr>
        <w:pStyle w:val="Prrafodelista"/>
        <w:numPr>
          <w:ilvl w:val="0"/>
          <w:numId w:val="3"/>
        </w:numPr>
        <w:spacing w:after="0" w:line="240" w:lineRule="auto"/>
        <w:ind w:left="709" w:hanging="283"/>
        <w:jc w:val="both"/>
        <w:rPr>
          <w:rFonts w:ascii="Verdana" w:hAnsi="Verdana"/>
          <w:i/>
          <w:sz w:val="24"/>
          <w:szCs w:val="24"/>
        </w:rPr>
      </w:pPr>
      <w:r w:rsidRPr="00D0087D">
        <w:rPr>
          <w:rFonts w:ascii="Verdana" w:hAnsi="Verdana"/>
          <w:i/>
          <w:sz w:val="24"/>
          <w:szCs w:val="24"/>
        </w:rPr>
        <w:t>Consolidar la estrategia de voluntariado institucional del DPS con la participación de las entidades del Sector y de otros actores privados.</w:t>
      </w:r>
    </w:p>
    <w:p w:rsidR="00DA252E" w:rsidRPr="00DE37A9" w:rsidRDefault="00DA252E" w:rsidP="00DE37A9">
      <w:pPr>
        <w:pStyle w:val="Prrafodelista"/>
        <w:spacing w:after="0" w:line="240" w:lineRule="auto"/>
        <w:ind w:left="709"/>
        <w:jc w:val="both"/>
        <w:rPr>
          <w:rFonts w:ascii="Verdana" w:hAnsi="Verdana"/>
          <w:i/>
          <w:sz w:val="24"/>
          <w:szCs w:val="24"/>
        </w:rPr>
      </w:pPr>
    </w:p>
    <w:p w:rsidR="007060A3" w:rsidRPr="00DE37A9" w:rsidRDefault="007060A3" w:rsidP="007060A3">
      <w:pPr>
        <w:pStyle w:val="Ttulo2"/>
        <w:spacing w:before="0" w:after="0" w:line="240" w:lineRule="auto"/>
        <w:jc w:val="both"/>
        <w:rPr>
          <w:rFonts w:ascii="Verdana" w:hAnsi="Verdana"/>
          <w:i w:val="0"/>
          <w:color w:val="548DD4" w:themeColor="text2" w:themeTint="99"/>
          <w:sz w:val="24"/>
          <w:u w:val="single"/>
        </w:rPr>
      </w:pPr>
      <w:bookmarkStart w:id="73" w:name="_Toc410376801"/>
      <w:r w:rsidRPr="00DE37A9">
        <w:rPr>
          <w:rFonts w:ascii="Verdana" w:hAnsi="Verdana"/>
          <w:i w:val="0"/>
          <w:color w:val="548DD4" w:themeColor="text2" w:themeTint="99"/>
          <w:sz w:val="24"/>
          <w:u w:val="single"/>
        </w:rPr>
        <w:t>GRUPO DE PARTICIPACIÓN CIUDADANA E INNOVACIÓN SOCIAL</w:t>
      </w:r>
      <w:bookmarkEnd w:id="73"/>
    </w:p>
    <w:p w:rsidR="00095026" w:rsidRPr="002F3541" w:rsidRDefault="00095026" w:rsidP="007060A3">
      <w:pPr>
        <w:spacing w:after="0" w:line="240" w:lineRule="auto"/>
        <w:rPr>
          <w:rFonts w:ascii="Verdana" w:hAnsi="Verdana"/>
          <w:b/>
          <w:sz w:val="24"/>
          <w:szCs w:val="24"/>
          <w:u w:val="single"/>
        </w:rPr>
      </w:pPr>
    </w:p>
    <w:p w:rsidR="007060A3" w:rsidRPr="004356C7" w:rsidRDefault="007060A3" w:rsidP="007060A3">
      <w:pPr>
        <w:spacing w:after="0" w:line="240" w:lineRule="auto"/>
        <w:rPr>
          <w:rFonts w:ascii="Verdana" w:hAnsi="Verdana"/>
          <w:b/>
          <w:color w:val="4F81BD" w:themeColor="accent1"/>
          <w:sz w:val="24"/>
          <w:szCs w:val="24"/>
        </w:rPr>
      </w:pPr>
      <w:r w:rsidRPr="004356C7">
        <w:rPr>
          <w:rFonts w:ascii="Verdana" w:hAnsi="Verdana"/>
          <w:b/>
          <w:color w:val="4F81BD" w:themeColor="accent1"/>
          <w:sz w:val="24"/>
          <w:szCs w:val="24"/>
        </w:rPr>
        <w:t>Objetivo</w:t>
      </w:r>
    </w:p>
    <w:p w:rsidR="007060A3" w:rsidRDefault="007060A3" w:rsidP="007060A3">
      <w:pPr>
        <w:spacing w:after="0" w:line="240" w:lineRule="auto"/>
        <w:jc w:val="both"/>
        <w:rPr>
          <w:rFonts w:ascii="Verdana" w:hAnsi="Verdana"/>
          <w:sz w:val="24"/>
          <w:szCs w:val="24"/>
        </w:rPr>
      </w:pPr>
    </w:p>
    <w:p w:rsidR="007060A3" w:rsidRDefault="007060A3" w:rsidP="007060A3">
      <w:pPr>
        <w:spacing w:after="0" w:line="240" w:lineRule="auto"/>
        <w:jc w:val="both"/>
        <w:rPr>
          <w:rFonts w:ascii="Verdana" w:hAnsi="Verdana"/>
          <w:sz w:val="24"/>
          <w:szCs w:val="24"/>
        </w:rPr>
      </w:pPr>
      <w:r w:rsidRPr="00F42D10">
        <w:rPr>
          <w:rFonts w:ascii="Verdana" w:hAnsi="Verdana"/>
          <w:sz w:val="24"/>
          <w:szCs w:val="24"/>
        </w:rPr>
        <w:t xml:space="preserve">El grupo de trabajo de Participación Ciudadana e Innovación </w:t>
      </w:r>
      <w:r>
        <w:rPr>
          <w:rFonts w:ascii="Verdana" w:hAnsi="Verdana"/>
          <w:sz w:val="24"/>
          <w:szCs w:val="24"/>
        </w:rPr>
        <w:t xml:space="preserve">Social </w:t>
      </w:r>
      <w:r w:rsidRPr="00F42D10">
        <w:rPr>
          <w:rFonts w:ascii="Verdana" w:hAnsi="Verdana"/>
          <w:sz w:val="24"/>
          <w:szCs w:val="24"/>
        </w:rPr>
        <w:t>se ha enfoca</w:t>
      </w:r>
      <w:r>
        <w:rPr>
          <w:rFonts w:ascii="Verdana" w:hAnsi="Verdana"/>
          <w:sz w:val="24"/>
          <w:szCs w:val="24"/>
        </w:rPr>
        <w:t xml:space="preserve">do en el diseño y la implementación del </w:t>
      </w:r>
      <w:r w:rsidRPr="00F42D10">
        <w:rPr>
          <w:rFonts w:ascii="Verdana" w:hAnsi="Verdana"/>
          <w:sz w:val="24"/>
          <w:szCs w:val="24"/>
        </w:rPr>
        <w:t>Modelo de Servicio y Participación Ciudadana del DPS, que involucra estrategias y acciones en materia de orientación</w:t>
      </w:r>
      <w:r w:rsidRPr="00474DB8">
        <w:rPr>
          <w:rFonts w:ascii="Verdana" w:hAnsi="Verdana"/>
          <w:sz w:val="24"/>
          <w:szCs w:val="24"/>
        </w:rPr>
        <w:t xml:space="preserve"> </w:t>
      </w:r>
      <w:r w:rsidRPr="00F42D10">
        <w:rPr>
          <w:rFonts w:ascii="Verdana" w:hAnsi="Verdana"/>
          <w:sz w:val="24"/>
          <w:szCs w:val="24"/>
        </w:rPr>
        <w:t>y atención</w:t>
      </w:r>
      <w:r w:rsidRPr="00474DB8">
        <w:rPr>
          <w:rFonts w:ascii="Verdana" w:hAnsi="Verdana"/>
          <w:sz w:val="24"/>
          <w:szCs w:val="24"/>
        </w:rPr>
        <w:t xml:space="preserve"> </w:t>
      </w:r>
      <w:r w:rsidRPr="00F42D10">
        <w:rPr>
          <w:rFonts w:ascii="Verdana" w:hAnsi="Verdana"/>
          <w:sz w:val="24"/>
          <w:szCs w:val="24"/>
        </w:rPr>
        <w:t>multicanal</w:t>
      </w:r>
      <w:r>
        <w:rPr>
          <w:rFonts w:ascii="Verdana" w:hAnsi="Verdana"/>
          <w:sz w:val="24"/>
          <w:szCs w:val="24"/>
        </w:rPr>
        <w:t>, acceso a la información</w:t>
      </w:r>
      <w:r w:rsidRPr="00F42D10">
        <w:rPr>
          <w:rFonts w:ascii="Verdana" w:hAnsi="Verdana"/>
          <w:sz w:val="24"/>
          <w:szCs w:val="24"/>
        </w:rPr>
        <w:t>, gestión de peticiones, medición y evaluación</w:t>
      </w:r>
      <w:r>
        <w:rPr>
          <w:rFonts w:ascii="Verdana" w:hAnsi="Verdana"/>
          <w:sz w:val="24"/>
          <w:szCs w:val="24"/>
        </w:rPr>
        <w:t xml:space="preserve"> de satisfacción</w:t>
      </w:r>
      <w:r w:rsidRPr="00F42D10">
        <w:rPr>
          <w:rFonts w:ascii="Verdana" w:hAnsi="Verdana"/>
          <w:sz w:val="24"/>
          <w:szCs w:val="24"/>
        </w:rPr>
        <w:t>, cultura de servicio, innovación social y colaboración ciudadana. Todo esto dirigido a construir una relación dinámica con la población pobre y vulnerable, donde el ciudadano sea parte de la solución.</w:t>
      </w:r>
    </w:p>
    <w:p w:rsidR="007060A3" w:rsidRDefault="007060A3" w:rsidP="007060A3">
      <w:pPr>
        <w:spacing w:after="0" w:line="240" w:lineRule="auto"/>
        <w:rPr>
          <w:rFonts w:ascii="Verdana" w:hAnsi="Verdana"/>
          <w:b/>
          <w:sz w:val="24"/>
          <w:szCs w:val="24"/>
        </w:rPr>
      </w:pPr>
    </w:p>
    <w:p w:rsidR="007060A3" w:rsidRPr="004356C7" w:rsidRDefault="007060A3" w:rsidP="007060A3">
      <w:pPr>
        <w:spacing w:after="0" w:line="240" w:lineRule="auto"/>
        <w:rPr>
          <w:rFonts w:ascii="Verdana" w:hAnsi="Verdana"/>
          <w:b/>
          <w:color w:val="4F81BD" w:themeColor="accent1"/>
          <w:sz w:val="24"/>
          <w:szCs w:val="24"/>
        </w:rPr>
      </w:pPr>
      <w:r w:rsidRPr="004356C7">
        <w:rPr>
          <w:rFonts w:ascii="Verdana" w:hAnsi="Verdana"/>
          <w:b/>
          <w:color w:val="4F81BD" w:themeColor="accent1"/>
          <w:sz w:val="24"/>
          <w:szCs w:val="24"/>
        </w:rPr>
        <w:t>Cumplimiento Metas</w:t>
      </w:r>
    </w:p>
    <w:p w:rsidR="007060A3" w:rsidRDefault="007060A3" w:rsidP="007060A3">
      <w:pPr>
        <w:spacing w:after="0" w:line="240" w:lineRule="auto"/>
        <w:rPr>
          <w:rFonts w:ascii="Verdana" w:hAnsi="Verdana"/>
          <w:b/>
          <w:sz w:val="24"/>
          <w:szCs w:val="24"/>
        </w:rPr>
      </w:pPr>
    </w:p>
    <w:tbl>
      <w:tblPr>
        <w:tblW w:w="5000" w:type="pct"/>
        <w:tblCellMar>
          <w:left w:w="70" w:type="dxa"/>
          <w:right w:w="70" w:type="dxa"/>
        </w:tblCellMar>
        <w:tblLook w:val="04A0"/>
      </w:tblPr>
      <w:tblGrid>
        <w:gridCol w:w="2943"/>
        <w:gridCol w:w="2308"/>
        <w:gridCol w:w="1444"/>
        <w:gridCol w:w="2572"/>
        <w:gridCol w:w="845"/>
      </w:tblGrid>
      <w:tr w:rsidR="00095026" w:rsidRPr="00095026" w:rsidTr="00FE71FF">
        <w:trPr>
          <w:trHeight w:val="315"/>
          <w:tblHeader/>
        </w:trPr>
        <w:tc>
          <w:tcPr>
            <w:tcW w:w="1455" w:type="pct"/>
            <w:tcBorders>
              <w:top w:val="single" w:sz="8" w:space="0" w:color="FFFFFF"/>
              <w:left w:val="single" w:sz="8" w:space="0" w:color="FFFFFF"/>
              <w:bottom w:val="single" w:sz="8" w:space="0" w:color="FFFFFF"/>
              <w:right w:val="single" w:sz="8" w:space="0" w:color="FFFFFF"/>
            </w:tcBorders>
            <w:shd w:val="clear" w:color="000000" w:fill="548DD4"/>
            <w:vAlign w:val="bottom"/>
            <w:hideMark/>
          </w:tcPr>
          <w:p w:rsidR="00095026" w:rsidRPr="00095026" w:rsidRDefault="00095026" w:rsidP="00095026">
            <w:pPr>
              <w:spacing w:after="0" w:line="240" w:lineRule="auto"/>
              <w:jc w:val="center"/>
              <w:rPr>
                <w:rFonts w:ascii="Verdana" w:eastAsia="Times New Roman" w:hAnsi="Verdana" w:cs="Times New Roman"/>
                <w:b/>
                <w:bCs/>
                <w:color w:val="FFFFFF"/>
                <w:sz w:val="20"/>
                <w:szCs w:val="20"/>
                <w:lang w:eastAsia="es-CO"/>
              </w:rPr>
            </w:pPr>
            <w:r w:rsidRPr="00095026">
              <w:rPr>
                <w:rFonts w:ascii="Verdana" w:eastAsia="Times New Roman" w:hAnsi="Verdana" w:cs="Times New Roman"/>
                <w:b/>
                <w:bCs/>
                <w:color w:val="FFFFFF"/>
                <w:sz w:val="20"/>
                <w:szCs w:val="20"/>
                <w:lang w:eastAsia="es-CO"/>
              </w:rPr>
              <w:t>Líneas de acción</w:t>
            </w:r>
          </w:p>
        </w:tc>
        <w:tc>
          <w:tcPr>
            <w:tcW w:w="1141" w:type="pct"/>
            <w:tcBorders>
              <w:top w:val="single" w:sz="8" w:space="0" w:color="FFFFFF"/>
              <w:left w:val="nil"/>
              <w:bottom w:val="single" w:sz="8" w:space="0" w:color="FFFFFF"/>
              <w:right w:val="single" w:sz="8" w:space="0" w:color="FFFFFF"/>
            </w:tcBorders>
            <w:shd w:val="clear" w:color="000000" w:fill="548DD4"/>
            <w:vAlign w:val="bottom"/>
            <w:hideMark/>
          </w:tcPr>
          <w:p w:rsidR="00095026" w:rsidRPr="00095026" w:rsidRDefault="00095026" w:rsidP="00095026">
            <w:pPr>
              <w:spacing w:after="0" w:line="240" w:lineRule="auto"/>
              <w:jc w:val="center"/>
              <w:rPr>
                <w:rFonts w:ascii="Verdana" w:eastAsia="Times New Roman" w:hAnsi="Verdana" w:cs="Times New Roman"/>
                <w:b/>
                <w:bCs/>
                <w:color w:val="FFFFFF"/>
                <w:sz w:val="20"/>
                <w:szCs w:val="20"/>
                <w:lang w:eastAsia="es-CO"/>
              </w:rPr>
            </w:pPr>
            <w:r w:rsidRPr="00095026">
              <w:rPr>
                <w:rFonts w:ascii="Verdana" w:eastAsia="Times New Roman" w:hAnsi="Verdana" w:cs="Times New Roman"/>
                <w:b/>
                <w:bCs/>
                <w:color w:val="FFFFFF"/>
                <w:sz w:val="20"/>
                <w:szCs w:val="20"/>
                <w:lang w:eastAsia="es-CO"/>
              </w:rPr>
              <w:t>Actividades</w:t>
            </w:r>
          </w:p>
        </w:tc>
        <w:tc>
          <w:tcPr>
            <w:tcW w:w="714" w:type="pct"/>
            <w:tcBorders>
              <w:top w:val="single" w:sz="8" w:space="0" w:color="FFFFFF"/>
              <w:left w:val="nil"/>
              <w:bottom w:val="single" w:sz="8" w:space="0" w:color="FFFFFF"/>
              <w:right w:val="single" w:sz="8" w:space="0" w:color="FFFFFF"/>
            </w:tcBorders>
            <w:shd w:val="clear" w:color="000000" w:fill="548DD4"/>
            <w:vAlign w:val="bottom"/>
            <w:hideMark/>
          </w:tcPr>
          <w:p w:rsidR="00095026" w:rsidRPr="00095026" w:rsidRDefault="00095026" w:rsidP="00095026">
            <w:pPr>
              <w:spacing w:after="0" w:line="240" w:lineRule="auto"/>
              <w:jc w:val="center"/>
              <w:rPr>
                <w:rFonts w:ascii="Verdana" w:eastAsia="Times New Roman" w:hAnsi="Verdana" w:cs="Times New Roman"/>
                <w:b/>
                <w:bCs/>
                <w:color w:val="FFFFFF"/>
                <w:sz w:val="20"/>
                <w:szCs w:val="20"/>
                <w:lang w:eastAsia="es-CO"/>
              </w:rPr>
            </w:pPr>
            <w:r w:rsidRPr="00095026">
              <w:rPr>
                <w:rFonts w:ascii="Verdana" w:eastAsia="Times New Roman" w:hAnsi="Verdana" w:cs="Times New Roman"/>
                <w:b/>
                <w:bCs/>
                <w:color w:val="FFFFFF"/>
                <w:sz w:val="20"/>
                <w:szCs w:val="20"/>
                <w:lang w:eastAsia="es-CO"/>
              </w:rPr>
              <w:t>Meta</w:t>
            </w:r>
          </w:p>
        </w:tc>
        <w:tc>
          <w:tcPr>
            <w:tcW w:w="1272" w:type="pct"/>
            <w:tcBorders>
              <w:top w:val="single" w:sz="8" w:space="0" w:color="FFFFFF"/>
              <w:left w:val="nil"/>
              <w:bottom w:val="single" w:sz="8" w:space="0" w:color="FFFFFF"/>
              <w:right w:val="single" w:sz="8" w:space="0" w:color="FFFFFF"/>
            </w:tcBorders>
            <w:shd w:val="clear" w:color="000000" w:fill="548DD4"/>
            <w:vAlign w:val="bottom"/>
            <w:hideMark/>
          </w:tcPr>
          <w:p w:rsidR="00095026" w:rsidRPr="00095026" w:rsidRDefault="00095026" w:rsidP="00095026">
            <w:pPr>
              <w:spacing w:after="0" w:line="240" w:lineRule="auto"/>
              <w:jc w:val="center"/>
              <w:rPr>
                <w:rFonts w:ascii="Verdana" w:eastAsia="Times New Roman" w:hAnsi="Verdana" w:cs="Times New Roman"/>
                <w:b/>
                <w:bCs/>
                <w:color w:val="FFFFFF"/>
                <w:sz w:val="14"/>
                <w:szCs w:val="14"/>
                <w:lang w:eastAsia="es-CO"/>
              </w:rPr>
            </w:pPr>
            <w:r w:rsidRPr="00095026">
              <w:rPr>
                <w:rFonts w:ascii="Verdana" w:eastAsia="Times New Roman" w:hAnsi="Verdana" w:cs="Times New Roman"/>
                <w:b/>
                <w:bCs/>
                <w:color w:val="FFFFFF"/>
                <w:sz w:val="14"/>
                <w:szCs w:val="14"/>
                <w:lang w:eastAsia="es-CO"/>
              </w:rPr>
              <w:t>Ejecutado</w:t>
            </w:r>
          </w:p>
        </w:tc>
        <w:tc>
          <w:tcPr>
            <w:tcW w:w="418" w:type="pct"/>
            <w:tcBorders>
              <w:top w:val="single" w:sz="8" w:space="0" w:color="FFFFFF"/>
              <w:left w:val="nil"/>
              <w:bottom w:val="single" w:sz="8" w:space="0" w:color="FFFFFF"/>
              <w:right w:val="single" w:sz="8" w:space="0" w:color="FFFFFF"/>
            </w:tcBorders>
            <w:shd w:val="clear" w:color="000000" w:fill="548DD4"/>
            <w:vAlign w:val="bottom"/>
            <w:hideMark/>
          </w:tcPr>
          <w:p w:rsidR="00095026" w:rsidRPr="00095026" w:rsidRDefault="00095026" w:rsidP="00095026">
            <w:pPr>
              <w:spacing w:after="0" w:line="240" w:lineRule="auto"/>
              <w:jc w:val="center"/>
              <w:rPr>
                <w:rFonts w:ascii="Verdana" w:eastAsia="Times New Roman" w:hAnsi="Verdana" w:cs="Times New Roman"/>
                <w:b/>
                <w:bCs/>
                <w:color w:val="FFFFFF"/>
                <w:lang w:eastAsia="es-CO"/>
              </w:rPr>
            </w:pPr>
            <w:r w:rsidRPr="00095026">
              <w:rPr>
                <w:rFonts w:ascii="Verdana" w:eastAsia="Times New Roman" w:hAnsi="Verdana" w:cs="Times New Roman"/>
                <w:b/>
                <w:bCs/>
                <w:color w:val="FFFFFF"/>
                <w:lang w:eastAsia="es-CO"/>
              </w:rPr>
              <w:t>%</w:t>
            </w:r>
          </w:p>
        </w:tc>
      </w:tr>
      <w:tr w:rsidR="00095026" w:rsidRPr="00095026" w:rsidTr="00095026">
        <w:trPr>
          <w:trHeight w:val="465"/>
        </w:trPr>
        <w:tc>
          <w:tcPr>
            <w:tcW w:w="1455" w:type="pct"/>
            <w:vMerge w:val="restart"/>
            <w:tcBorders>
              <w:top w:val="single" w:sz="8" w:space="0" w:color="FFFFFF"/>
              <w:left w:val="single" w:sz="8" w:space="0" w:color="FFFFFF"/>
              <w:bottom w:val="single" w:sz="4" w:space="0" w:color="FFFFFF"/>
              <w:right w:val="single" w:sz="8" w:space="0" w:color="FFFFFF"/>
            </w:tcBorders>
            <w:shd w:val="clear" w:color="B8CCE4" w:fill="B8CCE4"/>
            <w:vAlign w:val="center"/>
            <w:hideMark/>
          </w:tcPr>
          <w:p w:rsidR="00095026" w:rsidRPr="00095026" w:rsidRDefault="00095026" w:rsidP="00095026">
            <w:pPr>
              <w:spacing w:after="0" w:line="240" w:lineRule="auto"/>
              <w:jc w:val="center"/>
              <w:rPr>
                <w:rFonts w:ascii="Verdana" w:eastAsia="Times New Roman" w:hAnsi="Verdana" w:cs="Times New Roman"/>
                <w:color w:val="000000"/>
                <w:sz w:val="20"/>
                <w:szCs w:val="20"/>
                <w:lang w:eastAsia="es-CO"/>
              </w:rPr>
            </w:pPr>
            <w:r w:rsidRPr="00095026">
              <w:rPr>
                <w:rFonts w:ascii="Verdana" w:eastAsia="Times New Roman" w:hAnsi="Verdana" w:cs="Times New Roman"/>
                <w:color w:val="000000"/>
                <w:sz w:val="20"/>
                <w:szCs w:val="20"/>
                <w:lang w:eastAsia="es-CO"/>
              </w:rPr>
              <w:t>Propiciar acciones de fortalecimiento de Servicio y Atención al Ciudadano</w:t>
            </w:r>
          </w:p>
        </w:tc>
        <w:tc>
          <w:tcPr>
            <w:tcW w:w="1141" w:type="pct"/>
            <w:tcBorders>
              <w:top w:val="nil"/>
              <w:left w:val="nil"/>
              <w:bottom w:val="single" w:sz="8" w:space="0" w:color="FFFFFF"/>
              <w:right w:val="single" w:sz="8" w:space="0" w:color="FFFFFF"/>
            </w:tcBorders>
            <w:shd w:val="clear" w:color="B8CCE4" w:fill="B8CCE4"/>
            <w:hideMark/>
          </w:tcPr>
          <w:p w:rsidR="00095026" w:rsidRPr="00095026" w:rsidRDefault="00095026" w:rsidP="00095026">
            <w:pPr>
              <w:spacing w:after="0" w:line="240" w:lineRule="auto"/>
              <w:rPr>
                <w:rFonts w:ascii="Verdana" w:eastAsia="Times New Roman" w:hAnsi="Verdana" w:cs="Times New Roman"/>
                <w:color w:val="000000"/>
                <w:sz w:val="20"/>
                <w:szCs w:val="20"/>
                <w:lang w:eastAsia="es-CO"/>
              </w:rPr>
            </w:pPr>
            <w:r w:rsidRPr="00095026">
              <w:rPr>
                <w:rFonts w:ascii="Verdana" w:eastAsia="Times New Roman" w:hAnsi="Verdana" w:cs="Times New Roman"/>
                <w:color w:val="000000"/>
                <w:sz w:val="20"/>
                <w:szCs w:val="20"/>
                <w:lang w:eastAsia="es-CO"/>
              </w:rPr>
              <w:t xml:space="preserve">Coordinar la mesa sectorial de Servicio al ciudadano </w:t>
            </w:r>
          </w:p>
        </w:tc>
        <w:tc>
          <w:tcPr>
            <w:tcW w:w="714" w:type="pct"/>
            <w:tcBorders>
              <w:top w:val="nil"/>
              <w:left w:val="nil"/>
              <w:bottom w:val="single" w:sz="8" w:space="0" w:color="FFFFFF"/>
              <w:right w:val="single" w:sz="8" w:space="0" w:color="FFFFFF"/>
            </w:tcBorders>
            <w:shd w:val="clear" w:color="B8CCE4" w:fill="B8CCE4"/>
            <w:hideMark/>
          </w:tcPr>
          <w:p w:rsidR="00095026" w:rsidRPr="00095026" w:rsidRDefault="00095026" w:rsidP="00095026">
            <w:pPr>
              <w:spacing w:after="0" w:line="240" w:lineRule="auto"/>
              <w:jc w:val="center"/>
              <w:rPr>
                <w:rFonts w:ascii="Verdana" w:eastAsia="Times New Roman" w:hAnsi="Verdana" w:cs="Times New Roman"/>
                <w:color w:val="000000"/>
                <w:sz w:val="20"/>
                <w:szCs w:val="20"/>
                <w:lang w:eastAsia="es-CO"/>
              </w:rPr>
            </w:pPr>
            <w:r w:rsidRPr="00095026">
              <w:rPr>
                <w:rFonts w:ascii="Verdana" w:eastAsia="Times New Roman" w:hAnsi="Verdana" w:cs="Times New Roman"/>
                <w:color w:val="000000"/>
                <w:sz w:val="20"/>
                <w:szCs w:val="20"/>
                <w:lang w:eastAsia="es-CO"/>
              </w:rPr>
              <w:t>8</w:t>
            </w:r>
          </w:p>
        </w:tc>
        <w:tc>
          <w:tcPr>
            <w:tcW w:w="1272" w:type="pct"/>
            <w:tcBorders>
              <w:top w:val="nil"/>
              <w:left w:val="nil"/>
              <w:bottom w:val="single" w:sz="8" w:space="0" w:color="FFFFFF"/>
              <w:right w:val="single" w:sz="8" w:space="0" w:color="FFFFFF"/>
            </w:tcBorders>
            <w:shd w:val="clear" w:color="B8CCE4" w:fill="B8CCE4"/>
            <w:hideMark/>
          </w:tcPr>
          <w:p w:rsidR="00095026" w:rsidRPr="00095026" w:rsidRDefault="00095026" w:rsidP="00095026">
            <w:pPr>
              <w:spacing w:after="0" w:line="240" w:lineRule="auto"/>
              <w:jc w:val="center"/>
              <w:rPr>
                <w:rFonts w:ascii="Verdana" w:eastAsia="Times New Roman" w:hAnsi="Verdana" w:cs="Times New Roman"/>
                <w:color w:val="000000"/>
                <w:sz w:val="20"/>
                <w:szCs w:val="20"/>
                <w:lang w:eastAsia="es-CO"/>
              </w:rPr>
            </w:pPr>
            <w:r w:rsidRPr="00095026">
              <w:rPr>
                <w:rFonts w:ascii="Verdana" w:eastAsia="Times New Roman" w:hAnsi="Verdana" w:cs="Times New Roman"/>
                <w:color w:val="000000"/>
                <w:sz w:val="20"/>
                <w:szCs w:val="20"/>
                <w:lang w:eastAsia="es-CO"/>
              </w:rPr>
              <w:t>9</w:t>
            </w:r>
          </w:p>
        </w:tc>
        <w:tc>
          <w:tcPr>
            <w:tcW w:w="418" w:type="pct"/>
            <w:tcBorders>
              <w:top w:val="nil"/>
              <w:left w:val="nil"/>
              <w:bottom w:val="single" w:sz="8" w:space="0" w:color="FFFFFF"/>
              <w:right w:val="single" w:sz="8" w:space="0" w:color="FFFFFF"/>
            </w:tcBorders>
            <w:shd w:val="clear" w:color="B8CCE4" w:fill="B8CCE4"/>
            <w:hideMark/>
          </w:tcPr>
          <w:p w:rsidR="00095026" w:rsidRPr="00095026" w:rsidRDefault="00095026" w:rsidP="00095026">
            <w:pPr>
              <w:spacing w:after="0" w:line="240" w:lineRule="auto"/>
              <w:jc w:val="right"/>
              <w:rPr>
                <w:rFonts w:ascii="Verdana" w:eastAsia="Times New Roman" w:hAnsi="Verdana" w:cs="Times New Roman"/>
                <w:color w:val="000000"/>
                <w:sz w:val="20"/>
                <w:szCs w:val="20"/>
                <w:lang w:eastAsia="es-CO"/>
              </w:rPr>
            </w:pPr>
            <w:r w:rsidRPr="00095026">
              <w:rPr>
                <w:rFonts w:ascii="Verdana" w:eastAsia="Times New Roman" w:hAnsi="Verdana" w:cs="Times New Roman"/>
                <w:color w:val="000000"/>
                <w:sz w:val="20"/>
                <w:szCs w:val="20"/>
                <w:lang w:eastAsia="es-CO"/>
              </w:rPr>
              <w:t>110%</w:t>
            </w:r>
          </w:p>
        </w:tc>
      </w:tr>
      <w:tr w:rsidR="00095026" w:rsidRPr="00095026" w:rsidTr="00095026">
        <w:trPr>
          <w:trHeight w:val="780"/>
        </w:trPr>
        <w:tc>
          <w:tcPr>
            <w:tcW w:w="1455" w:type="pct"/>
            <w:vMerge/>
            <w:tcBorders>
              <w:top w:val="single" w:sz="8" w:space="0" w:color="FFFFFF"/>
              <w:left w:val="single" w:sz="8" w:space="0" w:color="FFFFFF"/>
              <w:bottom w:val="single" w:sz="4" w:space="0" w:color="FFFFFF"/>
              <w:right w:val="single" w:sz="8" w:space="0" w:color="FFFFFF"/>
            </w:tcBorders>
            <w:vAlign w:val="center"/>
            <w:hideMark/>
          </w:tcPr>
          <w:p w:rsidR="00095026" w:rsidRPr="00095026" w:rsidRDefault="00095026" w:rsidP="00095026">
            <w:pPr>
              <w:spacing w:after="0" w:line="240" w:lineRule="auto"/>
              <w:jc w:val="center"/>
              <w:rPr>
                <w:rFonts w:ascii="Verdana" w:eastAsia="Times New Roman" w:hAnsi="Verdana" w:cs="Times New Roman"/>
                <w:color w:val="000000"/>
                <w:sz w:val="20"/>
                <w:szCs w:val="20"/>
                <w:lang w:eastAsia="es-CO"/>
              </w:rPr>
            </w:pPr>
          </w:p>
        </w:tc>
        <w:tc>
          <w:tcPr>
            <w:tcW w:w="1141" w:type="pct"/>
            <w:tcBorders>
              <w:top w:val="nil"/>
              <w:left w:val="nil"/>
              <w:bottom w:val="single" w:sz="8" w:space="0" w:color="FFFFFF"/>
              <w:right w:val="single" w:sz="8" w:space="0" w:color="FFFFFF"/>
            </w:tcBorders>
            <w:shd w:val="clear" w:color="DBE5F1" w:fill="DBE5F1"/>
            <w:hideMark/>
          </w:tcPr>
          <w:p w:rsidR="00095026" w:rsidRPr="00095026" w:rsidRDefault="00095026" w:rsidP="00095026">
            <w:pPr>
              <w:spacing w:after="0" w:line="240" w:lineRule="auto"/>
              <w:rPr>
                <w:rFonts w:ascii="Verdana" w:eastAsia="Times New Roman" w:hAnsi="Verdana" w:cs="Times New Roman"/>
                <w:color w:val="000000"/>
                <w:sz w:val="20"/>
                <w:szCs w:val="20"/>
                <w:lang w:eastAsia="es-CO"/>
              </w:rPr>
            </w:pPr>
            <w:r w:rsidRPr="00095026">
              <w:rPr>
                <w:rFonts w:ascii="Verdana" w:eastAsia="Times New Roman" w:hAnsi="Verdana" w:cs="Times New Roman"/>
                <w:color w:val="000000"/>
                <w:sz w:val="20"/>
                <w:szCs w:val="20"/>
                <w:lang w:eastAsia="es-CO"/>
              </w:rPr>
              <w:t>Promover acciones de articulación interinstitucional</w:t>
            </w:r>
          </w:p>
        </w:tc>
        <w:tc>
          <w:tcPr>
            <w:tcW w:w="714" w:type="pct"/>
            <w:tcBorders>
              <w:top w:val="nil"/>
              <w:left w:val="nil"/>
              <w:bottom w:val="single" w:sz="8" w:space="0" w:color="FFFFFF"/>
              <w:right w:val="single" w:sz="8" w:space="0" w:color="FFFFFF"/>
            </w:tcBorders>
            <w:shd w:val="clear" w:color="DBE5F1" w:fill="DBE5F1"/>
            <w:hideMark/>
          </w:tcPr>
          <w:p w:rsidR="00095026" w:rsidRPr="00095026" w:rsidRDefault="00095026" w:rsidP="00095026">
            <w:pPr>
              <w:spacing w:after="0" w:line="240" w:lineRule="auto"/>
              <w:jc w:val="center"/>
              <w:rPr>
                <w:rFonts w:ascii="Verdana" w:eastAsia="Times New Roman" w:hAnsi="Verdana" w:cs="Times New Roman"/>
                <w:color w:val="000000"/>
                <w:sz w:val="20"/>
                <w:szCs w:val="20"/>
                <w:lang w:eastAsia="es-CO"/>
              </w:rPr>
            </w:pPr>
            <w:r w:rsidRPr="00095026">
              <w:rPr>
                <w:rFonts w:ascii="Verdana" w:eastAsia="Times New Roman" w:hAnsi="Verdana" w:cs="Times New Roman"/>
                <w:color w:val="000000"/>
                <w:sz w:val="20"/>
                <w:szCs w:val="20"/>
                <w:lang w:eastAsia="es-CO"/>
              </w:rPr>
              <w:t>2</w:t>
            </w:r>
          </w:p>
        </w:tc>
        <w:tc>
          <w:tcPr>
            <w:tcW w:w="1272" w:type="pct"/>
            <w:tcBorders>
              <w:top w:val="nil"/>
              <w:left w:val="nil"/>
              <w:bottom w:val="single" w:sz="8" w:space="0" w:color="FFFFFF"/>
              <w:right w:val="single" w:sz="8" w:space="0" w:color="FFFFFF"/>
            </w:tcBorders>
            <w:shd w:val="clear" w:color="DBE5F1" w:fill="DBE5F1"/>
            <w:hideMark/>
          </w:tcPr>
          <w:p w:rsidR="00095026" w:rsidRPr="00095026" w:rsidRDefault="00095026" w:rsidP="00095026">
            <w:pPr>
              <w:spacing w:after="0" w:line="240" w:lineRule="auto"/>
              <w:jc w:val="center"/>
              <w:rPr>
                <w:rFonts w:ascii="Verdana" w:eastAsia="Times New Roman" w:hAnsi="Verdana" w:cs="Times New Roman"/>
                <w:color w:val="000000"/>
                <w:sz w:val="20"/>
                <w:szCs w:val="20"/>
                <w:lang w:eastAsia="es-CO"/>
              </w:rPr>
            </w:pPr>
            <w:r w:rsidRPr="00095026">
              <w:rPr>
                <w:rFonts w:ascii="Verdana" w:eastAsia="Times New Roman" w:hAnsi="Verdana" w:cs="Times New Roman"/>
                <w:color w:val="000000"/>
                <w:sz w:val="20"/>
                <w:szCs w:val="20"/>
                <w:lang w:eastAsia="es-CO"/>
              </w:rPr>
              <w:t>2</w:t>
            </w:r>
          </w:p>
        </w:tc>
        <w:tc>
          <w:tcPr>
            <w:tcW w:w="418" w:type="pct"/>
            <w:tcBorders>
              <w:top w:val="nil"/>
              <w:left w:val="nil"/>
              <w:bottom w:val="single" w:sz="8" w:space="0" w:color="FFFFFF"/>
              <w:right w:val="single" w:sz="8" w:space="0" w:color="FFFFFF"/>
            </w:tcBorders>
            <w:shd w:val="clear" w:color="DBE5F1" w:fill="DBE5F1"/>
            <w:hideMark/>
          </w:tcPr>
          <w:p w:rsidR="00095026" w:rsidRPr="00095026" w:rsidRDefault="00095026" w:rsidP="00095026">
            <w:pPr>
              <w:spacing w:after="0" w:line="240" w:lineRule="auto"/>
              <w:jc w:val="right"/>
              <w:rPr>
                <w:rFonts w:ascii="Verdana" w:eastAsia="Times New Roman" w:hAnsi="Verdana" w:cs="Times New Roman"/>
                <w:color w:val="000000"/>
                <w:sz w:val="20"/>
                <w:szCs w:val="20"/>
                <w:lang w:eastAsia="es-CO"/>
              </w:rPr>
            </w:pPr>
            <w:r w:rsidRPr="00095026">
              <w:rPr>
                <w:rFonts w:ascii="Verdana" w:eastAsia="Times New Roman" w:hAnsi="Verdana" w:cs="Times New Roman"/>
                <w:color w:val="000000"/>
                <w:sz w:val="20"/>
                <w:szCs w:val="20"/>
                <w:lang w:eastAsia="es-CO"/>
              </w:rPr>
              <w:t>100%</w:t>
            </w:r>
          </w:p>
        </w:tc>
      </w:tr>
      <w:tr w:rsidR="00095026" w:rsidRPr="00095026" w:rsidTr="00095026">
        <w:trPr>
          <w:trHeight w:val="525"/>
        </w:trPr>
        <w:tc>
          <w:tcPr>
            <w:tcW w:w="1455" w:type="pct"/>
            <w:vMerge/>
            <w:tcBorders>
              <w:top w:val="single" w:sz="8" w:space="0" w:color="FFFFFF"/>
              <w:left w:val="single" w:sz="8" w:space="0" w:color="FFFFFF"/>
              <w:bottom w:val="single" w:sz="4" w:space="0" w:color="FFFFFF"/>
              <w:right w:val="single" w:sz="8" w:space="0" w:color="FFFFFF"/>
            </w:tcBorders>
            <w:vAlign w:val="center"/>
            <w:hideMark/>
          </w:tcPr>
          <w:p w:rsidR="00095026" w:rsidRPr="00095026" w:rsidRDefault="00095026" w:rsidP="00095026">
            <w:pPr>
              <w:spacing w:after="0" w:line="240" w:lineRule="auto"/>
              <w:jc w:val="center"/>
              <w:rPr>
                <w:rFonts w:ascii="Verdana" w:eastAsia="Times New Roman" w:hAnsi="Verdana" w:cs="Times New Roman"/>
                <w:color w:val="000000"/>
                <w:sz w:val="20"/>
                <w:szCs w:val="20"/>
                <w:lang w:eastAsia="es-CO"/>
              </w:rPr>
            </w:pPr>
          </w:p>
        </w:tc>
        <w:tc>
          <w:tcPr>
            <w:tcW w:w="1141" w:type="pct"/>
            <w:tcBorders>
              <w:top w:val="nil"/>
              <w:left w:val="nil"/>
              <w:bottom w:val="single" w:sz="8" w:space="0" w:color="FFFFFF"/>
              <w:right w:val="single" w:sz="8" w:space="0" w:color="FFFFFF"/>
            </w:tcBorders>
            <w:shd w:val="clear" w:color="B8CCE4" w:fill="B8CCE4"/>
            <w:hideMark/>
          </w:tcPr>
          <w:p w:rsidR="00095026" w:rsidRPr="00095026" w:rsidRDefault="00095026" w:rsidP="00095026">
            <w:pPr>
              <w:spacing w:after="0" w:line="240" w:lineRule="auto"/>
              <w:rPr>
                <w:rFonts w:ascii="Verdana" w:eastAsia="Times New Roman" w:hAnsi="Verdana" w:cs="Times New Roman"/>
                <w:color w:val="000000"/>
                <w:sz w:val="20"/>
                <w:szCs w:val="20"/>
                <w:lang w:eastAsia="es-CO"/>
              </w:rPr>
            </w:pPr>
            <w:r w:rsidRPr="00095026">
              <w:rPr>
                <w:rFonts w:ascii="Verdana" w:eastAsia="Times New Roman" w:hAnsi="Verdana" w:cs="Times New Roman"/>
                <w:color w:val="000000"/>
                <w:sz w:val="20"/>
                <w:szCs w:val="20"/>
                <w:lang w:eastAsia="es-CO"/>
              </w:rPr>
              <w:t>Promover la Cultura del Servicio</w:t>
            </w:r>
          </w:p>
        </w:tc>
        <w:tc>
          <w:tcPr>
            <w:tcW w:w="714" w:type="pct"/>
            <w:tcBorders>
              <w:top w:val="nil"/>
              <w:left w:val="nil"/>
              <w:bottom w:val="single" w:sz="8" w:space="0" w:color="FFFFFF"/>
              <w:right w:val="single" w:sz="8" w:space="0" w:color="FFFFFF"/>
            </w:tcBorders>
            <w:shd w:val="clear" w:color="B8CCE4" w:fill="B8CCE4"/>
            <w:hideMark/>
          </w:tcPr>
          <w:p w:rsidR="00095026" w:rsidRPr="00095026" w:rsidRDefault="00095026" w:rsidP="00095026">
            <w:pPr>
              <w:spacing w:after="0" w:line="240" w:lineRule="auto"/>
              <w:jc w:val="center"/>
              <w:rPr>
                <w:rFonts w:ascii="Verdana" w:eastAsia="Times New Roman" w:hAnsi="Verdana" w:cs="Times New Roman"/>
                <w:color w:val="000000"/>
                <w:sz w:val="20"/>
                <w:szCs w:val="20"/>
                <w:lang w:eastAsia="es-CO"/>
              </w:rPr>
            </w:pPr>
            <w:r w:rsidRPr="00095026">
              <w:rPr>
                <w:rFonts w:ascii="Verdana" w:eastAsia="Times New Roman" w:hAnsi="Verdana" w:cs="Times New Roman"/>
                <w:color w:val="000000"/>
                <w:sz w:val="20"/>
                <w:szCs w:val="20"/>
                <w:lang w:eastAsia="es-CO"/>
              </w:rPr>
              <w:t>4</w:t>
            </w:r>
          </w:p>
        </w:tc>
        <w:tc>
          <w:tcPr>
            <w:tcW w:w="1272" w:type="pct"/>
            <w:tcBorders>
              <w:top w:val="nil"/>
              <w:left w:val="nil"/>
              <w:bottom w:val="single" w:sz="8" w:space="0" w:color="FFFFFF"/>
              <w:right w:val="single" w:sz="8" w:space="0" w:color="FFFFFF"/>
            </w:tcBorders>
            <w:shd w:val="clear" w:color="B8CCE4" w:fill="B8CCE4"/>
            <w:hideMark/>
          </w:tcPr>
          <w:p w:rsidR="00095026" w:rsidRPr="00095026" w:rsidRDefault="00095026" w:rsidP="00095026">
            <w:pPr>
              <w:spacing w:after="0" w:line="240" w:lineRule="auto"/>
              <w:jc w:val="center"/>
              <w:rPr>
                <w:rFonts w:ascii="Verdana" w:eastAsia="Times New Roman" w:hAnsi="Verdana" w:cs="Times New Roman"/>
                <w:color w:val="000000"/>
                <w:sz w:val="20"/>
                <w:szCs w:val="20"/>
                <w:lang w:eastAsia="es-CO"/>
              </w:rPr>
            </w:pPr>
            <w:r w:rsidRPr="00095026">
              <w:rPr>
                <w:rFonts w:ascii="Verdana" w:eastAsia="Times New Roman" w:hAnsi="Verdana" w:cs="Times New Roman"/>
                <w:color w:val="000000"/>
                <w:sz w:val="20"/>
                <w:szCs w:val="20"/>
                <w:lang w:eastAsia="es-CO"/>
              </w:rPr>
              <w:t>4</w:t>
            </w:r>
          </w:p>
        </w:tc>
        <w:tc>
          <w:tcPr>
            <w:tcW w:w="418" w:type="pct"/>
            <w:tcBorders>
              <w:top w:val="nil"/>
              <w:left w:val="nil"/>
              <w:bottom w:val="single" w:sz="8" w:space="0" w:color="FFFFFF"/>
              <w:right w:val="single" w:sz="8" w:space="0" w:color="FFFFFF"/>
            </w:tcBorders>
            <w:shd w:val="clear" w:color="B8CCE4" w:fill="B8CCE4"/>
            <w:hideMark/>
          </w:tcPr>
          <w:p w:rsidR="00095026" w:rsidRPr="00095026" w:rsidRDefault="00095026" w:rsidP="00095026">
            <w:pPr>
              <w:spacing w:after="0" w:line="240" w:lineRule="auto"/>
              <w:jc w:val="right"/>
              <w:rPr>
                <w:rFonts w:ascii="Verdana" w:eastAsia="Times New Roman" w:hAnsi="Verdana" w:cs="Times New Roman"/>
                <w:color w:val="000000"/>
                <w:sz w:val="20"/>
                <w:szCs w:val="20"/>
                <w:lang w:eastAsia="es-CO"/>
              </w:rPr>
            </w:pPr>
            <w:r w:rsidRPr="00095026">
              <w:rPr>
                <w:rFonts w:ascii="Verdana" w:eastAsia="Times New Roman" w:hAnsi="Verdana" w:cs="Times New Roman"/>
                <w:color w:val="000000"/>
                <w:sz w:val="20"/>
                <w:szCs w:val="20"/>
                <w:lang w:eastAsia="es-CO"/>
              </w:rPr>
              <w:t>100%</w:t>
            </w:r>
          </w:p>
        </w:tc>
      </w:tr>
      <w:tr w:rsidR="00095026" w:rsidRPr="00095026" w:rsidTr="00095026">
        <w:trPr>
          <w:trHeight w:val="1545"/>
        </w:trPr>
        <w:tc>
          <w:tcPr>
            <w:tcW w:w="1455" w:type="pct"/>
            <w:vMerge/>
            <w:tcBorders>
              <w:top w:val="single" w:sz="8" w:space="0" w:color="FFFFFF"/>
              <w:left w:val="single" w:sz="8" w:space="0" w:color="FFFFFF"/>
              <w:bottom w:val="single" w:sz="4" w:space="0" w:color="FFFFFF"/>
              <w:right w:val="single" w:sz="8" w:space="0" w:color="FFFFFF"/>
            </w:tcBorders>
            <w:vAlign w:val="center"/>
            <w:hideMark/>
          </w:tcPr>
          <w:p w:rsidR="00095026" w:rsidRPr="00095026" w:rsidRDefault="00095026" w:rsidP="00095026">
            <w:pPr>
              <w:spacing w:after="0" w:line="240" w:lineRule="auto"/>
              <w:jc w:val="center"/>
              <w:rPr>
                <w:rFonts w:ascii="Verdana" w:eastAsia="Times New Roman" w:hAnsi="Verdana" w:cs="Times New Roman"/>
                <w:color w:val="000000"/>
                <w:sz w:val="20"/>
                <w:szCs w:val="20"/>
                <w:lang w:eastAsia="es-CO"/>
              </w:rPr>
            </w:pPr>
          </w:p>
        </w:tc>
        <w:tc>
          <w:tcPr>
            <w:tcW w:w="1141" w:type="pct"/>
            <w:tcBorders>
              <w:top w:val="nil"/>
              <w:left w:val="nil"/>
              <w:bottom w:val="single" w:sz="8" w:space="0" w:color="FFFFFF"/>
              <w:right w:val="single" w:sz="8" w:space="0" w:color="FFFFFF"/>
            </w:tcBorders>
            <w:shd w:val="clear" w:color="DBE5F1" w:fill="DBE5F1"/>
            <w:hideMark/>
          </w:tcPr>
          <w:p w:rsidR="00095026" w:rsidRPr="00095026" w:rsidRDefault="00095026" w:rsidP="00095026">
            <w:pPr>
              <w:spacing w:after="0" w:line="240" w:lineRule="auto"/>
              <w:rPr>
                <w:rFonts w:ascii="Verdana" w:eastAsia="Times New Roman" w:hAnsi="Verdana" w:cs="Times New Roman"/>
                <w:color w:val="000000"/>
                <w:sz w:val="20"/>
                <w:szCs w:val="20"/>
                <w:lang w:eastAsia="es-CO"/>
              </w:rPr>
            </w:pPr>
            <w:r w:rsidRPr="00095026">
              <w:rPr>
                <w:rFonts w:ascii="Verdana" w:eastAsia="Times New Roman" w:hAnsi="Verdana" w:cs="Times New Roman"/>
                <w:color w:val="000000"/>
                <w:sz w:val="20"/>
                <w:szCs w:val="20"/>
                <w:lang w:eastAsia="es-CO"/>
              </w:rPr>
              <w:t>Determinar la viabilidad del uso de la aplicación de verificación de compromisos del programa más familias en acción</w:t>
            </w:r>
          </w:p>
        </w:tc>
        <w:tc>
          <w:tcPr>
            <w:tcW w:w="714" w:type="pct"/>
            <w:tcBorders>
              <w:top w:val="nil"/>
              <w:left w:val="nil"/>
              <w:bottom w:val="single" w:sz="8" w:space="0" w:color="FFFFFF"/>
              <w:right w:val="single" w:sz="8" w:space="0" w:color="FFFFFF"/>
            </w:tcBorders>
            <w:shd w:val="clear" w:color="DBE5F1" w:fill="DBE5F1"/>
            <w:hideMark/>
          </w:tcPr>
          <w:p w:rsidR="00095026" w:rsidRPr="00095026" w:rsidRDefault="00095026" w:rsidP="00095026">
            <w:pPr>
              <w:spacing w:after="0" w:line="240" w:lineRule="auto"/>
              <w:jc w:val="center"/>
              <w:rPr>
                <w:rFonts w:ascii="Verdana" w:eastAsia="Times New Roman" w:hAnsi="Verdana" w:cs="Times New Roman"/>
                <w:color w:val="000000"/>
                <w:sz w:val="20"/>
                <w:szCs w:val="20"/>
                <w:lang w:eastAsia="es-CO"/>
              </w:rPr>
            </w:pPr>
            <w:r w:rsidRPr="00095026">
              <w:rPr>
                <w:rFonts w:ascii="Verdana" w:eastAsia="Times New Roman" w:hAnsi="Verdana" w:cs="Times New Roman"/>
                <w:color w:val="000000"/>
                <w:sz w:val="20"/>
                <w:szCs w:val="20"/>
                <w:lang w:eastAsia="es-CO"/>
              </w:rPr>
              <w:t>1</w:t>
            </w:r>
          </w:p>
        </w:tc>
        <w:tc>
          <w:tcPr>
            <w:tcW w:w="1272" w:type="pct"/>
            <w:tcBorders>
              <w:top w:val="nil"/>
              <w:left w:val="nil"/>
              <w:bottom w:val="single" w:sz="8" w:space="0" w:color="FFFFFF"/>
              <w:right w:val="single" w:sz="8" w:space="0" w:color="FFFFFF"/>
            </w:tcBorders>
            <w:shd w:val="clear" w:color="DBE5F1" w:fill="DBE5F1"/>
            <w:hideMark/>
          </w:tcPr>
          <w:p w:rsidR="00095026" w:rsidRPr="00095026" w:rsidRDefault="00095026" w:rsidP="00095026">
            <w:pPr>
              <w:spacing w:after="0" w:line="240" w:lineRule="auto"/>
              <w:jc w:val="center"/>
              <w:rPr>
                <w:rFonts w:ascii="Verdana" w:eastAsia="Times New Roman" w:hAnsi="Verdana" w:cs="Times New Roman"/>
                <w:color w:val="000000"/>
                <w:sz w:val="20"/>
                <w:szCs w:val="20"/>
                <w:lang w:eastAsia="es-CO"/>
              </w:rPr>
            </w:pPr>
            <w:r w:rsidRPr="00095026">
              <w:rPr>
                <w:rFonts w:ascii="Verdana" w:eastAsia="Times New Roman" w:hAnsi="Verdana" w:cs="Times New Roman"/>
                <w:color w:val="000000"/>
                <w:sz w:val="20"/>
                <w:szCs w:val="20"/>
                <w:lang w:eastAsia="es-CO"/>
              </w:rPr>
              <w:t>1</w:t>
            </w:r>
          </w:p>
        </w:tc>
        <w:tc>
          <w:tcPr>
            <w:tcW w:w="418" w:type="pct"/>
            <w:tcBorders>
              <w:top w:val="nil"/>
              <w:left w:val="nil"/>
              <w:bottom w:val="single" w:sz="8" w:space="0" w:color="FFFFFF"/>
              <w:right w:val="single" w:sz="8" w:space="0" w:color="FFFFFF"/>
            </w:tcBorders>
            <w:shd w:val="clear" w:color="DBE5F1" w:fill="DBE5F1"/>
            <w:noWrap/>
            <w:hideMark/>
          </w:tcPr>
          <w:p w:rsidR="00095026" w:rsidRPr="00095026" w:rsidRDefault="00095026" w:rsidP="00095026">
            <w:pPr>
              <w:spacing w:after="0" w:line="240" w:lineRule="auto"/>
              <w:jc w:val="right"/>
              <w:rPr>
                <w:rFonts w:ascii="Calibri" w:eastAsia="Times New Roman" w:hAnsi="Calibri" w:cs="Times New Roman"/>
                <w:color w:val="000000"/>
                <w:lang w:eastAsia="es-CO"/>
              </w:rPr>
            </w:pPr>
            <w:r w:rsidRPr="00095026">
              <w:rPr>
                <w:rFonts w:ascii="Calibri" w:eastAsia="Times New Roman" w:hAnsi="Calibri" w:cs="Times New Roman"/>
                <w:color w:val="000000"/>
                <w:lang w:eastAsia="es-CO"/>
              </w:rPr>
              <w:t>100%</w:t>
            </w:r>
          </w:p>
        </w:tc>
      </w:tr>
      <w:tr w:rsidR="00095026" w:rsidRPr="00095026" w:rsidTr="00095026">
        <w:trPr>
          <w:trHeight w:val="525"/>
        </w:trPr>
        <w:tc>
          <w:tcPr>
            <w:tcW w:w="1455" w:type="pct"/>
            <w:vMerge w:val="restart"/>
            <w:tcBorders>
              <w:top w:val="single" w:sz="8" w:space="0" w:color="FFFFFF"/>
              <w:left w:val="single" w:sz="8" w:space="0" w:color="FFFFFF"/>
              <w:bottom w:val="single" w:sz="4" w:space="0" w:color="FFFFFF"/>
              <w:right w:val="single" w:sz="8" w:space="0" w:color="FFFFFF"/>
            </w:tcBorders>
            <w:shd w:val="clear" w:color="B8CCE4" w:fill="B8CCE4"/>
            <w:vAlign w:val="center"/>
            <w:hideMark/>
          </w:tcPr>
          <w:p w:rsidR="00095026" w:rsidRPr="00095026" w:rsidRDefault="00095026" w:rsidP="00095026">
            <w:pPr>
              <w:spacing w:after="0" w:line="240" w:lineRule="auto"/>
              <w:jc w:val="center"/>
              <w:rPr>
                <w:rFonts w:ascii="Verdana" w:eastAsia="Times New Roman" w:hAnsi="Verdana" w:cs="Times New Roman"/>
                <w:color w:val="000000"/>
                <w:sz w:val="20"/>
                <w:szCs w:val="20"/>
                <w:lang w:eastAsia="es-CO"/>
              </w:rPr>
            </w:pPr>
            <w:r w:rsidRPr="00095026">
              <w:rPr>
                <w:rFonts w:ascii="Verdana" w:eastAsia="Times New Roman" w:hAnsi="Verdana" w:cs="Times New Roman"/>
                <w:color w:val="000000"/>
                <w:sz w:val="20"/>
                <w:szCs w:val="20"/>
                <w:lang w:eastAsia="es-CO"/>
              </w:rPr>
              <w:t>Facilitar la atención oportuna que se refleje en la satisfacción del ciudadano</w:t>
            </w:r>
          </w:p>
        </w:tc>
        <w:tc>
          <w:tcPr>
            <w:tcW w:w="1141" w:type="pct"/>
            <w:tcBorders>
              <w:top w:val="nil"/>
              <w:left w:val="nil"/>
              <w:bottom w:val="single" w:sz="8" w:space="0" w:color="FFFFFF"/>
              <w:right w:val="single" w:sz="8" w:space="0" w:color="FFFFFF"/>
            </w:tcBorders>
            <w:shd w:val="clear" w:color="B8CCE4" w:fill="B8CCE4"/>
            <w:hideMark/>
          </w:tcPr>
          <w:p w:rsidR="00095026" w:rsidRPr="00095026" w:rsidRDefault="00095026" w:rsidP="00095026">
            <w:pPr>
              <w:spacing w:after="0" w:line="240" w:lineRule="auto"/>
              <w:rPr>
                <w:rFonts w:ascii="Verdana" w:eastAsia="Times New Roman" w:hAnsi="Verdana" w:cs="Times New Roman"/>
                <w:color w:val="000000"/>
                <w:sz w:val="20"/>
                <w:szCs w:val="20"/>
                <w:lang w:eastAsia="es-CO"/>
              </w:rPr>
            </w:pPr>
            <w:r w:rsidRPr="00095026">
              <w:rPr>
                <w:rFonts w:ascii="Verdana" w:eastAsia="Times New Roman" w:hAnsi="Verdana" w:cs="Times New Roman"/>
                <w:color w:val="000000"/>
                <w:sz w:val="20"/>
                <w:szCs w:val="20"/>
                <w:lang w:eastAsia="es-CO"/>
              </w:rPr>
              <w:t xml:space="preserve">Realizar la medición de satisfacción </w:t>
            </w:r>
          </w:p>
        </w:tc>
        <w:tc>
          <w:tcPr>
            <w:tcW w:w="714" w:type="pct"/>
            <w:tcBorders>
              <w:top w:val="nil"/>
              <w:left w:val="nil"/>
              <w:bottom w:val="single" w:sz="8" w:space="0" w:color="FFFFFF"/>
              <w:right w:val="single" w:sz="8" w:space="0" w:color="FFFFFF"/>
            </w:tcBorders>
            <w:shd w:val="clear" w:color="B8CCE4" w:fill="B8CCE4"/>
            <w:noWrap/>
            <w:hideMark/>
          </w:tcPr>
          <w:p w:rsidR="00095026" w:rsidRPr="00095026" w:rsidRDefault="00095026" w:rsidP="00095026">
            <w:pPr>
              <w:spacing w:after="0" w:line="240" w:lineRule="auto"/>
              <w:jc w:val="center"/>
              <w:rPr>
                <w:rFonts w:ascii="Calibri" w:eastAsia="Times New Roman" w:hAnsi="Calibri" w:cs="Times New Roman"/>
                <w:color w:val="000000"/>
                <w:sz w:val="20"/>
                <w:szCs w:val="20"/>
                <w:lang w:eastAsia="es-CO"/>
              </w:rPr>
            </w:pPr>
            <w:r w:rsidRPr="00095026">
              <w:rPr>
                <w:rFonts w:ascii="Calibri" w:eastAsia="Times New Roman" w:hAnsi="Calibri" w:cs="Times New Roman"/>
                <w:color w:val="000000"/>
                <w:sz w:val="20"/>
                <w:szCs w:val="20"/>
                <w:lang w:eastAsia="es-CO"/>
              </w:rPr>
              <w:t>2</w:t>
            </w:r>
          </w:p>
        </w:tc>
        <w:tc>
          <w:tcPr>
            <w:tcW w:w="1272" w:type="pct"/>
            <w:tcBorders>
              <w:top w:val="nil"/>
              <w:left w:val="nil"/>
              <w:bottom w:val="single" w:sz="8" w:space="0" w:color="FFFFFF"/>
              <w:right w:val="single" w:sz="8" w:space="0" w:color="FFFFFF"/>
            </w:tcBorders>
            <w:shd w:val="clear" w:color="B8CCE4" w:fill="B8CCE4"/>
            <w:noWrap/>
            <w:hideMark/>
          </w:tcPr>
          <w:p w:rsidR="00095026" w:rsidRPr="00095026" w:rsidRDefault="00095026" w:rsidP="00095026">
            <w:pPr>
              <w:spacing w:after="0" w:line="240" w:lineRule="auto"/>
              <w:jc w:val="center"/>
              <w:rPr>
                <w:rFonts w:ascii="Calibri" w:eastAsia="Times New Roman" w:hAnsi="Calibri" w:cs="Times New Roman"/>
                <w:color w:val="000000"/>
                <w:sz w:val="20"/>
                <w:szCs w:val="20"/>
                <w:lang w:eastAsia="es-CO"/>
              </w:rPr>
            </w:pPr>
            <w:r w:rsidRPr="00095026">
              <w:rPr>
                <w:rFonts w:ascii="Calibri" w:eastAsia="Times New Roman" w:hAnsi="Calibri" w:cs="Times New Roman"/>
                <w:color w:val="000000"/>
                <w:sz w:val="20"/>
                <w:szCs w:val="20"/>
                <w:lang w:eastAsia="es-CO"/>
              </w:rPr>
              <w:t>2</w:t>
            </w:r>
          </w:p>
        </w:tc>
        <w:tc>
          <w:tcPr>
            <w:tcW w:w="418" w:type="pct"/>
            <w:tcBorders>
              <w:top w:val="nil"/>
              <w:left w:val="nil"/>
              <w:bottom w:val="single" w:sz="8" w:space="0" w:color="FFFFFF"/>
              <w:right w:val="single" w:sz="8" w:space="0" w:color="FFFFFF"/>
            </w:tcBorders>
            <w:shd w:val="clear" w:color="B8CCE4" w:fill="B8CCE4"/>
            <w:noWrap/>
            <w:hideMark/>
          </w:tcPr>
          <w:p w:rsidR="00095026" w:rsidRPr="00095026" w:rsidRDefault="00095026" w:rsidP="00095026">
            <w:pPr>
              <w:spacing w:after="0" w:line="240" w:lineRule="auto"/>
              <w:jc w:val="right"/>
              <w:rPr>
                <w:rFonts w:ascii="Calibri" w:eastAsia="Times New Roman" w:hAnsi="Calibri" w:cs="Times New Roman"/>
                <w:color w:val="000000"/>
                <w:lang w:eastAsia="es-CO"/>
              </w:rPr>
            </w:pPr>
            <w:r w:rsidRPr="00095026">
              <w:rPr>
                <w:rFonts w:ascii="Calibri" w:eastAsia="Times New Roman" w:hAnsi="Calibri" w:cs="Times New Roman"/>
                <w:color w:val="000000"/>
                <w:lang w:eastAsia="es-CO"/>
              </w:rPr>
              <w:t>100%</w:t>
            </w:r>
          </w:p>
        </w:tc>
      </w:tr>
      <w:tr w:rsidR="00095026" w:rsidRPr="00095026" w:rsidTr="00095026">
        <w:trPr>
          <w:trHeight w:val="1035"/>
        </w:trPr>
        <w:tc>
          <w:tcPr>
            <w:tcW w:w="1455" w:type="pct"/>
            <w:vMerge/>
            <w:tcBorders>
              <w:top w:val="single" w:sz="8" w:space="0" w:color="FFFFFF"/>
              <w:left w:val="single" w:sz="8" w:space="0" w:color="FFFFFF"/>
              <w:bottom w:val="single" w:sz="4" w:space="0" w:color="FFFFFF"/>
              <w:right w:val="single" w:sz="8" w:space="0" w:color="FFFFFF"/>
            </w:tcBorders>
            <w:vAlign w:val="center"/>
            <w:hideMark/>
          </w:tcPr>
          <w:p w:rsidR="00095026" w:rsidRPr="00095026" w:rsidRDefault="00095026" w:rsidP="00095026">
            <w:pPr>
              <w:spacing w:after="0" w:line="240" w:lineRule="auto"/>
              <w:jc w:val="center"/>
              <w:rPr>
                <w:rFonts w:ascii="Verdana" w:eastAsia="Times New Roman" w:hAnsi="Verdana" w:cs="Times New Roman"/>
                <w:color w:val="000000"/>
                <w:sz w:val="20"/>
                <w:szCs w:val="20"/>
                <w:lang w:eastAsia="es-CO"/>
              </w:rPr>
            </w:pPr>
          </w:p>
        </w:tc>
        <w:tc>
          <w:tcPr>
            <w:tcW w:w="1141" w:type="pct"/>
            <w:tcBorders>
              <w:top w:val="nil"/>
              <w:left w:val="nil"/>
              <w:bottom w:val="single" w:sz="8" w:space="0" w:color="FFFFFF"/>
              <w:right w:val="single" w:sz="8" w:space="0" w:color="FFFFFF"/>
            </w:tcBorders>
            <w:shd w:val="clear" w:color="DBE5F1" w:fill="DBE5F1"/>
            <w:hideMark/>
          </w:tcPr>
          <w:p w:rsidR="00095026" w:rsidRPr="00095026" w:rsidRDefault="00095026" w:rsidP="00095026">
            <w:pPr>
              <w:spacing w:after="0" w:line="240" w:lineRule="auto"/>
              <w:rPr>
                <w:rFonts w:ascii="Verdana" w:eastAsia="Times New Roman" w:hAnsi="Verdana" w:cs="Times New Roman"/>
                <w:color w:val="000000"/>
                <w:sz w:val="20"/>
                <w:szCs w:val="20"/>
                <w:lang w:eastAsia="es-CO"/>
              </w:rPr>
            </w:pPr>
            <w:r w:rsidRPr="00095026">
              <w:rPr>
                <w:rFonts w:ascii="Verdana" w:eastAsia="Times New Roman" w:hAnsi="Verdana" w:cs="Times New Roman"/>
                <w:color w:val="000000"/>
                <w:sz w:val="20"/>
                <w:szCs w:val="20"/>
                <w:lang w:eastAsia="es-CO"/>
              </w:rPr>
              <w:t xml:space="preserve">Realizar informes de oportunidad y calidad en la gestión de peticiones </w:t>
            </w:r>
          </w:p>
        </w:tc>
        <w:tc>
          <w:tcPr>
            <w:tcW w:w="714" w:type="pct"/>
            <w:tcBorders>
              <w:top w:val="nil"/>
              <w:left w:val="nil"/>
              <w:bottom w:val="single" w:sz="8" w:space="0" w:color="FFFFFF"/>
              <w:right w:val="single" w:sz="8" w:space="0" w:color="FFFFFF"/>
            </w:tcBorders>
            <w:shd w:val="clear" w:color="DBE5F1" w:fill="DBE5F1"/>
            <w:noWrap/>
            <w:hideMark/>
          </w:tcPr>
          <w:p w:rsidR="00095026" w:rsidRPr="00095026" w:rsidRDefault="00095026" w:rsidP="00095026">
            <w:pPr>
              <w:spacing w:after="0" w:line="240" w:lineRule="auto"/>
              <w:jc w:val="center"/>
              <w:rPr>
                <w:rFonts w:ascii="Calibri" w:eastAsia="Times New Roman" w:hAnsi="Calibri" w:cs="Times New Roman"/>
                <w:color w:val="000000"/>
                <w:sz w:val="20"/>
                <w:szCs w:val="20"/>
                <w:lang w:eastAsia="es-CO"/>
              </w:rPr>
            </w:pPr>
            <w:r w:rsidRPr="00095026">
              <w:rPr>
                <w:rFonts w:ascii="Calibri" w:eastAsia="Times New Roman" w:hAnsi="Calibri" w:cs="Times New Roman"/>
                <w:color w:val="000000"/>
                <w:sz w:val="20"/>
                <w:szCs w:val="20"/>
                <w:lang w:eastAsia="es-CO"/>
              </w:rPr>
              <w:t>2</w:t>
            </w:r>
          </w:p>
        </w:tc>
        <w:tc>
          <w:tcPr>
            <w:tcW w:w="1272" w:type="pct"/>
            <w:tcBorders>
              <w:top w:val="nil"/>
              <w:left w:val="nil"/>
              <w:bottom w:val="single" w:sz="8" w:space="0" w:color="FFFFFF"/>
              <w:right w:val="single" w:sz="8" w:space="0" w:color="FFFFFF"/>
            </w:tcBorders>
            <w:shd w:val="clear" w:color="DBE5F1" w:fill="DBE5F1"/>
            <w:noWrap/>
            <w:hideMark/>
          </w:tcPr>
          <w:p w:rsidR="00095026" w:rsidRPr="00095026" w:rsidRDefault="00095026" w:rsidP="00095026">
            <w:pPr>
              <w:spacing w:after="0" w:line="240" w:lineRule="auto"/>
              <w:jc w:val="center"/>
              <w:rPr>
                <w:rFonts w:ascii="Calibri" w:eastAsia="Times New Roman" w:hAnsi="Calibri" w:cs="Times New Roman"/>
                <w:color w:val="000000"/>
                <w:sz w:val="20"/>
                <w:szCs w:val="20"/>
                <w:lang w:eastAsia="es-CO"/>
              </w:rPr>
            </w:pPr>
            <w:r w:rsidRPr="00095026">
              <w:rPr>
                <w:rFonts w:ascii="Calibri" w:eastAsia="Times New Roman" w:hAnsi="Calibri" w:cs="Times New Roman"/>
                <w:color w:val="000000"/>
                <w:sz w:val="20"/>
                <w:szCs w:val="20"/>
                <w:lang w:eastAsia="es-CO"/>
              </w:rPr>
              <w:t>2</w:t>
            </w:r>
          </w:p>
        </w:tc>
        <w:tc>
          <w:tcPr>
            <w:tcW w:w="418" w:type="pct"/>
            <w:tcBorders>
              <w:top w:val="nil"/>
              <w:left w:val="nil"/>
              <w:bottom w:val="single" w:sz="8" w:space="0" w:color="FFFFFF"/>
              <w:right w:val="single" w:sz="8" w:space="0" w:color="FFFFFF"/>
            </w:tcBorders>
            <w:shd w:val="clear" w:color="DBE5F1" w:fill="DBE5F1"/>
            <w:noWrap/>
            <w:hideMark/>
          </w:tcPr>
          <w:p w:rsidR="00095026" w:rsidRPr="00095026" w:rsidRDefault="00095026" w:rsidP="00095026">
            <w:pPr>
              <w:spacing w:after="0" w:line="240" w:lineRule="auto"/>
              <w:jc w:val="right"/>
              <w:rPr>
                <w:rFonts w:ascii="Calibri" w:eastAsia="Times New Roman" w:hAnsi="Calibri" w:cs="Times New Roman"/>
                <w:color w:val="000000"/>
                <w:lang w:eastAsia="es-CO"/>
              </w:rPr>
            </w:pPr>
            <w:r w:rsidRPr="00095026">
              <w:rPr>
                <w:rFonts w:ascii="Calibri" w:eastAsia="Times New Roman" w:hAnsi="Calibri" w:cs="Times New Roman"/>
                <w:color w:val="000000"/>
                <w:lang w:eastAsia="es-CO"/>
              </w:rPr>
              <w:t>100%</w:t>
            </w:r>
          </w:p>
        </w:tc>
      </w:tr>
      <w:tr w:rsidR="00095026" w:rsidRPr="00095026" w:rsidTr="00095026">
        <w:trPr>
          <w:trHeight w:val="780"/>
        </w:trPr>
        <w:tc>
          <w:tcPr>
            <w:tcW w:w="1455" w:type="pct"/>
            <w:vMerge w:val="restart"/>
            <w:tcBorders>
              <w:top w:val="single" w:sz="8" w:space="0" w:color="FFFFFF"/>
              <w:left w:val="single" w:sz="8" w:space="0" w:color="FFFFFF"/>
              <w:bottom w:val="single" w:sz="4" w:space="0" w:color="FFFFFF"/>
              <w:right w:val="single" w:sz="8" w:space="0" w:color="FFFFFF"/>
            </w:tcBorders>
            <w:shd w:val="clear" w:color="B8CCE4" w:fill="B8CCE4"/>
            <w:vAlign w:val="center"/>
            <w:hideMark/>
          </w:tcPr>
          <w:p w:rsidR="00095026" w:rsidRPr="00095026" w:rsidRDefault="00095026" w:rsidP="00095026">
            <w:pPr>
              <w:spacing w:after="0" w:line="240" w:lineRule="auto"/>
              <w:jc w:val="center"/>
              <w:rPr>
                <w:rFonts w:ascii="Verdana" w:eastAsia="Times New Roman" w:hAnsi="Verdana" w:cs="Times New Roman"/>
                <w:color w:val="000000"/>
                <w:sz w:val="20"/>
                <w:szCs w:val="20"/>
                <w:lang w:eastAsia="es-CO"/>
              </w:rPr>
            </w:pPr>
            <w:r w:rsidRPr="00095026">
              <w:rPr>
                <w:rFonts w:ascii="Verdana" w:eastAsia="Times New Roman" w:hAnsi="Verdana" w:cs="Times New Roman"/>
                <w:color w:val="000000"/>
                <w:sz w:val="20"/>
                <w:szCs w:val="20"/>
                <w:lang w:eastAsia="es-CO"/>
              </w:rPr>
              <w:lastRenderedPageBreak/>
              <w:t>Construir una relación dinámica con la población pobre y vulnerable, donde el ciudadano sea parte de la solución</w:t>
            </w:r>
          </w:p>
        </w:tc>
        <w:tc>
          <w:tcPr>
            <w:tcW w:w="1141" w:type="pct"/>
            <w:tcBorders>
              <w:top w:val="nil"/>
              <w:left w:val="nil"/>
              <w:bottom w:val="single" w:sz="8" w:space="0" w:color="FFFFFF"/>
              <w:right w:val="single" w:sz="8" w:space="0" w:color="FFFFFF"/>
            </w:tcBorders>
            <w:shd w:val="clear" w:color="B8CCE4" w:fill="B8CCE4"/>
            <w:hideMark/>
          </w:tcPr>
          <w:p w:rsidR="00095026" w:rsidRPr="00095026" w:rsidRDefault="00095026" w:rsidP="00095026">
            <w:pPr>
              <w:spacing w:after="0" w:line="240" w:lineRule="auto"/>
              <w:rPr>
                <w:rFonts w:ascii="Verdana" w:eastAsia="Times New Roman" w:hAnsi="Verdana" w:cs="Times New Roman"/>
                <w:color w:val="000000"/>
                <w:sz w:val="20"/>
                <w:szCs w:val="20"/>
                <w:lang w:eastAsia="es-CO"/>
              </w:rPr>
            </w:pPr>
            <w:r w:rsidRPr="00095026">
              <w:rPr>
                <w:rFonts w:ascii="Verdana" w:eastAsia="Times New Roman" w:hAnsi="Verdana" w:cs="Times New Roman"/>
                <w:color w:val="000000"/>
                <w:sz w:val="20"/>
                <w:szCs w:val="20"/>
                <w:lang w:eastAsia="es-CO"/>
              </w:rPr>
              <w:t>Realizar 4 mesas de participación ciudadana</w:t>
            </w:r>
          </w:p>
        </w:tc>
        <w:tc>
          <w:tcPr>
            <w:tcW w:w="714" w:type="pct"/>
            <w:tcBorders>
              <w:top w:val="nil"/>
              <w:left w:val="nil"/>
              <w:bottom w:val="single" w:sz="8" w:space="0" w:color="FFFFFF"/>
              <w:right w:val="single" w:sz="8" w:space="0" w:color="FFFFFF"/>
            </w:tcBorders>
            <w:shd w:val="clear" w:color="B8CCE4" w:fill="B8CCE4"/>
            <w:noWrap/>
            <w:hideMark/>
          </w:tcPr>
          <w:p w:rsidR="00095026" w:rsidRPr="00095026" w:rsidRDefault="00095026" w:rsidP="00095026">
            <w:pPr>
              <w:spacing w:after="0" w:line="240" w:lineRule="auto"/>
              <w:jc w:val="center"/>
              <w:rPr>
                <w:rFonts w:ascii="Calibri" w:eastAsia="Times New Roman" w:hAnsi="Calibri" w:cs="Times New Roman"/>
                <w:color w:val="000000"/>
                <w:sz w:val="20"/>
                <w:szCs w:val="20"/>
                <w:lang w:eastAsia="es-CO"/>
              </w:rPr>
            </w:pPr>
            <w:r w:rsidRPr="00095026">
              <w:rPr>
                <w:rFonts w:ascii="Calibri" w:eastAsia="Times New Roman" w:hAnsi="Calibri" w:cs="Times New Roman"/>
                <w:color w:val="000000"/>
                <w:sz w:val="20"/>
                <w:szCs w:val="20"/>
                <w:lang w:eastAsia="es-CO"/>
              </w:rPr>
              <w:t>4</w:t>
            </w:r>
          </w:p>
        </w:tc>
        <w:tc>
          <w:tcPr>
            <w:tcW w:w="1272" w:type="pct"/>
            <w:tcBorders>
              <w:top w:val="nil"/>
              <w:left w:val="nil"/>
              <w:bottom w:val="single" w:sz="8" w:space="0" w:color="FFFFFF"/>
              <w:right w:val="single" w:sz="8" w:space="0" w:color="FFFFFF"/>
            </w:tcBorders>
            <w:shd w:val="clear" w:color="B8CCE4" w:fill="B8CCE4"/>
            <w:noWrap/>
            <w:hideMark/>
          </w:tcPr>
          <w:p w:rsidR="00095026" w:rsidRPr="00095026" w:rsidRDefault="00095026" w:rsidP="00095026">
            <w:pPr>
              <w:spacing w:after="0" w:line="240" w:lineRule="auto"/>
              <w:jc w:val="center"/>
              <w:rPr>
                <w:rFonts w:ascii="Calibri" w:eastAsia="Times New Roman" w:hAnsi="Calibri" w:cs="Times New Roman"/>
                <w:color w:val="000000"/>
                <w:sz w:val="20"/>
                <w:szCs w:val="20"/>
                <w:lang w:eastAsia="es-CO"/>
              </w:rPr>
            </w:pPr>
            <w:r w:rsidRPr="00095026">
              <w:rPr>
                <w:rFonts w:ascii="Calibri" w:eastAsia="Times New Roman" w:hAnsi="Calibri" w:cs="Times New Roman"/>
                <w:color w:val="000000"/>
                <w:sz w:val="20"/>
                <w:szCs w:val="20"/>
                <w:lang w:eastAsia="es-CO"/>
              </w:rPr>
              <w:t>6</w:t>
            </w:r>
          </w:p>
        </w:tc>
        <w:tc>
          <w:tcPr>
            <w:tcW w:w="418" w:type="pct"/>
            <w:tcBorders>
              <w:top w:val="nil"/>
              <w:left w:val="nil"/>
              <w:bottom w:val="single" w:sz="8" w:space="0" w:color="FFFFFF"/>
              <w:right w:val="single" w:sz="8" w:space="0" w:color="FFFFFF"/>
            </w:tcBorders>
            <w:shd w:val="clear" w:color="B8CCE4" w:fill="B8CCE4"/>
            <w:noWrap/>
            <w:hideMark/>
          </w:tcPr>
          <w:p w:rsidR="00095026" w:rsidRPr="00095026" w:rsidRDefault="00095026" w:rsidP="00095026">
            <w:pPr>
              <w:spacing w:after="0" w:line="240" w:lineRule="auto"/>
              <w:jc w:val="right"/>
              <w:rPr>
                <w:rFonts w:ascii="Calibri" w:eastAsia="Times New Roman" w:hAnsi="Calibri" w:cs="Times New Roman"/>
                <w:color w:val="000000"/>
                <w:lang w:eastAsia="es-CO"/>
              </w:rPr>
            </w:pPr>
            <w:r w:rsidRPr="00095026">
              <w:rPr>
                <w:rFonts w:ascii="Calibri" w:eastAsia="Times New Roman" w:hAnsi="Calibri" w:cs="Times New Roman"/>
                <w:color w:val="000000"/>
                <w:lang w:eastAsia="es-CO"/>
              </w:rPr>
              <w:t>120%</w:t>
            </w:r>
          </w:p>
        </w:tc>
      </w:tr>
      <w:tr w:rsidR="00095026" w:rsidRPr="00095026" w:rsidTr="00095026">
        <w:trPr>
          <w:trHeight w:val="2055"/>
        </w:trPr>
        <w:tc>
          <w:tcPr>
            <w:tcW w:w="1455" w:type="pct"/>
            <w:vMerge/>
            <w:tcBorders>
              <w:top w:val="single" w:sz="8" w:space="0" w:color="FFFFFF"/>
              <w:left w:val="single" w:sz="8" w:space="0" w:color="FFFFFF"/>
              <w:bottom w:val="single" w:sz="4" w:space="0" w:color="FFFFFF"/>
              <w:right w:val="single" w:sz="8" w:space="0" w:color="FFFFFF"/>
            </w:tcBorders>
            <w:vAlign w:val="center"/>
            <w:hideMark/>
          </w:tcPr>
          <w:p w:rsidR="00095026" w:rsidRPr="00095026" w:rsidRDefault="00095026" w:rsidP="00095026">
            <w:pPr>
              <w:spacing w:after="0" w:line="240" w:lineRule="auto"/>
              <w:rPr>
                <w:rFonts w:ascii="Verdana" w:eastAsia="Times New Roman" w:hAnsi="Verdana" w:cs="Times New Roman"/>
                <w:color w:val="000000"/>
                <w:sz w:val="20"/>
                <w:szCs w:val="20"/>
                <w:lang w:eastAsia="es-CO"/>
              </w:rPr>
            </w:pPr>
          </w:p>
        </w:tc>
        <w:tc>
          <w:tcPr>
            <w:tcW w:w="1141" w:type="pct"/>
            <w:tcBorders>
              <w:top w:val="nil"/>
              <w:left w:val="nil"/>
              <w:bottom w:val="single" w:sz="8" w:space="0" w:color="FFFFFF"/>
              <w:right w:val="single" w:sz="8" w:space="0" w:color="FFFFFF"/>
            </w:tcBorders>
            <w:shd w:val="clear" w:color="DBE5F1" w:fill="DBE5F1"/>
            <w:hideMark/>
          </w:tcPr>
          <w:p w:rsidR="00095026" w:rsidRPr="00095026" w:rsidRDefault="00095026" w:rsidP="00095026">
            <w:pPr>
              <w:spacing w:after="0" w:line="240" w:lineRule="auto"/>
              <w:rPr>
                <w:rFonts w:ascii="Verdana" w:eastAsia="Times New Roman" w:hAnsi="Verdana" w:cs="Times New Roman"/>
                <w:color w:val="000000"/>
                <w:sz w:val="20"/>
                <w:szCs w:val="20"/>
                <w:lang w:eastAsia="es-CO"/>
              </w:rPr>
            </w:pPr>
            <w:r w:rsidRPr="00095026">
              <w:rPr>
                <w:rFonts w:ascii="Verdana" w:eastAsia="Times New Roman" w:hAnsi="Verdana" w:cs="Times New Roman"/>
                <w:color w:val="000000"/>
                <w:sz w:val="20"/>
                <w:szCs w:val="20"/>
                <w:lang w:eastAsia="es-CO"/>
              </w:rPr>
              <w:t xml:space="preserve">Realizar una investigación cualitativa de innovación social en la Altillanura para dar cumplimiento a lo establecido en el  Conpes 3797 </w:t>
            </w:r>
          </w:p>
        </w:tc>
        <w:tc>
          <w:tcPr>
            <w:tcW w:w="714" w:type="pct"/>
            <w:tcBorders>
              <w:top w:val="nil"/>
              <w:left w:val="nil"/>
              <w:bottom w:val="single" w:sz="8" w:space="0" w:color="FFFFFF"/>
              <w:right w:val="single" w:sz="8" w:space="0" w:color="FFFFFF"/>
            </w:tcBorders>
            <w:shd w:val="clear" w:color="DBE5F1" w:fill="DBE5F1"/>
            <w:noWrap/>
            <w:hideMark/>
          </w:tcPr>
          <w:p w:rsidR="00095026" w:rsidRPr="00095026" w:rsidRDefault="00095026" w:rsidP="00095026">
            <w:pPr>
              <w:spacing w:after="0" w:line="240" w:lineRule="auto"/>
              <w:jc w:val="center"/>
              <w:rPr>
                <w:rFonts w:ascii="Calibri" w:eastAsia="Times New Roman" w:hAnsi="Calibri" w:cs="Times New Roman"/>
                <w:color w:val="000000"/>
                <w:sz w:val="20"/>
                <w:szCs w:val="20"/>
                <w:lang w:eastAsia="es-CO"/>
              </w:rPr>
            </w:pPr>
            <w:r w:rsidRPr="00095026">
              <w:rPr>
                <w:rFonts w:ascii="Calibri" w:eastAsia="Times New Roman" w:hAnsi="Calibri" w:cs="Times New Roman"/>
                <w:color w:val="000000"/>
                <w:sz w:val="20"/>
                <w:szCs w:val="20"/>
                <w:lang w:eastAsia="es-CO"/>
              </w:rPr>
              <w:t>1</w:t>
            </w:r>
          </w:p>
        </w:tc>
        <w:tc>
          <w:tcPr>
            <w:tcW w:w="1272" w:type="pct"/>
            <w:tcBorders>
              <w:top w:val="nil"/>
              <w:left w:val="nil"/>
              <w:bottom w:val="single" w:sz="8" w:space="0" w:color="FFFFFF"/>
              <w:right w:val="single" w:sz="8" w:space="0" w:color="FFFFFF"/>
            </w:tcBorders>
            <w:shd w:val="clear" w:color="DBE5F1" w:fill="DBE5F1"/>
            <w:noWrap/>
            <w:hideMark/>
          </w:tcPr>
          <w:p w:rsidR="00095026" w:rsidRPr="00095026" w:rsidRDefault="00095026" w:rsidP="00095026">
            <w:pPr>
              <w:spacing w:after="0" w:line="240" w:lineRule="auto"/>
              <w:jc w:val="center"/>
              <w:rPr>
                <w:rFonts w:ascii="Calibri" w:eastAsia="Times New Roman" w:hAnsi="Calibri" w:cs="Times New Roman"/>
                <w:color w:val="000000"/>
                <w:sz w:val="20"/>
                <w:szCs w:val="20"/>
                <w:lang w:eastAsia="es-CO"/>
              </w:rPr>
            </w:pPr>
            <w:r w:rsidRPr="00095026">
              <w:rPr>
                <w:rFonts w:ascii="Calibri" w:eastAsia="Times New Roman" w:hAnsi="Calibri" w:cs="Times New Roman"/>
                <w:color w:val="000000"/>
                <w:sz w:val="20"/>
                <w:szCs w:val="20"/>
                <w:lang w:eastAsia="es-CO"/>
              </w:rPr>
              <w:t>1</w:t>
            </w:r>
          </w:p>
        </w:tc>
        <w:tc>
          <w:tcPr>
            <w:tcW w:w="418" w:type="pct"/>
            <w:tcBorders>
              <w:top w:val="nil"/>
              <w:left w:val="nil"/>
              <w:bottom w:val="single" w:sz="8" w:space="0" w:color="FFFFFF"/>
              <w:right w:val="single" w:sz="8" w:space="0" w:color="FFFFFF"/>
            </w:tcBorders>
            <w:shd w:val="clear" w:color="DBE5F1" w:fill="DBE5F1"/>
            <w:noWrap/>
            <w:hideMark/>
          </w:tcPr>
          <w:p w:rsidR="00095026" w:rsidRPr="00095026" w:rsidRDefault="00095026" w:rsidP="00095026">
            <w:pPr>
              <w:spacing w:after="0" w:line="240" w:lineRule="auto"/>
              <w:jc w:val="right"/>
              <w:rPr>
                <w:rFonts w:ascii="Calibri" w:eastAsia="Times New Roman" w:hAnsi="Calibri" w:cs="Times New Roman"/>
                <w:color w:val="000000"/>
                <w:lang w:eastAsia="es-CO"/>
              </w:rPr>
            </w:pPr>
            <w:r w:rsidRPr="00095026">
              <w:rPr>
                <w:rFonts w:ascii="Calibri" w:eastAsia="Times New Roman" w:hAnsi="Calibri" w:cs="Times New Roman"/>
                <w:color w:val="000000"/>
                <w:lang w:eastAsia="es-CO"/>
              </w:rPr>
              <w:t>100%</w:t>
            </w:r>
          </w:p>
        </w:tc>
      </w:tr>
    </w:tbl>
    <w:p w:rsidR="00095026" w:rsidRDefault="00095026" w:rsidP="007060A3">
      <w:pPr>
        <w:spacing w:after="0" w:line="240" w:lineRule="auto"/>
        <w:rPr>
          <w:rFonts w:ascii="Verdana" w:hAnsi="Verdana"/>
          <w:b/>
          <w:color w:val="4F81BD" w:themeColor="accent1"/>
          <w:sz w:val="24"/>
          <w:szCs w:val="24"/>
        </w:rPr>
      </w:pPr>
    </w:p>
    <w:p w:rsidR="007060A3" w:rsidRPr="004356C7" w:rsidRDefault="007060A3" w:rsidP="007060A3">
      <w:pPr>
        <w:spacing w:after="0" w:line="240" w:lineRule="auto"/>
        <w:rPr>
          <w:rFonts w:ascii="Verdana" w:hAnsi="Verdana"/>
          <w:b/>
          <w:color w:val="4F81BD" w:themeColor="accent1"/>
          <w:sz w:val="24"/>
          <w:szCs w:val="24"/>
        </w:rPr>
      </w:pPr>
      <w:r w:rsidRPr="004356C7">
        <w:rPr>
          <w:rFonts w:ascii="Verdana" w:hAnsi="Verdana"/>
          <w:b/>
          <w:color w:val="4F81BD" w:themeColor="accent1"/>
          <w:sz w:val="24"/>
          <w:szCs w:val="24"/>
        </w:rPr>
        <w:t xml:space="preserve">Logros </w:t>
      </w:r>
    </w:p>
    <w:p w:rsidR="007060A3" w:rsidRDefault="007060A3" w:rsidP="007060A3">
      <w:pPr>
        <w:spacing w:after="0" w:line="240" w:lineRule="auto"/>
        <w:rPr>
          <w:rFonts w:ascii="Verdana" w:hAnsi="Verdana"/>
          <w:b/>
          <w:sz w:val="24"/>
          <w:szCs w:val="24"/>
        </w:rPr>
      </w:pPr>
    </w:p>
    <w:p w:rsidR="007060A3" w:rsidRDefault="007060A3" w:rsidP="007060A3">
      <w:pPr>
        <w:spacing w:after="0" w:line="240" w:lineRule="auto"/>
        <w:rPr>
          <w:rFonts w:ascii="Verdana" w:hAnsi="Verdana"/>
          <w:b/>
          <w:color w:val="4F81BD" w:themeColor="accent1"/>
          <w:sz w:val="24"/>
          <w:szCs w:val="24"/>
        </w:rPr>
      </w:pPr>
      <w:r w:rsidRPr="004356C7">
        <w:rPr>
          <w:rFonts w:ascii="Verdana" w:hAnsi="Verdana"/>
          <w:b/>
          <w:color w:val="4F81BD" w:themeColor="accent1"/>
          <w:sz w:val="24"/>
          <w:szCs w:val="24"/>
        </w:rPr>
        <w:t xml:space="preserve"> Atención multicanal</w:t>
      </w:r>
    </w:p>
    <w:p w:rsidR="007060A3" w:rsidRPr="004356C7" w:rsidRDefault="007060A3" w:rsidP="007060A3">
      <w:pPr>
        <w:spacing w:after="0" w:line="240" w:lineRule="auto"/>
        <w:rPr>
          <w:rFonts w:ascii="Verdana" w:hAnsi="Verdana"/>
          <w:b/>
          <w:color w:val="4F81BD" w:themeColor="accent1"/>
          <w:sz w:val="24"/>
          <w:szCs w:val="24"/>
        </w:rPr>
      </w:pPr>
    </w:p>
    <w:p w:rsidR="007060A3" w:rsidRPr="00F01398" w:rsidRDefault="007060A3" w:rsidP="00FF784D">
      <w:pPr>
        <w:pStyle w:val="Prrafodelista"/>
        <w:numPr>
          <w:ilvl w:val="0"/>
          <w:numId w:val="25"/>
        </w:numPr>
        <w:spacing w:after="0" w:line="240" w:lineRule="auto"/>
        <w:ind w:left="709" w:hanging="283"/>
        <w:jc w:val="both"/>
        <w:rPr>
          <w:rFonts w:ascii="Verdana" w:hAnsi="Verdana"/>
          <w:i/>
          <w:sz w:val="24"/>
          <w:szCs w:val="24"/>
        </w:rPr>
      </w:pPr>
      <w:r w:rsidRPr="00F01398">
        <w:rPr>
          <w:rFonts w:ascii="Verdana" w:hAnsi="Verdana"/>
          <w:i/>
          <w:sz w:val="24"/>
          <w:szCs w:val="24"/>
        </w:rPr>
        <w:t>Durante el 2014 se atendieron alrededor de 1.980.000 ciudadanos a través del canal telefónico.</w:t>
      </w:r>
    </w:p>
    <w:p w:rsidR="007060A3" w:rsidRPr="00F01398" w:rsidRDefault="007060A3" w:rsidP="00FF784D">
      <w:pPr>
        <w:pStyle w:val="Prrafodelista"/>
        <w:numPr>
          <w:ilvl w:val="0"/>
          <w:numId w:val="25"/>
        </w:numPr>
        <w:spacing w:after="0" w:line="240" w:lineRule="auto"/>
        <w:ind w:left="709" w:hanging="283"/>
        <w:jc w:val="both"/>
        <w:rPr>
          <w:rFonts w:ascii="Verdana" w:hAnsi="Verdana"/>
          <w:i/>
          <w:sz w:val="24"/>
          <w:szCs w:val="24"/>
        </w:rPr>
      </w:pPr>
      <w:r w:rsidRPr="00F01398">
        <w:rPr>
          <w:rFonts w:ascii="Verdana" w:hAnsi="Verdana"/>
          <w:i/>
          <w:sz w:val="24"/>
          <w:szCs w:val="24"/>
        </w:rPr>
        <w:t xml:space="preserve">Se enviaron 22.518.677 SMS a los ciudadanos vinculados a la oferta institucional del DPS. </w:t>
      </w:r>
    </w:p>
    <w:p w:rsidR="007060A3" w:rsidRPr="00F01398" w:rsidRDefault="007060A3" w:rsidP="00FF784D">
      <w:pPr>
        <w:pStyle w:val="Prrafodelista"/>
        <w:numPr>
          <w:ilvl w:val="0"/>
          <w:numId w:val="25"/>
        </w:numPr>
        <w:spacing w:after="0" w:line="240" w:lineRule="auto"/>
        <w:ind w:left="709" w:hanging="283"/>
        <w:jc w:val="both"/>
        <w:rPr>
          <w:rFonts w:ascii="Verdana" w:hAnsi="Verdana"/>
          <w:i/>
          <w:sz w:val="24"/>
          <w:szCs w:val="24"/>
        </w:rPr>
      </w:pPr>
      <w:r w:rsidRPr="00F01398">
        <w:rPr>
          <w:rFonts w:ascii="Verdana" w:hAnsi="Verdana"/>
          <w:i/>
          <w:sz w:val="24"/>
          <w:szCs w:val="24"/>
        </w:rPr>
        <w:t>Los ciudadanos han venido incrementando su  participación a través del canal de Chat SMS (interacción móvil); se recibieron más de 2.000.000 de mensajes de texto, particularmente de ciudadanos de Valle del Cauca (9%), Bogotá (9%) y Atlántico (9%).</w:t>
      </w:r>
    </w:p>
    <w:p w:rsidR="007060A3" w:rsidRPr="00F01398" w:rsidRDefault="007060A3" w:rsidP="00FF784D">
      <w:pPr>
        <w:pStyle w:val="Prrafodelista"/>
        <w:numPr>
          <w:ilvl w:val="0"/>
          <w:numId w:val="25"/>
        </w:numPr>
        <w:spacing w:after="0" w:line="240" w:lineRule="auto"/>
        <w:ind w:left="709" w:hanging="283"/>
        <w:jc w:val="both"/>
        <w:rPr>
          <w:rFonts w:ascii="Verdana" w:hAnsi="Verdana"/>
          <w:i/>
          <w:sz w:val="24"/>
          <w:szCs w:val="24"/>
        </w:rPr>
      </w:pPr>
      <w:r w:rsidRPr="00F01398">
        <w:rPr>
          <w:rFonts w:ascii="Verdana" w:hAnsi="Verdana"/>
          <w:i/>
          <w:sz w:val="24"/>
          <w:szCs w:val="24"/>
        </w:rPr>
        <w:t>En cuanto a la gestión efectiva de peticiones el resultado de oportunidad fue de 62% teniendo un avance en comparación con el año 2013. Esta situación se debe particularmente al incremento de la demanda de derechos de petición en relación con la capacidad operativa de la entidad, particularmente de los Programas misionales desbordando la oportunidad de las respuestas.</w:t>
      </w:r>
    </w:p>
    <w:p w:rsidR="007060A3" w:rsidRPr="00F01398" w:rsidRDefault="007060A3" w:rsidP="00FF784D">
      <w:pPr>
        <w:pStyle w:val="Prrafodelista"/>
        <w:numPr>
          <w:ilvl w:val="0"/>
          <w:numId w:val="25"/>
        </w:numPr>
        <w:spacing w:after="0" w:line="240" w:lineRule="auto"/>
        <w:ind w:left="709" w:hanging="283"/>
        <w:jc w:val="both"/>
        <w:rPr>
          <w:rFonts w:ascii="Verdana" w:hAnsi="Verdana"/>
          <w:i/>
          <w:sz w:val="24"/>
          <w:szCs w:val="24"/>
          <w:lang w:val="es-ES"/>
        </w:rPr>
      </w:pPr>
      <w:r w:rsidRPr="00F01398">
        <w:rPr>
          <w:rFonts w:ascii="Verdana" w:hAnsi="Verdana"/>
          <w:i/>
          <w:sz w:val="24"/>
          <w:szCs w:val="24"/>
        </w:rPr>
        <w:t xml:space="preserve">Se construyó el Modelo de Atención presencial, resultado del piloto ejecutado en nueve regionales. Durante 2014 se logró recopilar información de atención presencial en las regionales obteniendo como resultado la prestación de 94.000 atenciones (ene-nov). </w:t>
      </w:r>
    </w:p>
    <w:p w:rsidR="00FC7F0E" w:rsidRDefault="00FC7F0E" w:rsidP="00FC7F0E">
      <w:pPr>
        <w:spacing w:after="0" w:line="240" w:lineRule="auto"/>
        <w:jc w:val="both"/>
        <w:rPr>
          <w:rFonts w:ascii="Verdana" w:hAnsi="Verdana"/>
          <w:b/>
          <w:color w:val="4F81BD" w:themeColor="accent1"/>
          <w:sz w:val="24"/>
          <w:szCs w:val="24"/>
        </w:rPr>
      </w:pPr>
    </w:p>
    <w:p w:rsidR="007060A3" w:rsidRPr="00FC7F0E" w:rsidRDefault="007060A3" w:rsidP="00FC7F0E">
      <w:pPr>
        <w:spacing w:after="0" w:line="240" w:lineRule="auto"/>
        <w:jc w:val="both"/>
        <w:rPr>
          <w:rFonts w:ascii="Verdana" w:hAnsi="Verdana"/>
          <w:b/>
          <w:color w:val="4F81BD" w:themeColor="accent1"/>
          <w:sz w:val="24"/>
          <w:szCs w:val="24"/>
        </w:rPr>
      </w:pPr>
      <w:r w:rsidRPr="00FC7F0E">
        <w:rPr>
          <w:rFonts w:ascii="Verdana" w:hAnsi="Verdana"/>
          <w:b/>
          <w:color w:val="4F81BD" w:themeColor="accent1"/>
          <w:sz w:val="24"/>
          <w:szCs w:val="24"/>
        </w:rPr>
        <w:t>Participación e Innovación</w:t>
      </w:r>
    </w:p>
    <w:p w:rsidR="007060A3" w:rsidRPr="004356C7" w:rsidRDefault="007060A3" w:rsidP="007060A3">
      <w:pPr>
        <w:pStyle w:val="Prrafodelista"/>
        <w:spacing w:after="0" w:line="240" w:lineRule="auto"/>
        <w:ind w:left="360"/>
        <w:jc w:val="both"/>
        <w:rPr>
          <w:rFonts w:ascii="Verdana" w:hAnsi="Verdana"/>
          <w:b/>
          <w:color w:val="4F81BD" w:themeColor="accent1"/>
          <w:sz w:val="24"/>
          <w:szCs w:val="24"/>
        </w:rPr>
      </w:pPr>
    </w:p>
    <w:p w:rsidR="007060A3" w:rsidRPr="00F01398" w:rsidRDefault="007060A3" w:rsidP="00FF784D">
      <w:pPr>
        <w:pStyle w:val="Prrafodelista"/>
        <w:numPr>
          <w:ilvl w:val="0"/>
          <w:numId w:val="25"/>
        </w:numPr>
        <w:spacing w:after="0" w:line="240" w:lineRule="auto"/>
        <w:ind w:left="709" w:hanging="283"/>
        <w:jc w:val="both"/>
        <w:rPr>
          <w:rFonts w:ascii="Verdana" w:hAnsi="Verdana"/>
          <w:i/>
          <w:sz w:val="24"/>
          <w:szCs w:val="24"/>
        </w:rPr>
      </w:pPr>
      <w:r w:rsidRPr="00F01398">
        <w:rPr>
          <w:rFonts w:ascii="Verdana" w:hAnsi="Verdana"/>
          <w:i/>
          <w:sz w:val="24"/>
          <w:szCs w:val="24"/>
        </w:rPr>
        <w:t xml:space="preserve">Se generó una estrategia de acompañamiento a través de SMS y Mvox,  buscando reforzar los contenidos de ReSA en el territorio; piloto en La </w:t>
      </w:r>
      <w:r w:rsidRPr="00F01398">
        <w:rPr>
          <w:rFonts w:ascii="Verdana" w:hAnsi="Verdana"/>
          <w:i/>
          <w:sz w:val="24"/>
          <w:szCs w:val="24"/>
        </w:rPr>
        <w:lastRenderedPageBreak/>
        <w:t>Guajira comunidad de Maicaito y Chocó - Corregimiento de Agua Sal, donde participaron alrededor de 30 ciudadanos.</w:t>
      </w:r>
    </w:p>
    <w:p w:rsidR="007060A3" w:rsidRPr="00F01398" w:rsidRDefault="007060A3" w:rsidP="00FF784D">
      <w:pPr>
        <w:pStyle w:val="Prrafodelista"/>
        <w:numPr>
          <w:ilvl w:val="0"/>
          <w:numId w:val="25"/>
        </w:numPr>
        <w:spacing w:after="0" w:line="240" w:lineRule="auto"/>
        <w:ind w:left="709" w:hanging="283"/>
        <w:jc w:val="both"/>
        <w:rPr>
          <w:rFonts w:ascii="Verdana" w:hAnsi="Verdana"/>
          <w:i/>
          <w:sz w:val="24"/>
          <w:szCs w:val="24"/>
        </w:rPr>
      </w:pPr>
      <w:r w:rsidRPr="00F01398">
        <w:rPr>
          <w:rFonts w:ascii="Verdana" w:hAnsi="Verdana"/>
          <w:i/>
          <w:sz w:val="24"/>
          <w:szCs w:val="24"/>
        </w:rPr>
        <w:t xml:space="preserve">Se aplicó una metodología de Diagnóstico participativo, cuyo objetivo era interpretar las necesidades de la ciudadanía para adaptar y flexibilizar la oferta programática del DPS. Los pilotos se realizaron en Fusa-Cundinamarca, Los Andes-Nariño y Ovejas-Sucre, en los cuales participaron 100 ciudadanos. </w:t>
      </w:r>
    </w:p>
    <w:p w:rsidR="007060A3" w:rsidRPr="00F01398" w:rsidRDefault="007060A3" w:rsidP="00FF784D">
      <w:pPr>
        <w:pStyle w:val="Prrafodelista"/>
        <w:numPr>
          <w:ilvl w:val="0"/>
          <w:numId w:val="25"/>
        </w:numPr>
        <w:spacing w:after="0" w:line="240" w:lineRule="auto"/>
        <w:ind w:left="709" w:hanging="283"/>
        <w:jc w:val="both"/>
        <w:rPr>
          <w:rFonts w:ascii="Verdana" w:hAnsi="Verdana"/>
          <w:i/>
          <w:sz w:val="24"/>
          <w:szCs w:val="24"/>
        </w:rPr>
      </w:pPr>
      <w:r w:rsidRPr="00F01398">
        <w:rPr>
          <w:rFonts w:ascii="Verdana" w:hAnsi="Verdana"/>
          <w:i/>
          <w:sz w:val="24"/>
          <w:szCs w:val="24"/>
        </w:rPr>
        <w:t xml:space="preserve">En el marco de la estrategia de Voluntariado Social se lanzó la primera acción voluntaria denominada Caja de Sonrisas liderada por la Subdirección General.  </w:t>
      </w:r>
    </w:p>
    <w:p w:rsidR="007060A3" w:rsidRDefault="007060A3" w:rsidP="007060A3">
      <w:pPr>
        <w:spacing w:after="0" w:line="240" w:lineRule="auto"/>
        <w:rPr>
          <w:rFonts w:ascii="Verdana" w:hAnsi="Verdana"/>
          <w:b/>
          <w:sz w:val="24"/>
          <w:szCs w:val="24"/>
        </w:rPr>
      </w:pPr>
    </w:p>
    <w:p w:rsidR="007060A3" w:rsidRDefault="007060A3" w:rsidP="007060A3">
      <w:pPr>
        <w:spacing w:after="0" w:line="240" w:lineRule="auto"/>
        <w:rPr>
          <w:rFonts w:ascii="Verdana" w:hAnsi="Verdana"/>
          <w:b/>
          <w:color w:val="4F81BD" w:themeColor="accent1"/>
          <w:sz w:val="24"/>
          <w:szCs w:val="24"/>
        </w:rPr>
      </w:pPr>
      <w:r w:rsidRPr="004356C7">
        <w:rPr>
          <w:rFonts w:ascii="Verdana" w:hAnsi="Verdana"/>
          <w:b/>
          <w:color w:val="4F81BD" w:themeColor="accent1"/>
          <w:sz w:val="24"/>
          <w:szCs w:val="24"/>
        </w:rPr>
        <w:t xml:space="preserve">Retos 2015 </w:t>
      </w:r>
    </w:p>
    <w:p w:rsidR="007060A3" w:rsidRPr="004356C7" w:rsidRDefault="007060A3" w:rsidP="007060A3">
      <w:pPr>
        <w:spacing w:after="0" w:line="240" w:lineRule="auto"/>
        <w:rPr>
          <w:rFonts w:ascii="Verdana" w:hAnsi="Verdana"/>
          <w:b/>
          <w:color w:val="4F81BD" w:themeColor="accent1"/>
          <w:sz w:val="24"/>
          <w:szCs w:val="24"/>
        </w:rPr>
      </w:pPr>
    </w:p>
    <w:p w:rsidR="007060A3" w:rsidRPr="00EF3F77" w:rsidRDefault="007060A3" w:rsidP="00FF784D">
      <w:pPr>
        <w:pStyle w:val="Prrafodelista"/>
        <w:numPr>
          <w:ilvl w:val="0"/>
          <w:numId w:val="25"/>
        </w:numPr>
        <w:spacing w:after="0" w:line="240" w:lineRule="auto"/>
        <w:ind w:left="709" w:hanging="283"/>
        <w:jc w:val="both"/>
        <w:rPr>
          <w:rFonts w:ascii="Verdana" w:hAnsi="Verdana"/>
          <w:i/>
          <w:sz w:val="24"/>
          <w:szCs w:val="24"/>
        </w:rPr>
      </w:pPr>
      <w:r w:rsidRPr="00EF3F77">
        <w:rPr>
          <w:rFonts w:ascii="Verdana" w:hAnsi="Verdana"/>
          <w:i/>
          <w:sz w:val="24"/>
          <w:szCs w:val="24"/>
        </w:rPr>
        <w:t>Generar lineamientos, recomendaciones  y metodologías a los diferentes programas del DPS para promover la participación ciudadana y la innovación social  como un enfoque transversal.</w:t>
      </w:r>
    </w:p>
    <w:p w:rsidR="007060A3" w:rsidRPr="00EF3F77" w:rsidRDefault="007060A3" w:rsidP="00FF784D">
      <w:pPr>
        <w:pStyle w:val="Prrafodelista"/>
        <w:numPr>
          <w:ilvl w:val="0"/>
          <w:numId w:val="25"/>
        </w:numPr>
        <w:spacing w:after="0" w:line="240" w:lineRule="auto"/>
        <w:ind w:left="709" w:hanging="283"/>
        <w:jc w:val="both"/>
        <w:rPr>
          <w:rFonts w:ascii="Verdana" w:hAnsi="Verdana"/>
          <w:i/>
          <w:sz w:val="24"/>
          <w:szCs w:val="24"/>
        </w:rPr>
      </w:pPr>
      <w:r w:rsidRPr="00EF3F77">
        <w:rPr>
          <w:rFonts w:ascii="Verdana" w:hAnsi="Verdana"/>
          <w:i/>
          <w:sz w:val="24"/>
          <w:szCs w:val="24"/>
        </w:rPr>
        <w:t>Posicionar el modelo de atención presencial como un mecanismo para mejorar   la atención oportuna y de calidad que se refleje en la satisfacción del ciudadano.</w:t>
      </w:r>
    </w:p>
    <w:p w:rsidR="007060A3" w:rsidRPr="00EF3F77" w:rsidRDefault="007060A3" w:rsidP="00FF784D">
      <w:pPr>
        <w:pStyle w:val="Prrafodelista"/>
        <w:numPr>
          <w:ilvl w:val="0"/>
          <w:numId w:val="25"/>
        </w:numPr>
        <w:spacing w:after="0" w:line="240" w:lineRule="auto"/>
        <w:ind w:left="709" w:hanging="283"/>
        <w:jc w:val="both"/>
        <w:rPr>
          <w:rFonts w:ascii="Verdana" w:hAnsi="Verdana"/>
          <w:i/>
          <w:sz w:val="24"/>
          <w:szCs w:val="24"/>
        </w:rPr>
      </w:pPr>
      <w:r w:rsidRPr="00EF3F77">
        <w:rPr>
          <w:rFonts w:ascii="Verdana" w:hAnsi="Verdana"/>
          <w:i/>
          <w:sz w:val="24"/>
          <w:szCs w:val="24"/>
        </w:rPr>
        <w:t>Consolidar las alternativas de atención y participación entre la comunidad a través de tecnologías basadas en telefonía celular de gama baja.</w:t>
      </w:r>
    </w:p>
    <w:p w:rsidR="007060A3" w:rsidRPr="00EF3F77" w:rsidRDefault="007060A3" w:rsidP="00FF784D">
      <w:pPr>
        <w:pStyle w:val="Prrafodelista"/>
        <w:numPr>
          <w:ilvl w:val="0"/>
          <w:numId w:val="25"/>
        </w:numPr>
        <w:spacing w:after="0" w:line="240" w:lineRule="auto"/>
        <w:ind w:left="709" w:hanging="283"/>
        <w:jc w:val="both"/>
        <w:rPr>
          <w:rFonts w:ascii="Verdana" w:hAnsi="Verdana"/>
          <w:i/>
          <w:sz w:val="24"/>
          <w:szCs w:val="24"/>
        </w:rPr>
      </w:pPr>
      <w:r w:rsidRPr="00EF3F77">
        <w:rPr>
          <w:rFonts w:ascii="Verdana" w:hAnsi="Verdana"/>
          <w:i/>
          <w:sz w:val="24"/>
          <w:szCs w:val="24"/>
        </w:rPr>
        <w:t xml:space="preserve">Implementar en el DPS el sistema de peticiones DELTA que permita monitorear de manera sistemática la gestión eficiente de las peticiones. </w:t>
      </w:r>
    </w:p>
    <w:p w:rsidR="007060A3" w:rsidRPr="00EF3F77" w:rsidRDefault="007060A3" w:rsidP="00FF784D">
      <w:pPr>
        <w:pStyle w:val="Prrafodelista"/>
        <w:numPr>
          <w:ilvl w:val="0"/>
          <w:numId w:val="25"/>
        </w:numPr>
        <w:spacing w:after="0" w:line="240" w:lineRule="auto"/>
        <w:ind w:left="709" w:hanging="283"/>
        <w:jc w:val="both"/>
        <w:rPr>
          <w:rFonts w:ascii="Verdana" w:hAnsi="Verdana"/>
          <w:i/>
          <w:sz w:val="24"/>
          <w:szCs w:val="24"/>
        </w:rPr>
      </w:pPr>
      <w:r w:rsidRPr="00EF3F77">
        <w:rPr>
          <w:rFonts w:ascii="Verdana" w:hAnsi="Verdana"/>
          <w:i/>
          <w:sz w:val="24"/>
          <w:szCs w:val="24"/>
        </w:rPr>
        <w:t xml:space="preserve">En 2015 se la estrategia de Voluntariado Social será lanzada y promovida en la Entidad. </w:t>
      </w:r>
    </w:p>
    <w:p w:rsidR="007060A3" w:rsidRDefault="007060A3" w:rsidP="007060A3">
      <w:pPr>
        <w:pStyle w:val="Ttulo2"/>
        <w:spacing w:before="0" w:after="0" w:line="240" w:lineRule="auto"/>
        <w:rPr>
          <w:rFonts w:ascii="Verdana" w:hAnsi="Verdana"/>
          <w:i w:val="0"/>
          <w:color w:val="548DD4" w:themeColor="text2" w:themeTint="99"/>
        </w:rPr>
      </w:pPr>
      <w:bookmarkStart w:id="74" w:name="_Toc410376802"/>
    </w:p>
    <w:p w:rsidR="007060A3" w:rsidRPr="00095026" w:rsidRDefault="007060A3" w:rsidP="007060A3">
      <w:pPr>
        <w:pStyle w:val="Ttulo2"/>
        <w:spacing w:before="0" w:after="0" w:line="240" w:lineRule="auto"/>
        <w:rPr>
          <w:rFonts w:ascii="Verdana" w:hAnsi="Verdana"/>
          <w:i w:val="0"/>
          <w:color w:val="548DD4" w:themeColor="text2" w:themeTint="99"/>
          <w:sz w:val="24"/>
          <w:u w:val="single"/>
        </w:rPr>
      </w:pPr>
      <w:r w:rsidRPr="00095026">
        <w:rPr>
          <w:rFonts w:ascii="Verdana" w:hAnsi="Verdana"/>
          <w:i w:val="0"/>
          <w:color w:val="548DD4" w:themeColor="text2" w:themeTint="99"/>
          <w:sz w:val="24"/>
          <w:u w:val="single"/>
        </w:rPr>
        <w:t>ENFOQUE DIFERENCIAL</w:t>
      </w:r>
      <w:bookmarkEnd w:id="74"/>
      <w:r w:rsidRPr="00095026">
        <w:rPr>
          <w:rFonts w:ascii="Verdana" w:hAnsi="Verdana"/>
          <w:i w:val="0"/>
          <w:color w:val="548DD4" w:themeColor="text2" w:themeTint="99"/>
          <w:sz w:val="24"/>
          <w:u w:val="single"/>
        </w:rPr>
        <w:t xml:space="preserve"> </w:t>
      </w:r>
    </w:p>
    <w:p w:rsidR="007060A3" w:rsidRDefault="007060A3" w:rsidP="007060A3">
      <w:pPr>
        <w:spacing w:after="0" w:line="240" w:lineRule="auto"/>
        <w:rPr>
          <w:rFonts w:ascii="Verdana" w:hAnsi="Verdana"/>
          <w:b/>
          <w:sz w:val="24"/>
          <w:szCs w:val="24"/>
        </w:rPr>
      </w:pPr>
    </w:p>
    <w:p w:rsidR="007060A3" w:rsidRPr="002F3541" w:rsidRDefault="007060A3" w:rsidP="007060A3">
      <w:pPr>
        <w:spacing w:after="0" w:line="240" w:lineRule="auto"/>
        <w:rPr>
          <w:rFonts w:ascii="Verdana" w:hAnsi="Verdana"/>
          <w:b/>
          <w:color w:val="4F81BD" w:themeColor="accent1"/>
          <w:sz w:val="24"/>
          <w:szCs w:val="24"/>
        </w:rPr>
      </w:pPr>
      <w:r w:rsidRPr="002F3541">
        <w:rPr>
          <w:rFonts w:ascii="Verdana" w:hAnsi="Verdana"/>
          <w:b/>
          <w:color w:val="4F81BD" w:themeColor="accent1"/>
          <w:sz w:val="24"/>
          <w:szCs w:val="24"/>
        </w:rPr>
        <w:t>Objetivo</w:t>
      </w:r>
    </w:p>
    <w:p w:rsidR="007060A3" w:rsidRDefault="007060A3" w:rsidP="007060A3">
      <w:pPr>
        <w:spacing w:after="0" w:line="240" w:lineRule="auto"/>
        <w:rPr>
          <w:rFonts w:ascii="Verdana" w:hAnsi="Verdana"/>
          <w:sz w:val="24"/>
          <w:szCs w:val="24"/>
        </w:rPr>
      </w:pPr>
    </w:p>
    <w:p w:rsidR="007060A3" w:rsidRDefault="007060A3" w:rsidP="007060A3">
      <w:pPr>
        <w:spacing w:after="0" w:line="240" w:lineRule="auto"/>
        <w:jc w:val="both"/>
        <w:rPr>
          <w:rFonts w:ascii="Verdana" w:hAnsi="Verdana"/>
          <w:sz w:val="24"/>
          <w:szCs w:val="24"/>
        </w:rPr>
      </w:pPr>
      <w:r w:rsidRPr="005D07A0">
        <w:rPr>
          <w:rFonts w:ascii="Verdana" w:hAnsi="Verdana"/>
          <w:sz w:val="24"/>
          <w:szCs w:val="24"/>
        </w:rPr>
        <w:t>Diseñar las  directrices de enfoque diferencial desde una perspectiva étnica y otra desde discapacidad en la atención de la población beneficiaria del DPS</w:t>
      </w:r>
      <w:r>
        <w:rPr>
          <w:rFonts w:ascii="Verdana" w:hAnsi="Verdana"/>
          <w:sz w:val="24"/>
          <w:szCs w:val="24"/>
        </w:rPr>
        <w:t>.</w:t>
      </w:r>
    </w:p>
    <w:p w:rsidR="007060A3" w:rsidRDefault="007060A3" w:rsidP="007060A3">
      <w:pPr>
        <w:spacing w:after="0" w:line="240" w:lineRule="auto"/>
        <w:jc w:val="both"/>
        <w:rPr>
          <w:rFonts w:ascii="Verdana" w:hAnsi="Verdana"/>
          <w:sz w:val="24"/>
          <w:szCs w:val="24"/>
        </w:rPr>
      </w:pPr>
    </w:p>
    <w:p w:rsidR="007060A3" w:rsidRDefault="007060A3" w:rsidP="007060A3">
      <w:pPr>
        <w:spacing w:after="0" w:line="240" w:lineRule="auto"/>
        <w:rPr>
          <w:rFonts w:ascii="Verdana" w:hAnsi="Verdana"/>
          <w:b/>
          <w:color w:val="4F81BD" w:themeColor="accent1"/>
          <w:sz w:val="24"/>
          <w:szCs w:val="24"/>
        </w:rPr>
      </w:pPr>
      <w:r w:rsidRPr="002F3541">
        <w:rPr>
          <w:rFonts w:ascii="Verdana" w:hAnsi="Verdana"/>
          <w:b/>
          <w:color w:val="4F81BD" w:themeColor="accent1"/>
          <w:sz w:val="24"/>
          <w:szCs w:val="24"/>
        </w:rPr>
        <w:t xml:space="preserve">Logros </w:t>
      </w:r>
    </w:p>
    <w:p w:rsidR="00095026" w:rsidRPr="002F3541" w:rsidRDefault="00095026" w:rsidP="007060A3">
      <w:pPr>
        <w:spacing w:after="0" w:line="240" w:lineRule="auto"/>
        <w:rPr>
          <w:rFonts w:ascii="Verdana" w:hAnsi="Verdana"/>
          <w:b/>
          <w:color w:val="4F81BD" w:themeColor="accent1"/>
          <w:sz w:val="24"/>
          <w:szCs w:val="24"/>
        </w:rPr>
      </w:pPr>
    </w:p>
    <w:p w:rsidR="007060A3" w:rsidRPr="002F3541" w:rsidRDefault="007060A3" w:rsidP="00FF784D">
      <w:pPr>
        <w:pStyle w:val="Prrafodelista"/>
        <w:numPr>
          <w:ilvl w:val="0"/>
          <w:numId w:val="25"/>
        </w:numPr>
        <w:spacing w:after="0" w:line="240" w:lineRule="auto"/>
        <w:ind w:left="709" w:hanging="283"/>
        <w:jc w:val="both"/>
        <w:rPr>
          <w:rFonts w:ascii="Verdana" w:hAnsi="Verdana"/>
          <w:i/>
          <w:sz w:val="24"/>
          <w:szCs w:val="24"/>
        </w:rPr>
      </w:pPr>
      <w:r w:rsidRPr="002F3541">
        <w:rPr>
          <w:rFonts w:ascii="Verdana" w:hAnsi="Verdana"/>
          <w:i/>
          <w:sz w:val="24"/>
          <w:szCs w:val="24"/>
        </w:rPr>
        <w:t xml:space="preserve">Se construyeron los principios orientadores para grupos étnicos (6) y principios orientadores específicos para grupos étnicos residentes en territorios colectivos (3). </w:t>
      </w:r>
    </w:p>
    <w:p w:rsidR="007060A3" w:rsidRPr="002F3541" w:rsidRDefault="007060A3" w:rsidP="00FF784D">
      <w:pPr>
        <w:pStyle w:val="Prrafodelista"/>
        <w:numPr>
          <w:ilvl w:val="0"/>
          <w:numId w:val="25"/>
        </w:numPr>
        <w:spacing w:after="0" w:line="240" w:lineRule="auto"/>
        <w:ind w:left="709" w:hanging="283"/>
        <w:jc w:val="both"/>
        <w:rPr>
          <w:rFonts w:ascii="Verdana" w:hAnsi="Verdana"/>
          <w:i/>
          <w:sz w:val="24"/>
          <w:szCs w:val="24"/>
        </w:rPr>
      </w:pPr>
      <w:r w:rsidRPr="002F3541">
        <w:rPr>
          <w:rFonts w:ascii="Verdana" w:hAnsi="Verdana"/>
          <w:i/>
          <w:sz w:val="24"/>
          <w:szCs w:val="24"/>
        </w:rPr>
        <w:lastRenderedPageBreak/>
        <w:t xml:space="preserve">Se elaboraron documentos preliminares de lineamientos en 1) seguridad  alimentaria y nutricional y 2) generación de ingresos para grupos étnicos residentes en territorios colectivos. Estos textos han sido presentados a asesores de la Subdirección General, la Subdirección de Seguridad Alimentaria y Nutrición y de la Dirección Inclusión Productiva y sostenibilidad, pero aún no han sido aprobados. </w:t>
      </w:r>
    </w:p>
    <w:p w:rsidR="007060A3" w:rsidRPr="002F3541" w:rsidRDefault="007060A3" w:rsidP="007060A3">
      <w:pPr>
        <w:spacing w:after="0" w:line="240" w:lineRule="auto"/>
        <w:jc w:val="both"/>
        <w:rPr>
          <w:rFonts w:ascii="Verdana" w:hAnsi="Verdana"/>
          <w:i/>
          <w:sz w:val="24"/>
          <w:szCs w:val="24"/>
          <w:lang w:val="es-ES"/>
        </w:rPr>
      </w:pPr>
    </w:p>
    <w:p w:rsidR="007060A3" w:rsidRDefault="007060A3" w:rsidP="007060A3">
      <w:pPr>
        <w:spacing w:after="0" w:line="240" w:lineRule="auto"/>
        <w:rPr>
          <w:rFonts w:ascii="Verdana" w:hAnsi="Verdana"/>
          <w:b/>
          <w:color w:val="4F81BD" w:themeColor="accent1"/>
          <w:sz w:val="24"/>
          <w:szCs w:val="24"/>
        </w:rPr>
      </w:pPr>
      <w:r w:rsidRPr="002F3541">
        <w:rPr>
          <w:rFonts w:ascii="Verdana" w:hAnsi="Verdana"/>
          <w:b/>
          <w:color w:val="4F81BD" w:themeColor="accent1"/>
          <w:sz w:val="24"/>
          <w:szCs w:val="24"/>
        </w:rPr>
        <w:t xml:space="preserve">Retos 2015 </w:t>
      </w:r>
    </w:p>
    <w:p w:rsidR="007060A3" w:rsidRPr="002F3541" w:rsidRDefault="007060A3" w:rsidP="007060A3">
      <w:pPr>
        <w:spacing w:after="0" w:line="240" w:lineRule="auto"/>
        <w:rPr>
          <w:rFonts w:ascii="Verdana" w:hAnsi="Verdana"/>
          <w:b/>
          <w:color w:val="4F81BD" w:themeColor="accent1"/>
          <w:sz w:val="24"/>
          <w:szCs w:val="24"/>
        </w:rPr>
      </w:pPr>
    </w:p>
    <w:p w:rsidR="007060A3" w:rsidRPr="002F3541" w:rsidRDefault="007060A3" w:rsidP="00FF784D">
      <w:pPr>
        <w:pStyle w:val="Prrafodelista"/>
        <w:numPr>
          <w:ilvl w:val="0"/>
          <w:numId w:val="25"/>
        </w:numPr>
        <w:spacing w:after="0" w:line="240" w:lineRule="auto"/>
        <w:ind w:left="709" w:hanging="283"/>
        <w:jc w:val="both"/>
        <w:rPr>
          <w:rFonts w:ascii="Verdana" w:hAnsi="Verdana"/>
          <w:i/>
          <w:sz w:val="24"/>
          <w:szCs w:val="24"/>
        </w:rPr>
      </w:pPr>
      <w:r w:rsidRPr="002F3541">
        <w:rPr>
          <w:rFonts w:ascii="Verdana" w:hAnsi="Verdana"/>
          <w:i/>
          <w:sz w:val="24"/>
          <w:szCs w:val="24"/>
        </w:rPr>
        <w:t>Lograr acuerdos interinstitucionales que unifiquen criterios para trabajar los temas de enfoque diferencial; generando de esta manera una base de concepción más generalizada de trabajo.</w:t>
      </w:r>
    </w:p>
    <w:p w:rsidR="007060A3" w:rsidRPr="002F3541" w:rsidRDefault="007060A3" w:rsidP="00FF784D">
      <w:pPr>
        <w:pStyle w:val="Prrafodelista"/>
        <w:numPr>
          <w:ilvl w:val="0"/>
          <w:numId w:val="25"/>
        </w:numPr>
        <w:spacing w:after="0" w:line="240" w:lineRule="auto"/>
        <w:ind w:left="709" w:hanging="283"/>
        <w:jc w:val="both"/>
        <w:rPr>
          <w:rFonts w:ascii="Verdana" w:hAnsi="Verdana"/>
          <w:i/>
          <w:sz w:val="24"/>
          <w:szCs w:val="24"/>
        </w:rPr>
      </w:pPr>
      <w:r w:rsidRPr="002F3541">
        <w:rPr>
          <w:rFonts w:ascii="Verdana" w:hAnsi="Verdana"/>
          <w:i/>
          <w:sz w:val="24"/>
          <w:szCs w:val="24"/>
        </w:rPr>
        <w:t>Se propone incluir en los programas misionales que aplican, los principios orientadores y lineamientos de enfoque diferencial de grupos étnicos y discapacidad.</w:t>
      </w:r>
    </w:p>
    <w:p w:rsidR="007060A3" w:rsidRPr="002F3541" w:rsidRDefault="007060A3" w:rsidP="007060A3">
      <w:pPr>
        <w:spacing w:after="0" w:line="240" w:lineRule="auto"/>
        <w:jc w:val="both"/>
        <w:rPr>
          <w:rFonts w:ascii="Verdana" w:hAnsi="Verdana"/>
          <w:i/>
          <w:sz w:val="24"/>
          <w:szCs w:val="24"/>
        </w:rPr>
      </w:pPr>
    </w:p>
    <w:p w:rsidR="000C569D" w:rsidRDefault="000C569D" w:rsidP="00DA252E">
      <w:pPr>
        <w:pStyle w:val="Prrafodelista"/>
        <w:spacing w:after="0" w:line="240" w:lineRule="auto"/>
        <w:ind w:left="0"/>
        <w:jc w:val="both"/>
        <w:rPr>
          <w:rFonts w:ascii="Verdana" w:hAnsi="Verdana"/>
          <w:b/>
          <w:sz w:val="24"/>
          <w:szCs w:val="24"/>
        </w:rPr>
      </w:pPr>
    </w:p>
    <w:p w:rsidR="00421F33" w:rsidRPr="00095026" w:rsidRDefault="00095026" w:rsidP="00421F33">
      <w:pPr>
        <w:pStyle w:val="Prrafodelista"/>
        <w:spacing w:after="0" w:line="240" w:lineRule="auto"/>
        <w:ind w:left="0"/>
        <w:jc w:val="both"/>
        <w:outlineLvl w:val="1"/>
        <w:rPr>
          <w:rFonts w:ascii="Verdana" w:hAnsi="Verdana"/>
          <w:b/>
          <w:color w:val="548DD4" w:themeColor="text2" w:themeTint="99"/>
          <w:sz w:val="28"/>
          <w:szCs w:val="28"/>
        </w:rPr>
      </w:pPr>
      <w:bookmarkStart w:id="75" w:name="_Toc410035286"/>
      <w:bookmarkStart w:id="76" w:name="_Toc410111302"/>
      <w:bookmarkStart w:id="77" w:name="_Toc410376798"/>
      <w:r w:rsidRPr="00095026">
        <w:rPr>
          <w:rFonts w:ascii="Verdana" w:hAnsi="Verdana"/>
          <w:b/>
          <w:noProof/>
          <w:color w:val="548DD4" w:themeColor="text2" w:themeTint="99"/>
          <w:sz w:val="28"/>
          <w:szCs w:val="28"/>
          <w:lang w:eastAsia="es-CO"/>
        </w:rPr>
        <w:drawing>
          <wp:inline distT="0" distB="0" distL="0" distR="0">
            <wp:extent cx="216024" cy="216024"/>
            <wp:effectExtent l="19050" t="0" r="0" b="0"/>
            <wp:docPr id="461"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7236296" y="2924944"/>
                      <a:chExt cx="216024" cy="216024"/>
                    </a:xfrm>
                  </a:grpSpPr>
                  <a:sp>
                    <a:nvSpPr>
                      <a:cNvPr id="39" name="38 Rectángulo redondeado"/>
                      <a:cNvSpPr/>
                    </a:nvSpPr>
                    <a:spPr>
                      <a:xfrm>
                        <a:off x="7236296" y="2924944"/>
                        <a:ext cx="216024" cy="216024"/>
                      </a:xfrm>
                      <a:prstGeom prst="roundRect">
                        <a:avLst/>
                      </a:prstGeom>
                      <a:gradFill flip="none" rotWithShape="1">
                        <a:gsLst>
                          <a:gs pos="0">
                            <a:schemeClr val="tx2">
                              <a:lumMod val="40000"/>
                              <a:lumOff val="60000"/>
                              <a:shade val="30000"/>
                              <a:satMod val="115000"/>
                            </a:schemeClr>
                          </a:gs>
                          <a:gs pos="50000">
                            <a:schemeClr val="tx2">
                              <a:lumMod val="40000"/>
                              <a:lumOff val="60000"/>
                              <a:shade val="67500"/>
                              <a:satMod val="115000"/>
                            </a:schemeClr>
                          </a:gs>
                          <a:gs pos="100000">
                            <a:schemeClr val="tx2">
                              <a:lumMod val="40000"/>
                              <a:lumOff val="60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dirty="0">
                            <a:solidFill>
                              <a:schemeClr val="accent4">
                                <a:lumMod val="40000"/>
                                <a:lumOff val="60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hAnsi="Verdana"/>
          <w:b/>
          <w:color w:val="548DD4" w:themeColor="text2" w:themeTint="99"/>
          <w:sz w:val="28"/>
          <w:szCs w:val="28"/>
        </w:rPr>
        <w:t xml:space="preserve">  </w:t>
      </w:r>
      <w:r w:rsidR="00421F33" w:rsidRPr="00095026">
        <w:rPr>
          <w:rFonts w:ascii="Verdana" w:hAnsi="Verdana"/>
          <w:b/>
          <w:color w:val="548DD4" w:themeColor="text2" w:themeTint="99"/>
          <w:sz w:val="28"/>
          <w:szCs w:val="28"/>
        </w:rPr>
        <w:t>OFICINA DE CONTROL INTERNO</w:t>
      </w:r>
    </w:p>
    <w:p w:rsidR="000C569D" w:rsidRPr="000C569D" w:rsidRDefault="000C569D" w:rsidP="00421F33">
      <w:pPr>
        <w:spacing w:after="0" w:line="240" w:lineRule="auto"/>
        <w:rPr>
          <w:rFonts w:ascii="Verdana" w:hAnsi="Verdana"/>
          <w:sz w:val="28"/>
          <w:szCs w:val="24"/>
        </w:rPr>
      </w:pPr>
    </w:p>
    <w:p w:rsidR="00421F33" w:rsidRPr="00095026" w:rsidRDefault="00421F33" w:rsidP="00421F33">
      <w:pPr>
        <w:spacing w:after="0" w:line="240" w:lineRule="auto"/>
        <w:rPr>
          <w:rFonts w:ascii="Verdana" w:hAnsi="Verdana"/>
          <w:b/>
          <w:color w:val="548DD4" w:themeColor="text2" w:themeTint="99"/>
          <w:sz w:val="24"/>
          <w:szCs w:val="28"/>
        </w:rPr>
      </w:pPr>
      <w:r w:rsidRPr="00095026">
        <w:rPr>
          <w:rFonts w:ascii="Verdana" w:hAnsi="Verdana"/>
          <w:b/>
          <w:color w:val="548DD4" w:themeColor="text2" w:themeTint="99"/>
          <w:sz w:val="24"/>
          <w:szCs w:val="24"/>
        </w:rPr>
        <w:t>INFORMES DE LOS ENTES DE CONTROL QUE VIGILAN A LA ENTIDAD:</w:t>
      </w:r>
    </w:p>
    <w:bookmarkEnd w:id="75"/>
    <w:bookmarkEnd w:id="76"/>
    <w:bookmarkEnd w:id="77"/>
    <w:p w:rsidR="00DA252E" w:rsidRPr="00F71B84" w:rsidRDefault="00DA252E" w:rsidP="00DA252E">
      <w:pPr>
        <w:spacing w:after="0" w:line="240" w:lineRule="auto"/>
        <w:rPr>
          <w:rFonts w:ascii="Verdana" w:hAnsi="Verdana"/>
          <w:sz w:val="24"/>
          <w:szCs w:val="24"/>
        </w:rPr>
      </w:pP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2300"/>
        <w:gridCol w:w="1972"/>
        <w:gridCol w:w="2792"/>
        <w:gridCol w:w="3124"/>
      </w:tblGrid>
      <w:tr w:rsidR="00DA252E" w:rsidRPr="00B00A75" w:rsidTr="00CB5CC4">
        <w:tc>
          <w:tcPr>
            <w:tcW w:w="1129" w:type="pct"/>
            <w:shd w:val="clear" w:color="auto" w:fill="548DD4" w:themeFill="text2" w:themeFillTint="99"/>
            <w:vAlign w:val="center"/>
          </w:tcPr>
          <w:p w:rsidR="00DA252E" w:rsidRPr="007534F5" w:rsidRDefault="00DA252E" w:rsidP="00DA252E">
            <w:pPr>
              <w:spacing w:after="0" w:line="240" w:lineRule="auto"/>
              <w:jc w:val="center"/>
              <w:rPr>
                <w:rFonts w:ascii="Verdana" w:hAnsi="Verdana"/>
                <w:b/>
                <w:bCs/>
                <w:color w:val="FFFFFF" w:themeColor="background1"/>
                <w:sz w:val="20"/>
                <w:szCs w:val="24"/>
              </w:rPr>
            </w:pPr>
            <w:r w:rsidRPr="007534F5">
              <w:rPr>
                <w:rFonts w:ascii="Verdana" w:hAnsi="Verdana"/>
                <w:b/>
                <w:bCs/>
                <w:color w:val="FFFFFF" w:themeColor="background1"/>
                <w:sz w:val="20"/>
                <w:szCs w:val="24"/>
              </w:rPr>
              <w:t>Ente que vigila al DPS</w:t>
            </w:r>
          </w:p>
        </w:tc>
        <w:tc>
          <w:tcPr>
            <w:tcW w:w="968" w:type="pct"/>
            <w:shd w:val="clear" w:color="auto" w:fill="548DD4" w:themeFill="text2" w:themeFillTint="99"/>
            <w:vAlign w:val="center"/>
          </w:tcPr>
          <w:p w:rsidR="00DA252E" w:rsidRPr="007534F5" w:rsidRDefault="00DA252E" w:rsidP="00DA252E">
            <w:pPr>
              <w:spacing w:after="0" w:line="240" w:lineRule="auto"/>
              <w:jc w:val="center"/>
              <w:rPr>
                <w:rFonts w:ascii="Verdana" w:hAnsi="Verdana"/>
                <w:b/>
                <w:bCs/>
                <w:color w:val="FFFFFF" w:themeColor="background1"/>
                <w:sz w:val="20"/>
                <w:szCs w:val="24"/>
              </w:rPr>
            </w:pPr>
            <w:r w:rsidRPr="007534F5">
              <w:rPr>
                <w:rFonts w:ascii="Verdana" w:hAnsi="Verdana"/>
                <w:b/>
                <w:bCs/>
                <w:color w:val="FFFFFF" w:themeColor="background1"/>
                <w:sz w:val="20"/>
                <w:szCs w:val="24"/>
              </w:rPr>
              <w:t>N° Informes entregados</w:t>
            </w:r>
          </w:p>
        </w:tc>
        <w:tc>
          <w:tcPr>
            <w:tcW w:w="1370" w:type="pct"/>
            <w:shd w:val="clear" w:color="auto" w:fill="548DD4" w:themeFill="text2" w:themeFillTint="99"/>
            <w:vAlign w:val="center"/>
          </w:tcPr>
          <w:p w:rsidR="00DA252E" w:rsidRPr="007534F5" w:rsidRDefault="00DA252E" w:rsidP="00DA252E">
            <w:pPr>
              <w:spacing w:after="0" w:line="240" w:lineRule="auto"/>
              <w:jc w:val="center"/>
              <w:rPr>
                <w:rFonts w:ascii="Verdana" w:hAnsi="Verdana"/>
                <w:b/>
                <w:bCs/>
                <w:color w:val="FFFFFF" w:themeColor="background1"/>
                <w:sz w:val="20"/>
                <w:szCs w:val="24"/>
              </w:rPr>
            </w:pPr>
            <w:r w:rsidRPr="007534F5">
              <w:rPr>
                <w:rFonts w:ascii="Verdana" w:hAnsi="Verdana"/>
                <w:b/>
                <w:bCs/>
                <w:color w:val="FFFFFF" w:themeColor="background1"/>
                <w:sz w:val="20"/>
                <w:szCs w:val="24"/>
              </w:rPr>
              <w:t>Temas que se vigilan</w:t>
            </w:r>
          </w:p>
        </w:tc>
        <w:tc>
          <w:tcPr>
            <w:tcW w:w="1533" w:type="pct"/>
            <w:shd w:val="clear" w:color="auto" w:fill="548DD4" w:themeFill="text2" w:themeFillTint="99"/>
            <w:vAlign w:val="center"/>
          </w:tcPr>
          <w:p w:rsidR="00DA252E" w:rsidRPr="007534F5" w:rsidRDefault="00DA252E" w:rsidP="00DA252E">
            <w:pPr>
              <w:spacing w:after="0" w:line="240" w:lineRule="auto"/>
              <w:jc w:val="center"/>
              <w:rPr>
                <w:rFonts w:ascii="Verdana" w:hAnsi="Verdana"/>
                <w:b/>
                <w:bCs/>
                <w:color w:val="FFFFFF" w:themeColor="background1"/>
                <w:sz w:val="20"/>
                <w:szCs w:val="24"/>
              </w:rPr>
            </w:pPr>
            <w:r w:rsidRPr="007534F5">
              <w:rPr>
                <w:rFonts w:ascii="Verdana" w:hAnsi="Verdana"/>
                <w:b/>
                <w:bCs/>
                <w:color w:val="FFFFFF" w:themeColor="background1"/>
                <w:sz w:val="20"/>
                <w:szCs w:val="24"/>
              </w:rPr>
              <w:t>Acciones del DPS sobre el informe</w:t>
            </w:r>
          </w:p>
        </w:tc>
      </w:tr>
      <w:tr w:rsidR="00DA252E" w:rsidRPr="00B00A75" w:rsidTr="00CB5CC4">
        <w:trPr>
          <w:trHeight w:val="2786"/>
        </w:trPr>
        <w:tc>
          <w:tcPr>
            <w:tcW w:w="1129" w:type="pct"/>
            <w:shd w:val="clear" w:color="auto" w:fill="A7BFDE"/>
            <w:vAlign w:val="center"/>
          </w:tcPr>
          <w:p w:rsidR="00DA252E" w:rsidRPr="00D0087D" w:rsidRDefault="00DA252E" w:rsidP="00DA252E">
            <w:pPr>
              <w:spacing w:after="0" w:line="240" w:lineRule="auto"/>
              <w:jc w:val="center"/>
              <w:rPr>
                <w:rFonts w:ascii="Verdana" w:hAnsi="Verdana"/>
                <w:bCs/>
                <w:sz w:val="20"/>
                <w:szCs w:val="24"/>
              </w:rPr>
            </w:pPr>
          </w:p>
          <w:p w:rsidR="00DA252E" w:rsidRPr="00D0087D" w:rsidRDefault="00DA252E" w:rsidP="00DA252E">
            <w:pPr>
              <w:spacing w:after="0" w:line="240" w:lineRule="auto"/>
              <w:jc w:val="center"/>
              <w:rPr>
                <w:rFonts w:ascii="Verdana" w:hAnsi="Verdana"/>
                <w:bCs/>
                <w:sz w:val="20"/>
                <w:szCs w:val="24"/>
              </w:rPr>
            </w:pPr>
            <w:r w:rsidRPr="00D0087D">
              <w:rPr>
                <w:rFonts w:ascii="Verdana" w:hAnsi="Verdana"/>
                <w:bCs/>
                <w:sz w:val="20"/>
                <w:szCs w:val="24"/>
              </w:rPr>
              <w:t>Contraloría General de la República</w:t>
            </w:r>
          </w:p>
        </w:tc>
        <w:tc>
          <w:tcPr>
            <w:tcW w:w="968" w:type="pct"/>
            <w:shd w:val="clear" w:color="auto" w:fill="A7BFDE"/>
            <w:vAlign w:val="center"/>
          </w:tcPr>
          <w:p w:rsidR="00DA252E" w:rsidRPr="00CB7A17" w:rsidRDefault="00DA252E" w:rsidP="00DA252E">
            <w:pPr>
              <w:spacing w:after="0" w:line="240" w:lineRule="auto"/>
              <w:jc w:val="center"/>
              <w:rPr>
                <w:rFonts w:ascii="Verdana" w:hAnsi="Verdana"/>
                <w:sz w:val="20"/>
                <w:szCs w:val="24"/>
              </w:rPr>
            </w:pPr>
          </w:p>
          <w:p w:rsidR="00DA252E" w:rsidRPr="00CB7A17" w:rsidRDefault="00DA252E" w:rsidP="00DA252E">
            <w:pPr>
              <w:spacing w:after="0" w:line="240" w:lineRule="auto"/>
              <w:jc w:val="center"/>
              <w:rPr>
                <w:rFonts w:ascii="Verdana" w:hAnsi="Verdana"/>
                <w:sz w:val="20"/>
                <w:szCs w:val="24"/>
              </w:rPr>
            </w:pPr>
          </w:p>
          <w:p w:rsidR="00DA252E" w:rsidRPr="00CB7A17" w:rsidRDefault="00DA252E" w:rsidP="00DA252E">
            <w:pPr>
              <w:spacing w:after="0" w:line="240" w:lineRule="auto"/>
              <w:jc w:val="center"/>
              <w:rPr>
                <w:rFonts w:ascii="Verdana" w:hAnsi="Verdana"/>
                <w:sz w:val="20"/>
                <w:szCs w:val="24"/>
              </w:rPr>
            </w:pPr>
          </w:p>
          <w:p w:rsidR="00DA252E" w:rsidRPr="00CB7A17" w:rsidRDefault="00DA252E" w:rsidP="00DA252E">
            <w:pPr>
              <w:spacing w:after="0" w:line="240" w:lineRule="auto"/>
              <w:jc w:val="center"/>
              <w:rPr>
                <w:rFonts w:ascii="Verdana" w:hAnsi="Verdana"/>
                <w:sz w:val="20"/>
                <w:szCs w:val="24"/>
              </w:rPr>
            </w:pPr>
            <w:r w:rsidRPr="00CB7A17">
              <w:rPr>
                <w:rFonts w:ascii="Verdana" w:hAnsi="Verdana"/>
                <w:sz w:val="20"/>
                <w:szCs w:val="24"/>
              </w:rPr>
              <w:t>4</w:t>
            </w:r>
          </w:p>
        </w:tc>
        <w:tc>
          <w:tcPr>
            <w:tcW w:w="1370" w:type="pct"/>
            <w:shd w:val="clear" w:color="auto" w:fill="A7BFDE"/>
            <w:vAlign w:val="center"/>
          </w:tcPr>
          <w:p w:rsidR="00DA252E" w:rsidRPr="00CB7A17" w:rsidRDefault="00DA252E" w:rsidP="00FF784D">
            <w:pPr>
              <w:pStyle w:val="Prrafodelista"/>
              <w:numPr>
                <w:ilvl w:val="0"/>
                <w:numId w:val="17"/>
              </w:numPr>
              <w:spacing w:after="0" w:line="240" w:lineRule="auto"/>
              <w:jc w:val="both"/>
              <w:rPr>
                <w:rFonts w:ascii="Verdana" w:hAnsi="Verdana"/>
                <w:sz w:val="20"/>
                <w:szCs w:val="24"/>
              </w:rPr>
            </w:pPr>
            <w:r w:rsidRPr="00CB7A17">
              <w:rPr>
                <w:rFonts w:ascii="Verdana" w:hAnsi="Verdana"/>
                <w:sz w:val="20"/>
                <w:szCs w:val="24"/>
              </w:rPr>
              <w:t>Estados Contables DPS, vigencia 2013</w:t>
            </w:r>
          </w:p>
          <w:p w:rsidR="00DA252E" w:rsidRPr="00CB7A17" w:rsidRDefault="00DA252E" w:rsidP="00FF784D">
            <w:pPr>
              <w:pStyle w:val="Prrafodelista"/>
              <w:numPr>
                <w:ilvl w:val="0"/>
                <w:numId w:val="17"/>
              </w:numPr>
              <w:spacing w:after="0" w:line="240" w:lineRule="auto"/>
              <w:jc w:val="both"/>
              <w:rPr>
                <w:rFonts w:ascii="Verdana" w:hAnsi="Verdana"/>
                <w:sz w:val="20"/>
                <w:szCs w:val="24"/>
              </w:rPr>
            </w:pPr>
            <w:r w:rsidRPr="00CB7A17">
              <w:rPr>
                <w:rFonts w:ascii="Verdana" w:hAnsi="Verdana"/>
                <w:sz w:val="20"/>
                <w:szCs w:val="24"/>
              </w:rPr>
              <w:t>PP Formación de Empleo, Generación de Ingresos.</w:t>
            </w:r>
          </w:p>
          <w:p w:rsidR="00DA252E" w:rsidRPr="00CB7A17" w:rsidRDefault="00DA252E" w:rsidP="00FF784D">
            <w:pPr>
              <w:pStyle w:val="Prrafodelista"/>
              <w:numPr>
                <w:ilvl w:val="0"/>
                <w:numId w:val="17"/>
              </w:numPr>
              <w:spacing w:after="0" w:line="240" w:lineRule="auto"/>
              <w:jc w:val="both"/>
              <w:rPr>
                <w:rFonts w:ascii="Verdana" w:hAnsi="Verdana"/>
                <w:sz w:val="20"/>
                <w:szCs w:val="24"/>
              </w:rPr>
            </w:pPr>
            <w:r w:rsidRPr="00CB7A17">
              <w:rPr>
                <w:rFonts w:ascii="Verdana" w:hAnsi="Verdana"/>
                <w:sz w:val="20"/>
                <w:szCs w:val="24"/>
              </w:rPr>
              <w:t>PP Red para la Superación de la Pobreza Extrema</w:t>
            </w:r>
          </w:p>
          <w:p w:rsidR="00DA252E" w:rsidRPr="00CB7A17" w:rsidRDefault="00DA252E" w:rsidP="00FF784D">
            <w:pPr>
              <w:pStyle w:val="Prrafodelista"/>
              <w:numPr>
                <w:ilvl w:val="0"/>
                <w:numId w:val="17"/>
              </w:numPr>
              <w:spacing w:after="0" w:line="240" w:lineRule="auto"/>
              <w:jc w:val="both"/>
              <w:rPr>
                <w:rFonts w:ascii="Verdana" w:hAnsi="Verdana"/>
                <w:sz w:val="20"/>
                <w:szCs w:val="24"/>
              </w:rPr>
            </w:pPr>
            <w:r w:rsidRPr="00CB7A17">
              <w:rPr>
                <w:rFonts w:ascii="Verdana" w:hAnsi="Verdana"/>
                <w:sz w:val="20"/>
                <w:szCs w:val="24"/>
              </w:rPr>
              <w:t>PP Primera Infancia</w:t>
            </w:r>
          </w:p>
        </w:tc>
        <w:tc>
          <w:tcPr>
            <w:tcW w:w="1533" w:type="pct"/>
            <w:shd w:val="clear" w:color="auto" w:fill="A7BFDE"/>
            <w:vAlign w:val="center"/>
          </w:tcPr>
          <w:p w:rsidR="00DA252E" w:rsidRPr="00CB7A17" w:rsidRDefault="00DA252E" w:rsidP="00FF784D">
            <w:pPr>
              <w:pStyle w:val="Prrafodelista"/>
              <w:numPr>
                <w:ilvl w:val="0"/>
                <w:numId w:val="17"/>
              </w:numPr>
              <w:spacing w:after="0" w:line="240" w:lineRule="auto"/>
              <w:jc w:val="center"/>
              <w:rPr>
                <w:rFonts w:ascii="Verdana" w:hAnsi="Verdana"/>
                <w:sz w:val="20"/>
                <w:szCs w:val="24"/>
              </w:rPr>
            </w:pPr>
            <w:r w:rsidRPr="00CB7A17">
              <w:rPr>
                <w:rFonts w:ascii="Verdana" w:hAnsi="Verdana"/>
                <w:sz w:val="20"/>
                <w:szCs w:val="24"/>
              </w:rPr>
              <w:t>Estructuración y transmisión del PM.</w:t>
            </w:r>
          </w:p>
          <w:p w:rsidR="00DA252E" w:rsidRPr="00CB7A17" w:rsidRDefault="00DA252E" w:rsidP="00FF784D">
            <w:pPr>
              <w:pStyle w:val="Prrafodelista"/>
              <w:numPr>
                <w:ilvl w:val="0"/>
                <w:numId w:val="17"/>
              </w:numPr>
              <w:spacing w:after="0" w:line="240" w:lineRule="auto"/>
              <w:jc w:val="center"/>
              <w:rPr>
                <w:rFonts w:ascii="Verdana" w:hAnsi="Verdana"/>
                <w:sz w:val="20"/>
                <w:szCs w:val="24"/>
              </w:rPr>
            </w:pPr>
            <w:r w:rsidRPr="00CB7A17">
              <w:rPr>
                <w:rFonts w:ascii="Verdana" w:hAnsi="Verdana"/>
                <w:sz w:val="20"/>
                <w:szCs w:val="24"/>
              </w:rPr>
              <w:t>Estructuración y transmisión del PM.</w:t>
            </w:r>
          </w:p>
          <w:p w:rsidR="00DA252E" w:rsidRPr="00CB7A17" w:rsidRDefault="00DA252E" w:rsidP="00FF784D">
            <w:pPr>
              <w:pStyle w:val="Prrafodelista"/>
              <w:numPr>
                <w:ilvl w:val="0"/>
                <w:numId w:val="17"/>
              </w:numPr>
              <w:spacing w:after="0" w:line="240" w:lineRule="auto"/>
              <w:jc w:val="center"/>
              <w:rPr>
                <w:rFonts w:ascii="Verdana" w:hAnsi="Verdana"/>
                <w:sz w:val="20"/>
                <w:szCs w:val="24"/>
              </w:rPr>
            </w:pPr>
            <w:r w:rsidRPr="00CB7A17">
              <w:rPr>
                <w:rFonts w:ascii="Verdana" w:hAnsi="Verdana"/>
                <w:sz w:val="20"/>
                <w:szCs w:val="24"/>
              </w:rPr>
              <w:t>Estructuración y transmisión del PM.</w:t>
            </w:r>
          </w:p>
          <w:p w:rsidR="00DA252E" w:rsidRPr="00CB7A17" w:rsidRDefault="00DA252E" w:rsidP="00DA252E">
            <w:pPr>
              <w:pStyle w:val="Prrafodelista"/>
              <w:spacing w:after="0" w:line="240" w:lineRule="auto"/>
              <w:ind w:left="360"/>
              <w:jc w:val="center"/>
              <w:rPr>
                <w:rFonts w:ascii="Verdana" w:hAnsi="Verdana"/>
                <w:sz w:val="20"/>
                <w:szCs w:val="24"/>
              </w:rPr>
            </w:pPr>
          </w:p>
        </w:tc>
      </w:tr>
      <w:tr w:rsidR="00DA252E" w:rsidRPr="00B00A75" w:rsidTr="00CB5CC4">
        <w:trPr>
          <w:trHeight w:val="1571"/>
        </w:trPr>
        <w:tc>
          <w:tcPr>
            <w:tcW w:w="1129" w:type="pct"/>
            <w:shd w:val="clear" w:color="auto" w:fill="A7BFDE"/>
            <w:vAlign w:val="center"/>
          </w:tcPr>
          <w:p w:rsidR="00DA252E" w:rsidRPr="00D0087D" w:rsidRDefault="00DA252E" w:rsidP="00DA252E">
            <w:pPr>
              <w:spacing w:after="0" w:line="240" w:lineRule="auto"/>
              <w:jc w:val="center"/>
              <w:rPr>
                <w:rFonts w:ascii="Verdana" w:hAnsi="Verdana"/>
                <w:bCs/>
                <w:sz w:val="20"/>
                <w:szCs w:val="24"/>
              </w:rPr>
            </w:pPr>
            <w:r w:rsidRPr="00D0087D">
              <w:rPr>
                <w:rFonts w:ascii="Verdana" w:hAnsi="Verdana"/>
                <w:bCs/>
                <w:sz w:val="20"/>
                <w:szCs w:val="24"/>
              </w:rPr>
              <w:t>Veeduría Especial del Fondo de Inversión para la Paz - FIP</w:t>
            </w:r>
          </w:p>
        </w:tc>
        <w:tc>
          <w:tcPr>
            <w:tcW w:w="968" w:type="pct"/>
            <w:shd w:val="clear" w:color="auto" w:fill="A7BFDE"/>
            <w:vAlign w:val="center"/>
          </w:tcPr>
          <w:p w:rsidR="00DA252E" w:rsidRPr="00CB7A17" w:rsidRDefault="00DA252E" w:rsidP="00DA252E">
            <w:pPr>
              <w:spacing w:after="0" w:line="240" w:lineRule="auto"/>
              <w:jc w:val="center"/>
              <w:rPr>
                <w:rFonts w:ascii="Verdana" w:hAnsi="Verdana"/>
                <w:sz w:val="20"/>
                <w:szCs w:val="24"/>
              </w:rPr>
            </w:pPr>
          </w:p>
          <w:p w:rsidR="00DA252E" w:rsidRPr="00CB7A17" w:rsidRDefault="00DA252E" w:rsidP="00DA252E">
            <w:pPr>
              <w:spacing w:after="0" w:line="240" w:lineRule="auto"/>
              <w:jc w:val="center"/>
              <w:rPr>
                <w:rFonts w:ascii="Verdana" w:hAnsi="Verdana"/>
                <w:sz w:val="20"/>
                <w:szCs w:val="24"/>
              </w:rPr>
            </w:pPr>
            <w:r w:rsidRPr="00CB7A17">
              <w:rPr>
                <w:rFonts w:ascii="Verdana" w:hAnsi="Verdana"/>
                <w:sz w:val="20"/>
                <w:szCs w:val="24"/>
              </w:rPr>
              <w:t>1</w:t>
            </w:r>
          </w:p>
        </w:tc>
        <w:tc>
          <w:tcPr>
            <w:tcW w:w="1370" w:type="pct"/>
            <w:shd w:val="clear" w:color="auto" w:fill="A7BFDE"/>
            <w:vAlign w:val="center"/>
          </w:tcPr>
          <w:p w:rsidR="00DA252E" w:rsidRPr="00CB7A17" w:rsidRDefault="00DA252E" w:rsidP="002E7A21">
            <w:pPr>
              <w:spacing w:after="0" w:line="240" w:lineRule="auto"/>
              <w:jc w:val="both"/>
              <w:rPr>
                <w:rFonts w:ascii="Verdana" w:hAnsi="Verdana"/>
                <w:sz w:val="20"/>
                <w:szCs w:val="24"/>
              </w:rPr>
            </w:pPr>
            <w:r w:rsidRPr="00CB7A17">
              <w:rPr>
                <w:rFonts w:ascii="Verdana" w:hAnsi="Verdana"/>
                <w:sz w:val="20"/>
                <w:szCs w:val="24"/>
              </w:rPr>
              <w:t>Gestión del DPS quien tiene a su cargo la administración del Fondo de Inversión para la PAZ</w:t>
            </w:r>
          </w:p>
        </w:tc>
        <w:tc>
          <w:tcPr>
            <w:tcW w:w="1533" w:type="pct"/>
            <w:shd w:val="clear" w:color="auto" w:fill="A7BFDE"/>
            <w:vAlign w:val="center"/>
          </w:tcPr>
          <w:p w:rsidR="00DA252E" w:rsidRPr="00CB7A17" w:rsidRDefault="00DA252E" w:rsidP="002E7A21">
            <w:pPr>
              <w:spacing w:after="0" w:line="240" w:lineRule="auto"/>
              <w:jc w:val="both"/>
              <w:rPr>
                <w:rFonts w:ascii="Verdana" w:hAnsi="Verdana"/>
                <w:sz w:val="20"/>
                <w:szCs w:val="24"/>
              </w:rPr>
            </w:pPr>
            <w:r w:rsidRPr="00CB7A17">
              <w:rPr>
                <w:rFonts w:ascii="Verdana" w:hAnsi="Verdana"/>
                <w:sz w:val="20"/>
                <w:szCs w:val="24"/>
              </w:rPr>
              <w:t>Distribución a las Direcciones Misionales y publicación en la página WEB</w:t>
            </w:r>
          </w:p>
        </w:tc>
      </w:tr>
    </w:tbl>
    <w:p w:rsidR="00DA252E" w:rsidRDefault="00DA252E" w:rsidP="00DA252E">
      <w:pPr>
        <w:spacing w:after="0" w:line="240" w:lineRule="auto"/>
        <w:rPr>
          <w:rFonts w:ascii="Verdana" w:hAnsi="Verdana"/>
          <w:b/>
          <w:sz w:val="24"/>
          <w:szCs w:val="24"/>
        </w:rPr>
      </w:pPr>
    </w:p>
    <w:p w:rsidR="00DA252E" w:rsidRDefault="00DA252E" w:rsidP="00DA252E">
      <w:pPr>
        <w:spacing w:after="0" w:line="240" w:lineRule="auto"/>
        <w:rPr>
          <w:rFonts w:ascii="Verdana" w:hAnsi="Verdana"/>
          <w:b/>
          <w:sz w:val="24"/>
          <w:szCs w:val="24"/>
        </w:rPr>
      </w:pPr>
    </w:p>
    <w:p w:rsidR="00DA252E"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Estados Contables vigencia 2013</w:t>
      </w:r>
    </w:p>
    <w:p w:rsidR="00DA252E" w:rsidRPr="00405354" w:rsidRDefault="00DA252E" w:rsidP="00DA252E">
      <w:pPr>
        <w:spacing w:after="0" w:line="240" w:lineRule="auto"/>
        <w:rPr>
          <w:rFonts w:ascii="Verdana" w:hAnsi="Verdana"/>
          <w:b/>
          <w:color w:val="548DD4" w:themeColor="text2" w:themeTint="99"/>
          <w:sz w:val="24"/>
          <w:szCs w:val="24"/>
        </w:rPr>
      </w:pPr>
    </w:p>
    <w:p w:rsidR="00DA252E" w:rsidRDefault="00DA252E" w:rsidP="00FF784D">
      <w:pPr>
        <w:pStyle w:val="Prrafodelista"/>
        <w:numPr>
          <w:ilvl w:val="0"/>
          <w:numId w:val="20"/>
        </w:numPr>
        <w:spacing w:after="0" w:line="240" w:lineRule="auto"/>
        <w:ind w:left="709" w:hanging="283"/>
        <w:jc w:val="both"/>
        <w:rPr>
          <w:rFonts w:ascii="Verdana" w:hAnsi="Verdana"/>
          <w:sz w:val="24"/>
          <w:szCs w:val="24"/>
        </w:rPr>
      </w:pPr>
      <w:r w:rsidRPr="00F71B84">
        <w:rPr>
          <w:rFonts w:ascii="Verdana" w:hAnsi="Verdana"/>
          <w:sz w:val="24"/>
          <w:szCs w:val="24"/>
        </w:rPr>
        <w:t xml:space="preserve">Opinión Negativa sobre los Estados Contables correspondientes a la vigencia 2013.  Los errores o inconsistencias, salvedades, limitaciones o incertidumbres encontradas ascienden al 77,90% del activo total de la </w:t>
      </w:r>
      <w:r>
        <w:rPr>
          <w:rFonts w:ascii="Verdana" w:hAnsi="Verdana"/>
          <w:sz w:val="24"/>
          <w:szCs w:val="24"/>
        </w:rPr>
        <w:t>E</w:t>
      </w:r>
      <w:r w:rsidRPr="00F71B84">
        <w:rPr>
          <w:rFonts w:ascii="Verdana" w:hAnsi="Verdana"/>
          <w:sz w:val="24"/>
          <w:szCs w:val="24"/>
        </w:rPr>
        <w:t>ntidad.</w:t>
      </w:r>
    </w:p>
    <w:p w:rsidR="00DA252E" w:rsidRPr="00F71B84" w:rsidRDefault="00DA252E" w:rsidP="0001325C">
      <w:pPr>
        <w:pStyle w:val="Prrafodelista"/>
        <w:spacing w:after="0" w:line="240" w:lineRule="auto"/>
        <w:ind w:left="709" w:hanging="283"/>
        <w:jc w:val="both"/>
        <w:rPr>
          <w:rFonts w:ascii="Verdana" w:hAnsi="Verdana"/>
          <w:sz w:val="24"/>
          <w:szCs w:val="24"/>
        </w:rPr>
      </w:pPr>
    </w:p>
    <w:p w:rsidR="00DA252E" w:rsidRDefault="00DA252E" w:rsidP="00FF784D">
      <w:pPr>
        <w:pStyle w:val="Prrafodelista"/>
        <w:numPr>
          <w:ilvl w:val="0"/>
          <w:numId w:val="20"/>
        </w:numPr>
        <w:spacing w:after="0" w:line="240" w:lineRule="auto"/>
        <w:ind w:left="709" w:hanging="283"/>
        <w:jc w:val="both"/>
        <w:rPr>
          <w:rFonts w:ascii="Verdana" w:hAnsi="Verdana"/>
          <w:sz w:val="24"/>
          <w:szCs w:val="24"/>
        </w:rPr>
      </w:pPr>
      <w:r w:rsidRPr="00F71B84">
        <w:rPr>
          <w:rFonts w:ascii="Verdana" w:hAnsi="Verdana"/>
          <w:sz w:val="24"/>
          <w:szCs w:val="24"/>
        </w:rPr>
        <w:t>Deficiencias en las cuentas contables Deudores, Recursos entregados en Administración y Avances y Anticipos, que generan sobrestimación e incertidumbre, por falta de una gestión administrativa eficiente en la supervisión, gastos considerados no elegibles</w:t>
      </w:r>
      <w:r>
        <w:rPr>
          <w:rFonts w:ascii="Verdana" w:hAnsi="Verdana"/>
          <w:sz w:val="24"/>
          <w:szCs w:val="24"/>
        </w:rPr>
        <w:t>.</w:t>
      </w:r>
    </w:p>
    <w:p w:rsidR="00DA252E" w:rsidRPr="00F45333" w:rsidRDefault="00DA252E" w:rsidP="0001325C">
      <w:pPr>
        <w:spacing w:after="0" w:line="240" w:lineRule="auto"/>
        <w:ind w:left="709" w:hanging="283"/>
        <w:jc w:val="both"/>
        <w:rPr>
          <w:rFonts w:ascii="Verdana" w:hAnsi="Verdana"/>
          <w:sz w:val="24"/>
          <w:szCs w:val="24"/>
        </w:rPr>
      </w:pPr>
    </w:p>
    <w:p w:rsidR="00DA252E" w:rsidRPr="00F71B84" w:rsidRDefault="00DA252E" w:rsidP="00FF784D">
      <w:pPr>
        <w:pStyle w:val="Prrafodelista"/>
        <w:numPr>
          <w:ilvl w:val="0"/>
          <w:numId w:val="20"/>
        </w:numPr>
        <w:spacing w:after="0" w:line="240" w:lineRule="auto"/>
        <w:ind w:left="709" w:hanging="283"/>
        <w:jc w:val="both"/>
        <w:rPr>
          <w:rFonts w:ascii="Verdana" w:hAnsi="Verdana"/>
          <w:sz w:val="24"/>
          <w:szCs w:val="24"/>
        </w:rPr>
      </w:pPr>
      <w:r w:rsidRPr="00F71B84">
        <w:rPr>
          <w:rFonts w:ascii="Verdana" w:hAnsi="Verdana"/>
          <w:sz w:val="24"/>
          <w:szCs w:val="24"/>
        </w:rPr>
        <w:t>Deficiencias en la ejecución de los gastos de funcionamiento e inversión, constitución de reservas  presupuestales de manera generalizada.</w:t>
      </w:r>
    </w:p>
    <w:p w:rsidR="00DA252E" w:rsidRDefault="00DA252E" w:rsidP="00DA252E">
      <w:pPr>
        <w:spacing w:after="0" w:line="240" w:lineRule="auto"/>
        <w:jc w:val="both"/>
        <w:rPr>
          <w:rFonts w:ascii="Verdana" w:hAnsi="Verdana"/>
          <w:sz w:val="24"/>
          <w:szCs w:val="24"/>
        </w:rPr>
      </w:pPr>
    </w:p>
    <w:p w:rsidR="00DA252E" w:rsidRDefault="00DA252E" w:rsidP="00DA252E">
      <w:pPr>
        <w:spacing w:after="0" w:line="240" w:lineRule="auto"/>
        <w:jc w:val="both"/>
        <w:rPr>
          <w:rFonts w:ascii="Verdana" w:hAnsi="Verdana"/>
          <w:sz w:val="24"/>
          <w:szCs w:val="24"/>
        </w:rPr>
      </w:pPr>
      <w:r w:rsidRPr="00F71B84">
        <w:rPr>
          <w:rFonts w:ascii="Verdana" w:hAnsi="Verdana"/>
          <w:sz w:val="24"/>
          <w:szCs w:val="24"/>
        </w:rPr>
        <w:t>Política Pública de Formación de Empleo, Generación de Ingresos.</w:t>
      </w:r>
    </w:p>
    <w:p w:rsidR="00DA252E" w:rsidRPr="00F71B84" w:rsidRDefault="00DA252E" w:rsidP="00DA252E">
      <w:pPr>
        <w:spacing w:after="0" w:line="240" w:lineRule="auto"/>
        <w:jc w:val="both"/>
        <w:rPr>
          <w:rFonts w:ascii="Verdana" w:hAnsi="Verdana"/>
          <w:sz w:val="24"/>
          <w:szCs w:val="24"/>
        </w:rPr>
      </w:pPr>
    </w:p>
    <w:p w:rsidR="00DA252E" w:rsidRDefault="00DA252E" w:rsidP="00FF784D">
      <w:pPr>
        <w:pStyle w:val="Prrafodelista"/>
        <w:numPr>
          <w:ilvl w:val="0"/>
          <w:numId w:val="20"/>
        </w:numPr>
        <w:spacing w:after="0" w:line="240" w:lineRule="auto"/>
        <w:ind w:left="709" w:hanging="283"/>
        <w:jc w:val="both"/>
        <w:rPr>
          <w:rFonts w:ascii="Verdana" w:hAnsi="Verdana"/>
          <w:sz w:val="24"/>
          <w:szCs w:val="24"/>
        </w:rPr>
      </w:pPr>
      <w:r w:rsidRPr="00F71B84">
        <w:rPr>
          <w:rFonts w:ascii="Verdana" w:hAnsi="Verdana"/>
          <w:sz w:val="24"/>
          <w:szCs w:val="24"/>
        </w:rPr>
        <w:t>Carencia de un instrumento actualizado que oriente la formulación de los programas, articule los componentes entre las distintas instituciones y entre los distintos niveles del gobierno. Concentración de recursos en ciertas regiones y asociaciones específicas, mientras gran parte de la población permanece sin apoyo.</w:t>
      </w:r>
    </w:p>
    <w:p w:rsidR="00DA252E" w:rsidRPr="00F71B84" w:rsidRDefault="00DA252E" w:rsidP="0001325C">
      <w:pPr>
        <w:pStyle w:val="Prrafodelista"/>
        <w:spacing w:after="0" w:line="240" w:lineRule="auto"/>
        <w:ind w:left="709"/>
        <w:jc w:val="both"/>
        <w:rPr>
          <w:rFonts w:ascii="Verdana" w:hAnsi="Verdana"/>
          <w:sz w:val="24"/>
          <w:szCs w:val="24"/>
        </w:rPr>
      </w:pPr>
    </w:p>
    <w:p w:rsidR="00DA252E" w:rsidRPr="00F71B84" w:rsidRDefault="00DA252E" w:rsidP="00FF784D">
      <w:pPr>
        <w:pStyle w:val="Prrafodelista"/>
        <w:numPr>
          <w:ilvl w:val="0"/>
          <w:numId w:val="20"/>
        </w:numPr>
        <w:spacing w:after="0" w:line="240" w:lineRule="auto"/>
        <w:ind w:left="709" w:hanging="283"/>
        <w:jc w:val="both"/>
        <w:rPr>
          <w:rFonts w:ascii="Verdana" w:hAnsi="Verdana"/>
          <w:sz w:val="24"/>
          <w:szCs w:val="24"/>
        </w:rPr>
      </w:pPr>
      <w:r w:rsidRPr="00F71B84">
        <w:rPr>
          <w:rFonts w:ascii="Verdana" w:hAnsi="Verdana"/>
          <w:sz w:val="24"/>
          <w:szCs w:val="24"/>
        </w:rPr>
        <w:t>En el programa FEST, la población no invierte los recursos recibidos en ideas productivas, por falta de supervisión y mecanismos de seguimiento a la inversión de los recursos.</w:t>
      </w:r>
    </w:p>
    <w:p w:rsidR="00DA252E" w:rsidRDefault="00DA252E" w:rsidP="00DA252E">
      <w:pPr>
        <w:spacing w:after="0" w:line="240" w:lineRule="auto"/>
        <w:jc w:val="both"/>
        <w:rPr>
          <w:rFonts w:ascii="Verdana" w:hAnsi="Verdana"/>
          <w:sz w:val="24"/>
          <w:szCs w:val="24"/>
        </w:rPr>
      </w:pPr>
    </w:p>
    <w:p w:rsidR="00DA252E" w:rsidRDefault="00DA252E" w:rsidP="00DA252E">
      <w:pPr>
        <w:spacing w:after="0" w:line="240" w:lineRule="auto"/>
        <w:jc w:val="both"/>
        <w:rPr>
          <w:rFonts w:ascii="Verdana" w:hAnsi="Verdana"/>
          <w:sz w:val="24"/>
          <w:szCs w:val="24"/>
        </w:rPr>
      </w:pPr>
      <w:r w:rsidRPr="00F71B84">
        <w:rPr>
          <w:rFonts w:ascii="Verdana" w:hAnsi="Verdana"/>
          <w:sz w:val="24"/>
          <w:szCs w:val="24"/>
        </w:rPr>
        <w:t>Política Pública Red parar la superación de la Pobreza Extrema.</w:t>
      </w:r>
    </w:p>
    <w:p w:rsidR="00DA252E" w:rsidRPr="00F71B84" w:rsidRDefault="00DA252E" w:rsidP="00DA252E">
      <w:pPr>
        <w:spacing w:after="0" w:line="240" w:lineRule="auto"/>
        <w:jc w:val="both"/>
        <w:rPr>
          <w:rFonts w:ascii="Verdana" w:hAnsi="Verdana"/>
          <w:sz w:val="24"/>
          <w:szCs w:val="24"/>
        </w:rPr>
      </w:pPr>
    </w:p>
    <w:p w:rsidR="00DA252E" w:rsidRDefault="00DA252E" w:rsidP="00FF784D">
      <w:pPr>
        <w:pStyle w:val="Prrafodelista"/>
        <w:numPr>
          <w:ilvl w:val="0"/>
          <w:numId w:val="21"/>
        </w:numPr>
        <w:spacing w:after="0" w:line="240" w:lineRule="auto"/>
        <w:ind w:left="851" w:hanging="284"/>
        <w:jc w:val="both"/>
        <w:rPr>
          <w:rFonts w:ascii="Verdana" w:hAnsi="Verdana"/>
          <w:sz w:val="24"/>
          <w:szCs w:val="24"/>
        </w:rPr>
      </w:pPr>
      <w:r w:rsidRPr="00F71B84">
        <w:rPr>
          <w:rFonts w:ascii="Verdana" w:hAnsi="Verdana"/>
          <w:sz w:val="24"/>
          <w:szCs w:val="24"/>
        </w:rPr>
        <w:t>Debilidad en la gestión oportuna para la consecución de los recursos por parte del gobierno para la operación de acompañamiento a los núcleos familiares vinculados a UNIDOS en 2014, poniendo en riesgo la continuidad, credibilidad y cumplimiento de metas.</w:t>
      </w:r>
    </w:p>
    <w:p w:rsidR="00DA252E" w:rsidRPr="00F71B84" w:rsidRDefault="00DA252E" w:rsidP="00DA252E">
      <w:pPr>
        <w:pStyle w:val="Prrafodelista"/>
        <w:spacing w:after="0" w:line="240" w:lineRule="auto"/>
        <w:ind w:left="851"/>
        <w:jc w:val="both"/>
        <w:rPr>
          <w:rFonts w:ascii="Verdana" w:hAnsi="Verdana"/>
          <w:sz w:val="24"/>
          <w:szCs w:val="24"/>
        </w:rPr>
      </w:pPr>
    </w:p>
    <w:p w:rsidR="00DA252E" w:rsidRPr="00F71B84" w:rsidRDefault="00DA252E" w:rsidP="00FF784D">
      <w:pPr>
        <w:pStyle w:val="Prrafodelista"/>
        <w:numPr>
          <w:ilvl w:val="0"/>
          <w:numId w:val="21"/>
        </w:numPr>
        <w:spacing w:after="0" w:line="240" w:lineRule="auto"/>
        <w:ind w:left="851" w:hanging="284"/>
        <w:jc w:val="both"/>
        <w:rPr>
          <w:rFonts w:ascii="Verdana" w:hAnsi="Verdana"/>
          <w:sz w:val="24"/>
          <w:szCs w:val="24"/>
        </w:rPr>
      </w:pPr>
      <w:r w:rsidRPr="00F71B84">
        <w:rPr>
          <w:rFonts w:ascii="Verdana" w:hAnsi="Verdana"/>
          <w:sz w:val="24"/>
          <w:szCs w:val="24"/>
        </w:rPr>
        <w:t>Ineficacia en la articulación institucional y en la gestión de las entidades del Estado, impidiendo el cumplimiento de la meta de sacar de la pobreza extrema a los 350.000 núcleos familiares.</w:t>
      </w:r>
    </w:p>
    <w:p w:rsidR="00DA252E" w:rsidRDefault="00DA252E" w:rsidP="00DA252E">
      <w:pPr>
        <w:spacing w:after="0" w:line="240" w:lineRule="auto"/>
        <w:rPr>
          <w:rFonts w:ascii="Verdana" w:hAnsi="Verdana"/>
          <w:b/>
          <w:sz w:val="24"/>
          <w:szCs w:val="24"/>
        </w:rPr>
      </w:pPr>
    </w:p>
    <w:p w:rsidR="00DA252E" w:rsidRPr="0051259B" w:rsidRDefault="0001325C" w:rsidP="00DA252E">
      <w:pPr>
        <w:spacing w:after="0" w:line="240" w:lineRule="auto"/>
        <w:rPr>
          <w:rFonts w:ascii="Verdana" w:hAnsi="Verdana"/>
          <w:b/>
          <w:color w:val="548DD4" w:themeColor="text2" w:themeTint="99"/>
          <w:sz w:val="24"/>
          <w:szCs w:val="24"/>
        </w:rPr>
      </w:pPr>
      <w:r w:rsidRPr="0051259B">
        <w:rPr>
          <w:rFonts w:ascii="Verdana" w:hAnsi="Verdana"/>
          <w:b/>
          <w:color w:val="548DD4" w:themeColor="text2" w:themeTint="99"/>
          <w:sz w:val="24"/>
          <w:szCs w:val="24"/>
        </w:rPr>
        <w:lastRenderedPageBreak/>
        <w:t>PLANES DE MEJORAMIENTO</w:t>
      </w:r>
    </w:p>
    <w:p w:rsidR="00DA252E" w:rsidRPr="00405354" w:rsidRDefault="00DA252E" w:rsidP="00DA252E">
      <w:pPr>
        <w:spacing w:after="0" w:line="240" w:lineRule="auto"/>
        <w:rPr>
          <w:rFonts w:ascii="Verdana" w:hAnsi="Verdana"/>
          <w:b/>
          <w:color w:val="548DD4" w:themeColor="text2" w:themeTint="99"/>
          <w:sz w:val="24"/>
          <w:szCs w:val="24"/>
        </w:rPr>
      </w:pP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1859"/>
        <w:gridCol w:w="2618"/>
        <w:gridCol w:w="5711"/>
      </w:tblGrid>
      <w:tr w:rsidR="00DA252E" w:rsidRPr="00B00A75" w:rsidTr="0001325C">
        <w:trPr>
          <w:tblHeader/>
        </w:trPr>
        <w:tc>
          <w:tcPr>
            <w:tcW w:w="912" w:type="pct"/>
            <w:shd w:val="clear" w:color="auto" w:fill="548DD4" w:themeFill="text2" w:themeFillTint="99"/>
            <w:vAlign w:val="center"/>
          </w:tcPr>
          <w:p w:rsidR="00DA252E" w:rsidRPr="007534F5" w:rsidRDefault="00DA252E" w:rsidP="00DA252E">
            <w:pPr>
              <w:spacing w:after="0" w:line="240" w:lineRule="auto"/>
              <w:jc w:val="center"/>
              <w:rPr>
                <w:rFonts w:ascii="Verdana" w:hAnsi="Verdana"/>
                <w:b/>
                <w:bCs/>
                <w:color w:val="FFFFFF" w:themeColor="background1"/>
                <w:sz w:val="20"/>
                <w:szCs w:val="24"/>
              </w:rPr>
            </w:pPr>
            <w:r w:rsidRPr="007534F5">
              <w:rPr>
                <w:rFonts w:ascii="Verdana" w:hAnsi="Verdana"/>
                <w:b/>
                <w:bCs/>
                <w:color w:val="FFFFFF" w:themeColor="background1"/>
                <w:sz w:val="20"/>
                <w:szCs w:val="24"/>
              </w:rPr>
              <w:t>Planes de Mejoramiento vigentes</w:t>
            </w:r>
          </w:p>
        </w:tc>
        <w:tc>
          <w:tcPr>
            <w:tcW w:w="1285" w:type="pct"/>
            <w:shd w:val="clear" w:color="auto" w:fill="548DD4" w:themeFill="text2" w:themeFillTint="99"/>
            <w:vAlign w:val="center"/>
          </w:tcPr>
          <w:p w:rsidR="00DA252E" w:rsidRPr="007534F5" w:rsidRDefault="00DA252E" w:rsidP="00DA252E">
            <w:pPr>
              <w:spacing w:after="0" w:line="240" w:lineRule="auto"/>
              <w:jc w:val="center"/>
              <w:rPr>
                <w:rFonts w:ascii="Verdana" w:hAnsi="Verdana"/>
                <w:b/>
                <w:bCs/>
                <w:color w:val="FFFFFF" w:themeColor="background1"/>
                <w:sz w:val="20"/>
                <w:szCs w:val="24"/>
              </w:rPr>
            </w:pPr>
            <w:r w:rsidRPr="007534F5">
              <w:rPr>
                <w:rFonts w:ascii="Verdana" w:hAnsi="Verdana"/>
                <w:b/>
                <w:bCs/>
                <w:color w:val="FFFFFF" w:themeColor="background1"/>
                <w:sz w:val="20"/>
                <w:szCs w:val="24"/>
              </w:rPr>
              <w:t>Auditoría fuente del plan de mejoramiento</w:t>
            </w:r>
          </w:p>
        </w:tc>
        <w:tc>
          <w:tcPr>
            <w:tcW w:w="2803" w:type="pct"/>
            <w:shd w:val="clear" w:color="auto" w:fill="548DD4" w:themeFill="text2" w:themeFillTint="99"/>
            <w:vAlign w:val="center"/>
          </w:tcPr>
          <w:p w:rsidR="00DA252E" w:rsidRPr="007534F5" w:rsidRDefault="00DA252E" w:rsidP="00DA252E">
            <w:pPr>
              <w:spacing w:after="0" w:line="240" w:lineRule="auto"/>
              <w:jc w:val="center"/>
              <w:rPr>
                <w:rFonts w:ascii="Verdana" w:hAnsi="Verdana"/>
                <w:b/>
                <w:bCs/>
                <w:color w:val="FFFFFF" w:themeColor="background1"/>
                <w:sz w:val="20"/>
                <w:szCs w:val="24"/>
              </w:rPr>
            </w:pPr>
            <w:r w:rsidRPr="007534F5">
              <w:rPr>
                <w:rFonts w:ascii="Verdana" w:hAnsi="Verdana"/>
                <w:b/>
                <w:bCs/>
                <w:color w:val="FFFFFF" w:themeColor="background1"/>
                <w:sz w:val="20"/>
                <w:szCs w:val="24"/>
              </w:rPr>
              <w:t>Temas más relevantes de los planes de mejoramiento</w:t>
            </w:r>
          </w:p>
        </w:tc>
      </w:tr>
      <w:tr w:rsidR="00DA252E" w:rsidRPr="00B00A75" w:rsidTr="00CB5CC4">
        <w:tc>
          <w:tcPr>
            <w:tcW w:w="912" w:type="pct"/>
            <w:shd w:val="clear" w:color="auto" w:fill="A7BFDE"/>
            <w:vAlign w:val="center"/>
          </w:tcPr>
          <w:p w:rsidR="00DA252E" w:rsidRPr="00CB7A17" w:rsidRDefault="00DA252E" w:rsidP="00DA252E">
            <w:pPr>
              <w:spacing w:after="0" w:line="240" w:lineRule="auto"/>
              <w:jc w:val="center"/>
              <w:rPr>
                <w:rFonts w:ascii="Verdana" w:hAnsi="Verdana"/>
                <w:b/>
                <w:bCs/>
                <w:sz w:val="20"/>
                <w:szCs w:val="24"/>
              </w:rPr>
            </w:pPr>
            <w:r>
              <w:rPr>
                <w:rFonts w:ascii="Verdana" w:hAnsi="Verdana"/>
                <w:b/>
                <w:bCs/>
                <w:sz w:val="20"/>
                <w:szCs w:val="24"/>
              </w:rPr>
              <w:t>C</w:t>
            </w:r>
            <w:r w:rsidRPr="00CB7A17">
              <w:rPr>
                <w:rFonts w:ascii="Verdana" w:hAnsi="Verdana"/>
                <w:b/>
                <w:bCs/>
                <w:sz w:val="20"/>
                <w:szCs w:val="24"/>
              </w:rPr>
              <w:t>onsolidado DPS</w:t>
            </w:r>
          </w:p>
        </w:tc>
        <w:tc>
          <w:tcPr>
            <w:tcW w:w="1285" w:type="pct"/>
            <w:shd w:val="clear" w:color="auto" w:fill="A7BFDE"/>
            <w:vAlign w:val="center"/>
          </w:tcPr>
          <w:p w:rsidR="00DA252E" w:rsidRPr="00CB7A17" w:rsidRDefault="00DA252E" w:rsidP="00FF784D">
            <w:pPr>
              <w:pStyle w:val="Prrafodelista"/>
              <w:numPr>
                <w:ilvl w:val="0"/>
                <w:numId w:val="18"/>
              </w:numPr>
              <w:spacing w:after="0" w:line="240" w:lineRule="auto"/>
              <w:jc w:val="center"/>
              <w:rPr>
                <w:rFonts w:ascii="Verdana" w:hAnsi="Verdana"/>
                <w:sz w:val="20"/>
                <w:szCs w:val="24"/>
              </w:rPr>
            </w:pPr>
            <w:r w:rsidRPr="00CB7A17">
              <w:rPr>
                <w:rFonts w:ascii="Verdana" w:hAnsi="Verdana"/>
                <w:sz w:val="20"/>
                <w:szCs w:val="24"/>
              </w:rPr>
              <w:t>Auditoría a los Estados Contables vigencia 2013.</w:t>
            </w:r>
          </w:p>
          <w:p w:rsidR="00DA252E" w:rsidRPr="00CB7A17" w:rsidRDefault="00DA252E" w:rsidP="00FF784D">
            <w:pPr>
              <w:pStyle w:val="Prrafodelista"/>
              <w:numPr>
                <w:ilvl w:val="0"/>
                <w:numId w:val="18"/>
              </w:numPr>
              <w:spacing w:after="0" w:line="240" w:lineRule="auto"/>
              <w:jc w:val="center"/>
              <w:rPr>
                <w:rFonts w:ascii="Verdana" w:hAnsi="Verdana"/>
                <w:sz w:val="20"/>
                <w:szCs w:val="24"/>
              </w:rPr>
            </w:pPr>
            <w:r w:rsidRPr="00CB7A17">
              <w:rPr>
                <w:rFonts w:ascii="Verdana" w:hAnsi="Verdana"/>
                <w:sz w:val="20"/>
                <w:szCs w:val="24"/>
              </w:rPr>
              <w:t>PP Red para la Superación de la Pobreza  Extrema</w:t>
            </w:r>
          </w:p>
          <w:p w:rsidR="00DA252E" w:rsidRPr="00CB7A17" w:rsidRDefault="00DA252E" w:rsidP="00FF784D">
            <w:pPr>
              <w:pStyle w:val="Prrafodelista"/>
              <w:numPr>
                <w:ilvl w:val="0"/>
                <w:numId w:val="18"/>
              </w:numPr>
              <w:spacing w:after="0" w:line="240" w:lineRule="auto"/>
              <w:jc w:val="center"/>
              <w:rPr>
                <w:rFonts w:ascii="Verdana" w:hAnsi="Verdana"/>
                <w:sz w:val="20"/>
                <w:szCs w:val="24"/>
              </w:rPr>
            </w:pPr>
            <w:r w:rsidRPr="00CB7A17">
              <w:rPr>
                <w:rFonts w:ascii="Verdana" w:hAnsi="Verdana"/>
                <w:sz w:val="20"/>
                <w:szCs w:val="24"/>
              </w:rPr>
              <w:t>PP Generación de Ingresos.</w:t>
            </w:r>
          </w:p>
          <w:p w:rsidR="00DA252E" w:rsidRPr="00CB7A17" w:rsidRDefault="00DA252E" w:rsidP="00FF784D">
            <w:pPr>
              <w:pStyle w:val="Prrafodelista"/>
              <w:numPr>
                <w:ilvl w:val="0"/>
                <w:numId w:val="18"/>
              </w:numPr>
              <w:spacing w:after="0" w:line="240" w:lineRule="auto"/>
              <w:jc w:val="center"/>
              <w:rPr>
                <w:rFonts w:ascii="Verdana" w:hAnsi="Verdana"/>
                <w:sz w:val="20"/>
                <w:szCs w:val="24"/>
              </w:rPr>
            </w:pPr>
            <w:r w:rsidRPr="00CB7A17">
              <w:rPr>
                <w:rFonts w:ascii="Verdana" w:hAnsi="Verdana"/>
                <w:sz w:val="20"/>
                <w:szCs w:val="24"/>
              </w:rPr>
              <w:t>Auditoría vigencia 2012.</w:t>
            </w:r>
          </w:p>
        </w:tc>
        <w:tc>
          <w:tcPr>
            <w:tcW w:w="2803" w:type="pct"/>
            <w:shd w:val="clear" w:color="auto" w:fill="A7BFDE"/>
            <w:vAlign w:val="center"/>
          </w:tcPr>
          <w:p w:rsidR="00DA252E" w:rsidRPr="00CB7A17" w:rsidRDefault="00DA252E" w:rsidP="00FF784D">
            <w:pPr>
              <w:pStyle w:val="Prrafodelista"/>
              <w:numPr>
                <w:ilvl w:val="0"/>
                <w:numId w:val="19"/>
              </w:numPr>
              <w:spacing w:after="0" w:line="240" w:lineRule="auto"/>
              <w:jc w:val="center"/>
              <w:rPr>
                <w:rFonts w:ascii="Verdana" w:hAnsi="Verdana"/>
                <w:sz w:val="20"/>
                <w:szCs w:val="24"/>
              </w:rPr>
            </w:pPr>
            <w:r w:rsidRPr="00CB7A17">
              <w:rPr>
                <w:rFonts w:ascii="Verdana" w:hAnsi="Verdana"/>
                <w:sz w:val="20"/>
                <w:szCs w:val="24"/>
              </w:rPr>
              <w:t>Fortalecer las herramientas de planeación y seguimiento contractual, presupuestal y de Supervisión.</w:t>
            </w:r>
          </w:p>
          <w:p w:rsidR="00DA252E" w:rsidRPr="00CB7A17" w:rsidRDefault="00DA252E" w:rsidP="00FF784D">
            <w:pPr>
              <w:pStyle w:val="Prrafodelista"/>
              <w:numPr>
                <w:ilvl w:val="0"/>
                <w:numId w:val="19"/>
              </w:numPr>
              <w:spacing w:after="0" w:line="240" w:lineRule="auto"/>
              <w:jc w:val="center"/>
              <w:rPr>
                <w:rFonts w:ascii="Verdana" w:hAnsi="Verdana"/>
                <w:sz w:val="20"/>
                <w:szCs w:val="24"/>
              </w:rPr>
            </w:pPr>
            <w:r w:rsidRPr="00CB7A17">
              <w:rPr>
                <w:rFonts w:ascii="Verdana" w:hAnsi="Verdana"/>
                <w:sz w:val="20"/>
                <w:szCs w:val="24"/>
              </w:rPr>
              <w:t>Elaborar e implementar un Protocolo para la realización  y seguimiento de los acuerdos de gestión.</w:t>
            </w:r>
          </w:p>
          <w:p w:rsidR="00DA252E" w:rsidRPr="00CB7A17" w:rsidRDefault="00DA252E" w:rsidP="00FF784D">
            <w:pPr>
              <w:pStyle w:val="Prrafodelista"/>
              <w:numPr>
                <w:ilvl w:val="0"/>
                <w:numId w:val="19"/>
              </w:numPr>
              <w:spacing w:after="0" w:line="240" w:lineRule="auto"/>
              <w:jc w:val="center"/>
              <w:rPr>
                <w:rFonts w:ascii="Verdana" w:hAnsi="Verdana"/>
                <w:sz w:val="20"/>
                <w:szCs w:val="24"/>
              </w:rPr>
            </w:pPr>
            <w:r w:rsidRPr="00CB7A17">
              <w:rPr>
                <w:rFonts w:ascii="Verdana" w:hAnsi="Verdana"/>
                <w:sz w:val="20"/>
                <w:szCs w:val="24"/>
              </w:rPr>
              <w:t>Generar alertas sobre el avance de la ejecución presupuestal</w:t>
            </w:r>
          </w:p>
          <w:p w:rsidR="00DA252E" w:rsidRPr="00CB7A17" w:rsidRDefault="00DA252E" w:rsidP="00FF784D">
            <w:pPr>
              <w:pStyle w:val="Prrafodelista"/>
              <w:numPr>
                <w:ilvl w:val="0"/>
                <w:numId w:val="19"/>
              </w:numPr>
              <w:spacing w:after="0" w:line="240" w:lineRule="auto"/>
              <w:jc w:val="center"/>
              <w:rPr>
                <w:rFonts w:ascii="Verdana" w:hAnsi="Verdana"/>
                <w:sz w:val="20"/>
                <w:szCs w:val="24"/>
              </w:rPr>
            </w:pPr>
            <w:r w:rsidRPr="00CB7A17">
              <w:rPr>
                <w:rFonts w:ascii="Verdana" w:hAnsi="Verdana"/>
                <w:sz w:val="20"/>
                <w:szCs w:val="24"/>
              </w:rPr>
              <w:t>Adoptar medidas a fin de mitigar los riesgos generados en la ejecución de los programas para garantizar  que la reserva presupuestal de la vigencia 2014 no exceda el 7% de la asignación presupuestal.</w:t>
            </w:r>
          </w:p>
        </w:tc>
      </w:tr>
    </w:tbl>
    <w:p w:rsidR="00DA252E" w:rsidRDefault="00DA252E" w:rsidP="00DA252E">
      <w:pPr>
        <w:pStyle w:val="Prrafodelista"/>
        <w:spacing w:after="0" w:line="240" w:lineRule="auto"/>
        <w:ind w:left="709"/>
        <w:jc w:val="both"/>
        <w:rPr>
          <w:rFonts w:ascii="Verdana" w:hAnsi="Verdana"/>
          <w:sz w:val="24"/>
          <w:szCs w:val="24"/>
        </w:rPr>
      </w:pPr>
    </w:p>
    <w:p w:rsidR="00DA252E" w:rsidRPr="00F71B84" w:rsidRDefault="00DA252E" w:rsidP="00FF784D">
      <w:pPr>
        <w:pStyle w:val="Prrafodelista"/>
        <w:numPr>
          <w:ilvl w:val="0"/>
          <w:numId w:val="19"/>
        </w:numPr>
        <w:spacing w:after="0" w:line="240" w:lineRule="auto"/>
        <w:ind w:left="709" w:hanging="283"/>
        <w:jc w:val="both"/>
        <w:rPr>
          <w:rFonts w:ascii="Verdana" w:hAnsi="Verdana"/>
          <w:sz w:val="24"/>
          <w:szCs w:val="24"/>
        </w:rPr>
      </w:pPr>
      <w:r w:rsidRPr="00F71B84">
        <w:rPr>
          <w:rFonts w:ascii="Verdana" w:hAnsi="Verdana"/>
          <w:sz w:val="24"/>
          <w:szCs w:val="24"/>
        </w:rPr>
        <w:t>Para los informes de auditorías recibidos de la Contraloría General de la República, el DPS estructuró y transmitió oportunamente el plan de mejoramiento correspondiente, en lo que respecta a los informes de i) Auditoria a los Estados Contables vigencia 2013, ii) Auditoria a la Política Red Superación Pobreza Extrema y iii) Auditoría Política Pública Generación de Ingresos.</w:t>
      </w:r>
    </w:p>
    <w:p w:rsidR="00DA252E" w:rsidRPr="00F71B84" w:rsidRDefault="00DA252E" w:rsidP="00FF784D">
      <w:pPr>
        <w:pStyle w:val="Prrafodelista"/>
        <w:numPr>
          <w:ilvl w:val="0"/>
          <w:numId w:val="19"/>
        </w:numPr>
        <w:spacing w:after="0" w:line="240" w:lineRule="auto"/>
        <w:ind w:left="709" w:hanging="283"/>
        <w:jc w:val="both"/>
        <w:rPr>
          <w:rFonts w:ascii="Verdana" w:hAnsi="Verdana"/>
          <w:sz w:val="24"/>
          <w:szCs w:val="24"/>
        </w:rPr>
      </w:pPr>
      <w:r w:rsidRPr="00F71B84">
        <w:rPr>
          <w:rFonts w:ascii="Verdana" w:hAnsi="Verdana"/>
          <w:sz w:val="24"/>
          <w:szCs w:val="24"/>
        </w:rPr>
        <w:t>El Plan de Mejoramiento Consolidado de la Entidad se encuentra conformado por 86 hallazgos, de ellos 34 son producto de las auditorías practicadas por la CGR el año inmediatamente anterior y sobre la vigencia 2013, distribuidos así: i) Auditoria a los Estados Contables vigencia 2013 con 12 hallazgos, ii) Auditoria a la Política Red Superación Pobreza Extrema con 6 hallazgos y iii) Auditoría Política Pública Generación de Ingresos con 16 hallazgos; los 52 restantes corresponden al Informe de Auditoría de la Contraloría General de la República a la vigencia 2012.</w:t>
      </w:r>
    </w:p>
    <w:p w:rsidR="00DA252E" w:rsidRPr="00F71B84" w:rsidRDefault="00DA252E" w:rsidP="00FF784D">
      <w:pPr>
        <w:pStyle w:val="Prrafodelista"/>
        <w:numPr>
          <w:ilvl w:val="0"/>
          <w:numId w:val="19"/>
        </w:numPr>
        <w:spacing w:after="0" w:line="240" w:lineRule="auto"/>
        <w:ind w:left="709" w:hanging="283"/>
        <w:jc w:val="both"/>
        <w:rPr>
          <w:rFonts w:ascii="Verdana" w:hAnsi="Verdana"/>
          <w:sz w:val="24"/>
          <w:szCs w:val="24"/>
        </w:rPr>
      </w:pPr>
      <w:r w:rsidRPr="00F71B84">
        <w:rPr>
          <w:rFonts w:ascii="Verdana" w:hAnsi="Verdana"/>
          <w:sz w:val="24"/>
          <w:szCs w:val="24"/>
        </w:rPr>
        <w:t>El plan de mejoramiento consolidado registra al corte del 31 de diciembre de 2014  los indicadores mostrados a continuación,:</w:t>
      </w:r>
    </w:p>
    <w:p w:rsidR="00DA252E" w:rsidRDefault="00DA252E" w:rsidP="00DA252E">
      <w:pPr>
        <w:spacing w:after="0" w:line="240" w:lineRule="auto"/>
        <w:ind w:left="708" w:firstLine="708"/>
        <w:jc w:val="both"/>
        <w:rPr>
          <w:rFonts w:ascii="Verdana" w:hAnsi="Verdana"/>
          <w:sz w:val="24"/>
          <w:szCs w:val="24"/>
        </w:rPr>
      </w:pPr>
    </w:p>
    <w:p w:rsidR="00DA252E" w:rsidRPr="00965E03" w:rsidRDefault="00DA252E" w:rsidP="00DA252E">
      <w:pPr>
        <w:spacing w:after="0" w:line="240" w:lineRule="auto"/>
        <w:ind w:left="708" w:firstLine="708"/>
        <w:jc w:val="both"/>
        <w:rPr>
          <w:rFonts w:ascii="Verdana" w:hAnsi="Verdana"/>
          <w:sz w:val="24"/>
          <w:szCs w:val="24"/>
        </w:rPr>
      </w:pPr>
      <w:r w:rsidRPr="00965E03">
        <w:rPr>
          <w:rFonts w:ascii="Verdana" w:hAnsi="Verdana"/>
          <w:sz w:val="24"/>
          <w:szCs w:val="24"/>
        </w:rPr>
        <w:t>Avance</w:t>
      </w:r>
      <w:r w:rsidRPr="00965E03">
        <w:rPr>
          <w:rFonts w:ascii="Verdana" w:hAnsi="Verdana"/>
          <w:sz w:val="24"/>
          <w:szCs w:val="24"/>
        </w:rPr>
        <w:tab/>
      </w:r>
      <w:r w:rsidRPr="00965E03">
        <w:rPr>
          <w:rFonts w:ascii="Verdana" w:hAnsi="Verdana"/>
          <w:sz w:val="24"/>
          <w:szCs w:val="24"/>
        </w:rPr>
        <w:tab/>
        <w:t>75,60%</w:t>
      </w:r>
    </w:p>
    <w:p w:rsidR="00DA252E" w:rsidRPr="00965E03" w:rsidRDefault="00DA252E" w:rsidP="00DA252E">
      <w:pPr>
        <w:pStyle w:val="Prrafodelista"/>
        <w:spacing w:after="0" w:line="240" w:lineRule="auto"/>
        <w:ind w:left="1068" w:firstLine="348"/>
        <w:rPr>
          <w:rFonts w:ascii="Verdana" w:hAnsi="Verdana"/>
          <w:sz w:val="24"/>
          <w:szCs w:val="24"/>
        </w:rPr>
      </w:pPr>
      <w:r w:rsidRPr="00965E03">
        <w:rPr>
          <w:rFonts w:ascii="Verdana" w:hAnsi="Verdana"/>
          <w:sz w:val="24"/>
          <w:szCs w:val="24"/>
        </w:rPr>
        <w:t xml:space="preserve">Cumplimiento </w:t>
      </w:r>
      <w:r w:rsidRPr="00965E03">
        <w:rPr>
          <w:rFonts w:ascii="Verdana" w:hAnsi="Verdana"/>
          <w:sz w:val="24"/>
          <w:szCs w:val="24"/>
        </w:rPr>
        <w:tab/>
        <w:t>93,39%</w:t>
      </w:r>
    </w:p>
    <w:p w:rsidR="00DA252E" w:rsidRDefault="00DA252E" w:rsidP="00DA252E">
      <w:pPr>
        <w:spacing w:after="0" w:line="240" w:lineRule="auto"/>
        <w:ind w:left="426"/>
        <w:jc w:val="both"/>
        <w:rPr>
          <w:rFonts w:ascii="Verdana" w:hAnsi="Verdana"/>
          <w:sz w:val="24"/>
          <w:szCs w:val="24"/>
        </w:rPr>
      </w:pPr>
    </w:p>
    <w:p w:rsidR="00DA252E" w:rsidRDefault="00DA252E" w:rsidP="00DA252E">
      <w:pPr>
        <w:spacing w:after="0" w:line="240" w:lineRule="auto"/>
        <w:ind w:left="426"/>
        <w:jc w:val="both"/>
        <w:rPr>
          <w:rFonts w:ascii="Verdana" w:hAnsi="Verdana"/>
          <w:sz w:val="24"/>
          <w:szCs w:val="24"/>
        </w:rPr>
      </w:pPr>
      <w:r w:rsidRPr="00F71B84">
        <w:rPr>
          <w:rFonts w:ascii="Verdana" w:hAnsi="Verdana"/>
          <w:sz w:val="24"/>
          <w:szCs w:val="24"/>
        </w:rPr>
        <w:t xml:space="preserve">El indicador de Avance corresponde al desarrollo o ejecución de 210 de las 300 actividades o metas propuestas. El indicador de cumplimiento está </w:t>
      </w:r>
      <w:r w:rsidRPr="00F71B84">
        <w:rPr>
          <w:rFonts w:ascii="Verdana" w:hAnsi="Verdana"/>
          <w:sz w:val="24"/>
          <w:szCs w:val="24"/>
        </w:rPr>
        <w:lastRenderedPageBreak/>
        <w:t>afectado por 61 actividades que debieron desarrollarse al 31 de diciembre de 2014 y aun no han sido reportadas.</w:t>
      </w:r>
    </w:p>
    <w:p w:rsidR="00DA252E" w:rsidRDefault="00DA252E" w:rsidP="00DA252E">
      <w:pPr>
        <w:spacing w:after="0" w:line="240" w:lineRule="auto"/>
        <w:ind w:left="426"/>
        <w:jc w:val="both"/>
        <w:rPr>
          <w:rFonts w:ascii="Verdana" w:hAnsi="Verdana"/>
          <w:i/>
          <w:color w:val="808080"/>
          <w:sz w:val="24"/>
          <w:szCs w:val="24"/>
        </w:rPr>
      </w:pPr>
    </w:p>
    <w:p w:rsidR="00DA252E" w:rsidRPr="0001325C" w:rsidRDefault="0001325C" w:rsidP="00421F33">
      <w:pPr>
        <w:pStyle w:val="Ttulo2"/>
        <w:spacing w:before="0" w:after="0" w:line="240" w:lineRule="auto"/>
        <w:rPr>
          <w:rFonts w:ascii="Verdana" w:hAnsi="Verdana"/>
          <w:i w:val="0"/>
          <w:color w:val="548DD4" w:themeColor="text2" w:themeTint="99"/>
          <w:sz w:val="24"/>
        </w:rPr>
      </w:pPr>
      <w:bookmarkStart w:id="78" w:name="_Toc410035287"/>
      <w:bookmarkStart w:id="79" w:name="_Toc410111303"/>
      <w:bookmarkStart w:id="80" w:name="_Toc410376799"/>
      <w:r w:rsidRPr="0001325C">
        <w:rPr>
          <w:rFonts w:ascii="Verdana" w:hAnsi="Verdana"/>
          <w:i w:val="0"/>
          <w:noProof/>
          <w:color w:val="548DD4" w:themeColor="text2" w:themeTint="99"/>
          <w:sz w:val="24"/>
          <w:lang w:eastAsia="es-CO"/>
        </w:rPr>
        <w:drawing>
          <wp:inline distT="0" distB="0" distL="0" distR="0">
            <wp:extent cx="216024" cy="216024"/>
            <wp:effectExtent l="19050" t="0" r="0" b="0"/>
            <wp:docPr id="463" name="Objet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7236296" y="2924944"/>
                      <a:chExt cx="216024" cy="216024"/>
                    </a:xfrm>
                  </a:grpSpPr>
                  <a:sp>
                    <a:nvSpPr>
                      <a:cNvPr id="39" name="38 Rectángulo redondeado"/>
                      <a:cNvSpPr/>
                    </a:nvSpPr>
                    <a:spPr>
                      <a:xfrm>
                        <a:off x="7236296" y="2924944"/>
                        <a:ext cx="216024" cy="216024"/>
                      </a:xfrm>
                      <a:prstGeom prst="roundRect">
                        <a:avLst/>
                      </a:prstGeom>
                      <a:gradFill flip="none" rotWithShape="1">
                        <a:gsLst>
                          <a:gs pos="0">
                            <a:schemeClr val="tx2">
                              <a:lumMod val="40000"/>
                              <a:lumOff val="60000"/>
                              <a:shade val="30000"/>
                              <a:satMod val="115000"/>
                            </a:schemeClr>
                          </a:gs>
                          <a:gs pos="50000">
                            <a:schemeClr val="tx2">
                              <a:lumMod val="40000"/>
                              <a:lumOff val="60000"/>
                              <a:shade val="67500"/>
                              <a:satMod val="115000"/>
                            </a:schemeClr>
                          </a:gs>
                          <a:gs pos="100000">
                            <a:schemeClr val="tx2">
                              <a:lumMod val="40000"/>
                              <a:lumOff val="60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dirty="0">
                            <a:solidFill>
                              <a:schemeClr val="accent4">
                                <a:lumMod val="40000"/>
                                <a:lumOff val="60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hAnsi="Verdana"/>
          <w:i w:val="0"/>
          <w:color w:val="548DD4" w:themeColor="text2" w:themeTint="99"/>
          <w:sz w:val="24"/>
        </w:rPr>
        <w:t xml:space="preserve">  </w:t>
      </w:r>
      <w:r w:rsidR="00DA252E" w:rsidRPr="0001325C">
        <w:rPr>
          <w:rFonts w:ascii="Verdana" w:hAnsi="Verdana"/>
          <w:i w:val="0"/>
          <w:color w:val="548DD4" w:themeColor="text2" w:themeTint="99"/>
          <w:sz w:val="24"/>
        </w:rPr>
        <w:t>DISEÑO, EVALUACIÓN Y FOCALIZACIÓN</w:t>
      </w:r>
      <w:bookmarkEnd w:id="78"/>
      <w:bookmarkEnd w:id="79"/>
      <w:bookmarkEnd w:id="80"/>
    </w:p>
    <w:p w:rsidR="00DA252E" w:rsidRPr="00F71B84" w:rsidRDefault="00DA252E" w:rsidP="00DA252E">
      <w:pPr>
        <w:spacing w:after="0" w:line="240" w:lineRule="auto"/>
        <w:jc w:val="center"/>
        <w:rPr>
          <w:rFonts w:ascii="Verdana" w:hAnsi="Verdana"/>
          <w:b/>
          <w:sz w:val="24"/>
          <w:szCs w:val="24"/>
        </w:rPr>
      </w:pPr>
    </w:p>
    <w:p w:rsidR="00DA252E" w:rsidRDefault="00DA252E" w:rsidP="00DA252E">
      <w:pPr>
        <w:spacing w:after="0" w:line="240" w:lineRule="auto"/>
        <w:jc w:val="both"/>
        <w:rPr>
          <w:rFonts w:ascii="Verdana" w:hAnsi="Verdana"/>
          <w:sz w:val="24"/>
          <w:szCs w:val="24"/>
        </w:rPr>
      </w:pPr>
      <w:r w:rsidRPr="00F71B84">
        <w:rPr>
          <w:rFonts w:ascii="Verdana" w:hAnsi="Verdana"/>
          <w:sz w:val="24"/>
          <w:szCs w:val="24"/>
        </w:rPr>
        <w:t xml:space="preserve">Para la vigencia 2014 el Departamento para la Prosperidad Social realizó diferentes ejercicios conducentes a la identificación de resultados en los programas operados desde la </w:t>
      </w:r>
      <w:r>
        <w:rPr>
          <w:rFonts w:ascii="Verdana" w:hAnsi="Verdana"/>
          <w:sz w:val="24"/>
          <w:szCs w:val="24"/>
        </w:rPr>
        <w:t>E</w:t>
      </w:r>
      <w:r w:rsidRPr="00F71B84">
        <w:rPr>
          <w:rFonts w:ascii="Verdana" w:hAnsi="Verdana"/>
          <w:sz w:val="24"/>
          <w:szCs w:val="24"/>
        </w:rPr>
        <w:t xml:space="preserve">ntidad. </w:t>
      </w:r>
    </w:p>
    <w:p w:rsidR="00DA252E" w:rsidRPr="00F71B84" w:rsidRDefault="00DA252E" w:rsidP="00DA252E">
      <w:pPr>
        <w:spacing w:after="0" w:line="240" w:lineRule="auto"/>
        <w:jc w:val="both"/>
        <w:rPr>
          <w:rFonts w:ascii="Verdana" w:hAnsi="Verdana"/>
          <w:sz w:val="24"/>
          <w:szCs w:val="24"/>
        </w:rPr>
      </w:pPr>
    </w:p>
    <w:p w:rsidR="00DA252E" w:rsidRDefault="00DA252E" w:rsidP="00DA252E">
      <w:pPr>
        <w:spacing w:after="0" w:line="240" w:lineRule="auto"/>
        <w:jc w:val="both"/>
        <w:rPr>
          <w:rFonts w:ascii="Verdana" w:hAnsi="Verdana"/>
          <w:sz w:val="24"/>
          <w:szCs w:val="24"/>
        </w:rPr>
      </w:pPr>
      <w:r w:rsidRPr="00F71B84">
        <w:rPr>
          <w:rFonts w:ascii="Verdana" w:hAnsi="Verdana"/>
          <w:sz w:val="24"/>
          <w:szCs w:val="24"/>
        </w:rPr>
        <w:t>Es así como a lo largo del año se realizaron dos levantamientos de líneas de base para pruebas piloto de intervenciones: (i) la primera hace referencia al piloto de calidad de la nutrición, el cual busca articular dos tipos de intervenciones, Más Familias en Acción con su incentivo de salud y la Red de Seguridad Alimentaria, para potenciar sus efectos en el estado nutricional de los niños, y (ii) el segundo corresponde al piloto de promoción derechos sexuales y reproductivos y prevención del embarazo adolescente, el cual tiene por objetivo promover la salud sexual y reproductiva, la toma de decisiones informadas y responsables y, por esta vía, la prevención de embarazos no planeados en adolescentes de 14 a 17 años de edad, a través de estrategias enmarcadas en los componentes de transferencias monetarias condicionadas y de bienestar comunitario del programa Más Familias en Acción. Estos dos pilotos tendrán levantamiento de información en 2015 para realizar el seguimiento correspondiente.</w:t>
      </w:r>
    </w:p>
    <w:p w:rsidR="00DA252E" w:rsidRPr="00F71B84" w:rsidRDefault="00DA252E" w:rsidP="00DA252E">
      <w:pPr>
        <w:spacing w:after="0" w:line="240" w:lineRule="auto"/>
        <w:jc w:val="both"/>
        <w:rPr>
          <w:rFonts w:ascii="Verdana" w:hAnsi="Verdana"/>
          <w:sz w:val="24"/>
          <w:szCs w:val="24"/>
        </w:rPr>
      </w:pPr>
    </w:p>
    <w:p w:rsidR="00DA252E" w:rsidRDefault="00DA252E" w:rsidP="00DA252E">
      <w:pPr>
        <w:spacing w:after="0" w:line="240" w:lineRule="auto"/>
        <w:jc w:val="both"/>
        <w:rPr>
          <w:rFonts w:ascii="Verdana" w:hAnsi="Verdana"/>
          <w:sz w:val="24"/>
          <w:szCs w:val="24"/>
        </w:rPr>
      </w:pPr>
      <w:r w:rsidRPr="00F71B84">
        <w:rPr>
          <w:rFonts w:ascii="Verdana" w:hAnsi="Verdana"/>
          <w:sz w:val="24"/>
          <w:szCs w:val="24"/>
        </w:rPr>
        <w:t xml:space="preserve">Por otra parte, se realizó la evaluación de operaciones y resultados al Programa Jóvenes en Acción, contratada con el Centro Nacional de Consultoría, la cual arrojó resultados positivos en cuanto al cumplimiento de los objetivos del programa. Sin embargo vale la pena precisar que este tipo de evaluación permite hacer una aproximación a los cambios en las condiciones de los beneficiarios atribuibles o no a los productos entregados por un programa. </w:t>
      </w:r>
    </w:p>
    <w:p w:rsidR="00DA252E" w:rsidRPr="00F71B84" w:rsidRDefault="00DA252E" w:rsidP="00DA252E">
      <w:pPr>
        <w:spacing w:after="0" w:line="240" w:lineRule="auto"/>
        <w:jc w:val="both"/>
        <w:rPr>
          <w:rFonts w:ascii="Verdana" w:hAnsi="Verdana"/>
          <w:sz w:val="24"/>
          <w:szCs w:val="24"/>
        </w:rPr>
      </w:pPr>
      <w:r w:rsidRPr="00F71B84">
        <w:rPr>
          <w:rFonts w:ascii="Verdana" w:hAnsi="Verdana"/>
          <w:sz w:val="24"/>
          <w:szCs w:val="24"/>
        </w:rPr>
        <w:t xml:space="preserve">  </w:t>
      </w:r>
    </w:p>
    <w:p w:rsidR="00DA252E" w:rsidRPr="00F71B84" w:rsidRDefault="00DA252E" w:rsidP="00DA252E">
      <w:pPr>
        <w:autoSpaceDE w:val="0"/>
        <w:autoSpaceDN w:val="0"/>
        <w:adjustRightInd w:val="0"/>
        <w:spacing w:after="0" w:line="240" w:lineRule="auto"/>
        <w:jc w:val="both"/>
        <w:rPr>
          <w:rFonts w:ascii="Verdana" w:hAnsi="Verdana" w:cs="Arial"/>
          <w:sz w:val="24"/>
          <w:szCs w:val="24"/>
        </w:rPr>
      </w:pPr>
      <w:r w:rsidRPr="00F71B84">
        <w:rPr>
          <w:rFonts w:ascii="Verdana" w:hAnsi="Verdana" w:cs="Arial"/>
          <w:sz w:val="24"/>
          <w:szCs w:val="24"/>
        </w:rPr>
        <w:t xml:space="preserve">Como conclusión general del ejercicio se observa que desde una perspectiva estrictamente económica, de análisis de costos y beneficios, la formación para el trabajo de jóvenes en extrema pobreza es una actividad rentable tanto a escala individual como social, realzando la importancia de los objetivos del programa </w:t>
      </w:r>
      <w:r w:rsidRPr="00F71B84">
        <w:rPr>
          <w:rFonts w:ascii="Verdana" w:hAnsi="Verdana"/>
          <w:sz w:val="24"/>
          <w:szCs w:val="24"/>
        </w:rPr>
        <w:t>Jóvenes en Acción</w:t>
      </w:r>
      <w:r w:rsidRPr="00F71B84">
        <w:rPr>
          <w:rFonts w:ascii="Verdana" w:hAnsi="Verdana" w:cs="Arial"/>
          <w:sz w:val="24"/>
          <w:szCs w:val="24"/>
        </w:rPr>
        <w:t>.</w:t>
      </w:r>
    </w:p>
    <w:p w:rsidR="00DA252E" w:rsidRPr="00F71B84" w:rsidRDefault="00DA252E" w:rsidP="00DA252E">
      <w:pPr>
        <w:autoSpaceDE w:val="0"/>
        <w:autoSpaceDN w:val="0"/>
        <w:adjustRightInd w:val="0"/>
        <w:spacing w:after="0" w:line="240" w:lineRule="auto"/>
        <w:jc w:val="both"/>
        <w:rPr>
          <w:rFonts w:ascii="Verdana" w:hAnsi="Verdana" w:cs="Arial"/>
          <w:sz w:val="24"/>
          <w:szCs w:val="24"/>
        </w:rPr>
      </w:pPr>
    </w:p>
    <w:p w:rsidR="00DA252E" w:rsidRPr="00F71B84" w:rsidRDefault="00DA252E" w:rsidP="00DA252E">
      <w:pPr>
        <w:autoSpaceDE w:val="0"/>
        <w:autoSpaceDN w:val="0"/>
        <w:adjustRightInd w:val="0"/>
        <w:spacing w:after="0" w:line="240" w:lineRule="auto"/>
        <w:jc w:val="both"/>
        <w:rPr>
          <w:rFonts w:ascii="Verdana" w:hAnsi="Verdana"/>
          <w:sz w:val="24"/>
          <w:szCs w:val="24"/>
        </w:rPr>
      </w:pPr>
      <w:r w:rsidRPr="00F71B84">
        <w:rPr>
          <w:rFonts w:ascii="Verdana" w:hAnsi="Verdana"/>
          <w:sz w:val="24"/>
          <w:szCs w:val="24"/>
        </w:rPr>
        <w:t xml:space="preserve">Los cambios presentados en los jóvenes participantes del programa, medidos a partir de los objetivos del mismo fueron analizados en los siguientes indicadores: (i) empleabilidad, (ii) ingresos, y  (iii) beneficios percibidos por los jóvenes. </w:t>
      </w:r>
    </w:p>
    <w:p w:rsidR="00DA252E" w:rsidRDefault="00DA252E" w:rsidP="00DA252E">
      <w:pPr>
        <w:pStyle w:val="Prrafodelista"/>
        <w:spacing w:after="0" w:line="240" w:lineRule="auto"/>
        <w:rPr>
          <w:rFonts w:ascii="Verdana" w:hAnsi="Verdana"/>
          <w:b/>
          <w:sz w:val="24"/>
          <w:szCs w:val="24"/>
        </w:rPr>
      </w:pPr>
    </w:p>
    <w:p w:rsidR="00FE71FF" w:rsidRPr="00F71B84" w:rsidRDefault="00FE71FF" w:rsidP="00DA252E">
      <w:pPr>
        <w:pStyle w:val="Prrafodelista"/>
        <w:spacing w:after="0" w:line="240" w:lineRule="auto"/>
        <w:rPr>
          <w:rFonts w:ascii="Verdana" w:hAnsi="Verdana"/>
          <w:b/>
          <w:sz w:val="24"/>
          <w:szCs w:val="24"/>
        </w:rPr>
      </w:pPr>
    </w:p>
    <w:p w:rsidR="00DA252E" w:rsidRPr="00421F33" w:rsidRDefault="0001325C" w:rsidP="00421F33">
      <w:pPr>
        <w:keepLines/>
        <w:spacing w:after="0" w:line="240" w:lineRule="auto"/>
        <w:jc w:val="both"/>
        <w:rPr>
          <w:rFonts w:ascii="Verdana" w:hAnsi="Verdana"/>
          <w:b/>
          <w:color w:val="548DD4" w:themeColor="text2" w:themeTint="99"/>
          <w:sz w:val="24"/>
          <w:szCs w:val="24"/>
          <w:u w:val="single"/>
        </w:rPr>
      </w:pPr>
      <w:r w:rsidRPr="0007719D">
        <w:rPr>
          <w:rFonts w:ascii="Verdana" w:hAnsi="Verdana"/>
          <w:b/>
          <w:noProof/>
          <w:color w:val="548DD4" w:themeColor="text2" w:themeTint="99"/>
          <w:sz w:val="24"/>
          <w:szCs w:val="24"/>
          <w:lang w:eastAsia="es-CO"/>
        </w:rPr>
        <w:drawing>
          <wp:inline distT="0" distB="0" distL="0" distR="0">
            <wp:extent cx="216024" cy="216024"/>
            <wp:effectExtent l="19050" t="0" r="0" b="0"/>
            <wp:docPr id="464" name="Objet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7236296" y="2924944"/>
                      <a:chExt cx="216024" cy="216024"/>
                    </a:xfrm>
                  </a:grpSpPr>
                  <a:sp>
                    <a:nvSpPr>
                      <a:cNvPr id="39" name="38 Rectángulo redondeado"/>
                      <a:cNvSpPr/>
                    </a:nvSpPr>
                    <a:spPr>
                      <a:xfrm>
                        <a:off x="7236296" y="2924944"/>
                        <a:ext cx="216024" cy="216024"/>
                      </a:xfrm>
                      <a:prstGeom prst="roundRect">
                        <a:avLst/>
                      </a:prstGeom>
                      <a:gradFill flip="none" rotWithShape="1">
                        <a:gsLst>
                          <a:gs pos="0">
                            <a:schemeClr val="tx2">
                              <a:lumMod val="40000"/>
                              <a:lumOff val="60000"/>
                              <a:shade val="30000"/>
                              <a:satMod val="115000"/>
                            </a:schemeClr>
                          </a:gs>
                          <a:gs pos="50000">
                            <a:schemeClr val="tx2">
                              <a:lumMod val="40000"/>
                              <a:lumOff val="60000"/>
                              <a:shade val="67500"/>
                              <a:satMod val="115000"/>
                            </a:schemeClr>
                          </a:gs>
                          <a:gs pos="100000">
                            <a:schemeClr val="tx2">
                              <a:lumMod val="40000"/>
                              <a:lumOff val="60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dirty="0">
                            <a:solidFill>
                              <a:schemeClr val="accent4">
                                <a:lumMod val="40000"/>
                                <a:lumOff val="60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07719D">
        <w:rPr>
          <w:rFonts w:ascii="Verdana" w:hAnsi="Verdana"/>
          <w:b/>
          <w:color w:val="548DD4" w:themeColor="text2" w:themeTint="99"/>
          <w:sz w:val="24"/>
          <w:szCs w:val="24"/>
        </w:rPr>
        <w:t xml:space="preserve">  </w:t>
      </w:r>
      <w:r w:rsidR="00DA252E" w:rsidRPr="00421F33">
        <w:rPr>
          <w:rFonts w:ascii="Verdana" w:hAnsi="Verdana"/>
          <w:b/>
          <w:color w:val="548DD4" w:themeColor="text2" w:themeTint="99"/>
          <w:sz w:val="24"/>
          <w:szCs w:val="24"/>
          <w:u w:val="single"/>
        </w:rPr>
        <w:t xml:space="preserve">Empleabilidad </w:t>
      </w:r>
      <w:r w:rsidR="00BE7181">
        <w:rPr>
          <w:rFonts w:ascii="Verdana" w:hAnsi="Verdana"/>
          <w:b/>
          <w:color w:val="548DD4" w:themeColor="text2" w:themeTint="99"/>
          <w:sz w:val="24"/>
          <w:szCs w:val="24"/>
          <w:u w:val="single"/>
        </w:rPr>
        <w:t>– impactos de la Gestión</w:t>
      </w:r>
    </w:p>
    <w:p w:rsidR="00DA252E" w:rsidRPr="00405354" w:rsidRDefault="00DA252E" w:rsidP="00DA252E">
      <w:pPr>
        <w:pStyle w:val="Prrafodelista"/>
        <w:keepLines/>
        <w:spacing w:after="0" w:line="240" w:lineRule="auto"/>
        <w:contextualSpacing w:val="0"/>
        <w:jc w:val="both"/>
        <w:rPr>
          <w:rFonts w:ascii="Verdana" w:hAnsi="Verdana"/>
          <w:b/>
          <w:color w:val="548DD4" w:themeColor="text2" w:themeTint="99"/>
          <w:sz w:val="24"/>
          <w:szCs w:val="24"/>
        </w:rPr>
      </w:pPr>
    </w:p>
    <w:p w:rsidR="00DA252E" w:rsidRPr="00F71B84" w:rsidRDefault="00DA252E" w:rsidP="00DA252E">
      <w:pPr>
        <w:spacing w:after="0" w:line="240" w:lineRule="auto"/>
        <w:jc w:val="both"/>
        <w:rPr>
          <w:rFonts w:ascii="Verdana" w:hAnsi="Verdana"/>
          <w:sz w:val="24"/>
          <w:szCs w:val="24"/>
        </w:rPr>
      </w:pPr>
      <w:r w:rsidRPr="00F71B84">
        <w:rPr>
          <w:rFonts w:ascii="Verdana" w:hAnsi="Verdana"/>
          <w:sz w:val="24"/>
          <w:szCs w:val="24"/>
        </w:rPr>
        <w:t xml:space="preserve">Aproximadamente al año de haberse implementado el programa Jóvenes en Acción se presentó un considerable incremento de la participación de los jóvenes en el mercado laboral. En especial, las mujeres jóvenes han dejado las labores del hogar para integrarse al mercado. Asimismo la informalidad entre los asalariados disminuyo y el empleo asalariado formal tomó mayor impulso. </w:t>
      </w:r>
    </w:p>
    <w:p w:rsidR="00DA252E" w:rsidRPr="00F71B84" w:rsidRDefault="0001325C" w:rsidP="00DA252E">
      <w:pPr>
        <w:spacing w:after="0" w:line="240" w:lineRule="auto"/>
        <w:jc w:val="both"/>
        <w:rPr>
          <w:rFonts w:ascii="Verdana" w:hAnsi="Verdana"/>
          <w:sz w:val="24"/>
          <w:szCs w:val="24"/>
        </w:rPr>
      </w:pPr>
      <w:r>
        <w:rPr>
          <w:rFonts w:ascii="Verdana" w:hAnsi="Verdana"/>
          <w:noProof/>
          <w:sz w:val="24"/>
          <w:szCs w:val="24"/>
          <w:lang w:eastAsia="es-CO"/>
        </w:rPr>
        <w:drawing>
          <wp:anchor distT="0" distB="0" distL="114300" distR="114300" simplePos="0" relativeHeight="251680768" behindDoc="1" locked="0" layoutInCell="1" allowOverlap="1">
            <wp:simplePos x="0" y="0"/>
            <wp:positionH relativeFrom="column">
              <wp:posOffset>3810</wp:posOffset>
            </wp:positionH>
            <wp:positionV relativeFrom="paragraph">
              <wp:posOffset>201930</wp:posOffset>
            </wp:positionV>
            <wp:extent cx="6305550" cy="4010025"/>
            <wp:effectExtent l="19050" t="0" r="0" b="0"/>
            <wp:wrapTopAndBottom/>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6305550" cy="4010025"/>
                    </a:xfrm>
                    <a:prstGeom prst="rect">
                      <a:avLst/>
                    </a:prstGeom>
                    <a:noFill/>
                    <a:ln w="9525">
                      <a:noFill/>
                      <a:miter lim="800000"/>
                      <a:headEnd/>
                      <a:tailEnd/>
                    </a:ln>
                  </pic:spPr>
                </pic:pic>
              </a:graphicData>
            </a:graphic>
          </wp:anchor>
        </w:drawing>
      </w:r>
    </w:p>
    <w:p w:rsidR="00DA252E" w:rsidRPr="0001325C" w:rsidRDefault="00DA252E" w:rsidP="0001325C">
      <w:pPr>
        <w:pStyle w:val="Epgrafe"/>
        <w:keepNext/>
        <w:spacing w:after="0"/>
        <w:jc w:val="right"/>
        <w:rPr>
          <w:rFonts w:ascii="Verdana" w:hAnsi="Verdana"/>
          <w:b w:val="0"/>
          <w:color w:val="auto"/>
          <w:sz w:val="20"/>
          <w:szCs w:val="20"/>
        </w:rPr>
      </w:pPr>
      <w:bookmarkStart w:id="81" w:name="_Toc393227535"/>
      <w:r w:rsidRPr="0001325C">
        <w:rPr>
          <w:rFonts w:ascii="Verdana" w:hAnsi="Verdana"/>
          <w:b w:val="0"/>
          <w:color w:val="auto"/>
          <w:sz w:val="20"/>
          <w:szCs w:val="20"/>
        </w:rPr>
        <w:t>Porcentaje  de Jóvenes en Acción según categoría ocupacional, antes y después de la formación</w:t>
      </w:r>
      <w:bookmarkEnd w:id="81"/>
    </w:p>
    <w:p w:rsidR="00DA252E" w:rsidRPr="0001325C" w:rsidRDefault="00DA252E" w:rsidP="00E25DCE">
      <w:pPr>
        <w:spacing w:after="0" w:line="240" w:lineRule="auto"/>
        <w:jc w:val="right"/>
        <w:rPr>
          <w:rFonts w:ascii="Verdana" w:hAnsi="Verdana"/>
          <w:sz w:val="20"/>
          <w:szCs w:val="20"/>
        </w:rPr>
      </w:pPr>
      <w:r w:rsidRPr="0001325C">
        <w:rPr>
          <w:rFonts w:ascii="Verdana" w:hAnsi="Verdana"/>
          <w:sz w:val="20"/>
          <w:szCs w:val="20"/>
        </w:rPr>
        <w:t>Fuente: Encuesta a Jóvenes en Acción. CNC (2014)</w:t>
      </w:r>
    </w:p>
    <w:p w:rsidR="00DA252E" w:rsidRDefault="00DA252E" w:rsidP="00DA252E">
      <w:pPr>
        <w:spacing w:after="0" w:line="240" w:lineRule="auto"/>
        <w:jc w:val="both"/>
        <w:rPr>
          <w:rFonts w:ascii="Verdana" w:hAnsi="Verdana"/>
          <w:color w:val="548DD4" w:themeColor="text2" w:themeTint="99"/>
          <w:sz w:val="24"/>
          <w:szCs w:val="24"/>
        </w:rPr>
      </w:pPr>
    </w:p>
    <w:p w:rsidR="0001325C" w:rsidRDefault="0001325C" w:rsidP="00DA252E">
      <w:pPr>
        <w:spacing w:after="0" w:line="240" w:lineRule="auto"/>
        <w:jc w:val="both"/>
        <w:rPr>
          <w:rFonts w:ascii="Verdana" w:hAnsi="Verdana"/>
          <w:color w:val="548DD4" w:themeColor="text2" w:themeTint="99"/>
          <w:sz w:val="24"/>
          <w:szCs w:val="24"/>
        </w:rPr>
      </w:pPr>
    </w:p>
    <w:p w:rsidR="00FE71FF" w:rsidRDefault="00FE71FF" w:rsidP="00DA252E">
      <w:pPr>
        <w:spacing w:after="0" w:line="240" w:lineRule="auto"/>
        <w:jc w:val="both"/>
        <w:rPr>
          <w:rFonts w:ascii="Verdana" w:hAnsi="Verdana"/>
          <w:color w:val="548DD4" w:themeColor="text2" w:themeTint="99"/>
          <w:sz w:val="24"/>
          <w:szCs w:val="24"/>
        </w:rPr>
      </w:pPr>
    </w:p>
    <w:p w:rsidR="00FE71FF" w:rsidRDefault="00FE71FF" w:rsidP="00DA252E">
      <w:pPr>
        <w:spacing w:after="0" w:line="240" w:lineRule="auto"/>
        <w:jc w:val="both"/>
        <w:rPr>
          <w:rFonts w:ascii="Verdana" w:hAnsi="Verdana"/>
          <w:color w:val="548DD4" w:themeColor="text2" w:themeTint="99"/>
          <w:sz w:val="24"/>
          <w:szCs w:val="24"/>
        </w:rPr>
      </w:pPr>
    </w:p>
    <w:p w:rsidR="00FE71FF" w:rsidRDefault="00FE71FF" w:rsidP="00DA252E">
      <w:pPr>
        <w:spacing w:after="0" w:line="240" w:lineRule="auto"/>
        <w:jc w:val="both"/>
        <w:rPr>
          <w:rFonts w:ascii="Verdana" w:hAnsi="Verdana"/>
          <w:color w:val="548DD4" w:themeColor="text2" w:themeTint="99"/>
          <w:sz w:val="24"/>
          <w:szCs w:val="24"/>
        </w:rPr>
      </w:pPr>
    </w:p>
    <w:p w:rsidR="00DA252E" w:rsidRPr="00421F33" w:rsidRDefault="0001325C" w:rsidP="00421F33">
      <w:pPr>
        <w:keepLines/>
        <w:spacing w:after="0" w:line="240" w:lineRule="auto"/>
        <w:jc w:val="both"/>
        <w:rPr>
          <w:rFonts w:ascii="Verdana" w:hAnsi="Verdana"/>
          <w:b/>
          <w:color w:val="548DD4" w:themeColor="text2" w:themeTint="99"/>
          <w:sz w:val="24"/>
          <w:szCs w:val="24"/>
          <w:u w:val="single"/>
        </w:rPr>
      </w:pPr>
      <w:r w:rsidRPr="0007719D">
        <w:rPr>
          <w:rFonts w:ascii="Verdana" w:hAnsi="Verdana"/>
          <w:b/>
          <w:noProof/>
          <w:color w:val="548DD4" w:themeColor="text2" w:themeTint="99"/>
          <w:sz w:val="24"/>
          <w:szCs w:val="24"/>
          <w:lang w:eastAsia="es-CO"/>
        </w:rPr>
        <w:lastRenderedPageBreak/>
        <w:drawing>
          <wp:inline distT="0" distB="0" distL="0" distR="0">
            <wp:extent cx="216024" cy="216024"/>
            <wp:effectExtent l="19050" t="0" r="0" b="0"/>
            <wp:docPr id="465" name="Objet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7236296" y="2924944"/>
                      <a:chExt cx="216024" cy="216024"/>
                    </a:xfrm>
                  </a:grpSpPr>
                  <a:sp>
                    <a:nvSpPr>
                      <a:cNvPr id="39" name="38 Rectángulo redondeado"/>
                      <a:cNvSpPr/>
                    </a:nvSpPr>
                    <a:spPr>
                      <a:xfrm>
                        <a:off x="7236296" y="2924944"/>
                        <a:ext cx="216024" cy="216024"/>
                      </a:xfrm>
                      <a:prstGeom prst="roundRect">
                        <a:avLst/>
                      </a:prstGeom>
                      <a:gradFill flip="none" rotWithShape="1">
                        <a:gsLst>
                          <a:gs pos="0">
                            <a:schemeClr val="tx2">
                              <a:lumMod val="40000"/>
                              <a:lumOff val="60000"/>
                              <a:shade val="30000"/>
                              <a:satMod val="115000"/>
                            </a:schemeClr>
                          </a:gs>
                          <a:gs pos="50000">
                            <a:schemeClr val="tx2">
                              <a:lumMod val="40000"/>
                              <a:lumOff val="60000"/>
                              <a:shade val="67500"/>
                              <a:satMod val="115000"/>
                            </a:schemeClr>
                          </a:gs>
                          <a:gs pos="100000">
                            <a:schemeClr val="tx2">
                              <a:lumMod val="40000"/>
                              <a:lumOff val="60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dirty="0">
                            <a:solidFill>
                              <a:schemeClr val="accent4">
                                <a:lumMod val="40000"/>
                                <a:lumOff val="60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07719D">
        <w:rPr>
          <w:rFonts w:ascii="Verdana" w:hAnsi="Verdana"/>
          <w:b/>
          <w:color w:val="548DD4" w:themeColor="text2" w:themeTint="99"/>
          <w:sz w:val="24"/>
          <w:szCs w:val="24"/>
        </w:rPr>
        <w:t xml:space="preserve"> </w:t>
      </w:r>
      <w:r>
        <w:rPr>
          <w:rFonts w:ascii="Verdana" w:hAnsi="Verdana"/>
          <w:b/>
          <w:color w:val="548DD4" w:themeColor="text2" w:themeTint="99"/>
          <w:sz w:val="24"/>
          <w:szCs w:val="24"/>
          <w:u w:val="single"/>
        </w:rPr>
        <w:t xml:space="preserve"> </w:t>
      </w:r>
      <w:r w:rsidR="00DA252E" w:rsidRPr="00421F33">
        <w:rPr>
          <w:rFonts w:ascii="Verdana" w:hAnsi="Verdana"/>
          <w:b/>
          <w:color w:val="548DD4" w:themeColor="text2" w:themeTint="99"/>
          <w:sz w:val="24"/>
          <w:szCs w:val="24"/>
          <w:u w:val="single"/>
        </w:rPr>
        <w:t>Ingresos laborales</w:t>
      </w:r>
      <w:r>
        <w:rPr>
          <w:rFonts w:ascii="Verdana" w:hAnsi="Verdana"/>
          <w:b/>
          <w:color w:val="548DD4" w:themeColor="text2" w:themeTint="99"/>
          <w:sz w:val="24"/>
          <w:szCs w:val="24"/>
          <w:u w:val="single"/>
        </w:rPr>
        <w:t xml:space="preserve"> – Impactos de la Gestión</w:t>
      </w:r>
    </w:p>
    <w:p w:rsidR="00DA252E" w:rsidRDefault="00DA252E" w:rsidP="00DA252E">
      <w:pPr>
        <w:pStyle w:val="Prrafodelista"/>
        <w:spacing w:after="0" w:line="240" w:lineRule="auto"/>
        <w:rPr>
          <w:rFonts w:ascii="Verdana" w:hAnsi="Verdana"/>
          <w:sz w:val="24"/>
          <w:szCs w:val="24"/>
        </w:rPr>
      </w:pPr>
    </w:p>
    <w:p w:rsidR="0001325C" w:rsidRPr="00F71B84" w:rsidRDefault="0001325C" w:rsidP="00DA252E">
      <w:pPr>
        <w:pStyle w:val="Prrafodelista"/>
        <w:spacing w:after="0" w:line="240" w:lineRule="auto"/>
        <w:rPr>
          <w:rFonts w:ascii="Verdana" w:hAnsi="Verdana"/>
          <w:sz w:val="24"/>
          <w:szCs w:val="24"/>
        </w:rPr>
      </w:pPr>
    </w:p>
    <w:p w:rsidR="00DA252E" w:rsidRDefault="00DA252E" w:rsidP="00DA252E">
      <w:pPr>
        <w:spacing w:after="0" w:line="240" w:lineRule="auto"/>
        <w:jc w:val="both"/>
        <w:rPr>
          <w:rFonts w:ascii="Verdana" w:hAnsi="Verdana"/>
          <w:sz w:val="24"/>
          <w:szCs w:val="24"/>
        </w:rPr>
      </w:pPr>
      <w:r w:rsidRPr="00F71B84">
        <w:rPr>
          <w:rFonts w:ascii="Verdana" w:hAnsi="Verdana"/>
          <w:sz w:val="24"/>
          <w:szCs w:val="24"/>
        </w:rPr>
        <w:t>En  términos reales los ingresos de los jóvenes aumentaron unos cuatro puntos porcentuales en tan solo un año, aproximadamente.  Este resultado es aun más notable si se piensa que pudo ser alcanzado trabajando menos horas.</w:t>
      </w:r>
    </w:p>
    <w:p w:rsidR="00DA252E" w:rsidRDefault="00DA252E" w:rsidP="00DA252E">
      <w:pPr>
        <w:spacing w:after="0" w:line="240" w:lineRule="auto"/>
        <w:jc w:val="both"/>
        <w:rPr>
          <w:rFonts w:ascii="Verdana" w:hAnsi="Verdana"/>
          <w:sz w:val="24"/>
          <w:szCs w:val="24"/>
        </w:rPr>
      </w:pP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tblPr>
      <w:tblGrid>
        <w:gridCol w:w="1789"/>
        <w:gridCol w:w="858"/>
        <w:gridCol w:w="833"/>
        <w:gridCol w:w="8"/>
        <w:gridCol w:w="693"/>
        <w:gridCol w:w="8"/>
        <w:gridCol w:w="691"/>
        <w:gridCol w:w="16"/>
        <w:gridCol w:w="683"/>
        <w:gridCol w:w="18"/>
        <w:gridCol w:w="683"/>
        <w:gridCol w:w="18"/>
        <w:gridCol w:w="681"/>
        <w:gridCol w:w="20"/>
        <w:gridCol w:w="683"/>
        <w:gridCol w:w="18"/>
        <w:gridCol w:w="683"/>
        <w:gridCol w:w="20"/>
        <w:gridCol w:w="821"/>
        <w:gridCol w:w="964"/>
      </w:tblGrid>
      <w:tr w:rsidR="00CB5CC4" w:rsidRPr="0025798F" w:rsidTr="00FE71FF">
        <w:trPr>
          <w:trHeight w:val="300"/>
        </w:trPr>
        <w:tc>
          <w:tcPr>
            <w:tcW w:w="878" w:type="pct"/>
            <w:vMerge w:val="restart"/>
            <w:shd w:val="clear" w:color="auto" w:fill="548DD4" w:themeFill="text2" w:themeFillTint="99"/>
            <w:hideMark/>
          </w:tcPr>
          <w:p w:rsidR="00DA252E" w:rsidRPr="007534F5" w:rsidRDefault="00DA252E" w:rsidP="00DA252E">
            <w:pPr>
              <w:spacing w:after="0" w:line="240" w:lineRule="auto"/>
              <w:jc w:val="center"/>
              <w:rPr>
                <w:rFonts w:ascii="Verdana" w:eastAsia="Times New Roman" w:hAnsi="Verdana" w:cs="Arial"/>
                <w:b/>
                <w:bCs/>
                <w:color w:val="FFFFFF" w:themeColor="background1"/>
                <w:sz w:val="20"/>
                <w:szCs w:val="20"/>
                <w:lang w:eastAsia="es-CO"/>
              </w:rPr>
            </w:pPr>
            <w:r w:rsidRPr="007534F5">
              <w:rPr>
                <w:rFonts w:ascii="Verdana" w:eastAsia="Times New Roman" w:hAnsi="Verdana" w:cs="Arial"/>
                <w:b/>
                <w:bCs/>
                <w:color w:val="FFFFFF" w:themeColor="background1"/>
                <w:sz w:val="20"/>
                <w:szCs w:val="20"/>
                <w:lang w:eastAsia="es-CO"/>
              </w:rPr>
              <w:t>Ingresos laborales</w:t>
            </w:r>
          </w:p>
        </w:tc>
        <w:tc>
          <w:tcPr>
            <w:tcW w:w="421" w:type="pct"/>
            <w:shd w:val="clear" w:color="auto" w:fill="548DD4" w:themeFill="text2" w:themeFillTint="99"/>
            <w:noWrap/>
            <w:hideMark/>
          </w:tcPr>
          <w:p w:rsidR="00DA252E" w:rsidRPr="007534F5" w:rsidRDefault="00DA252E" w:rsidP="00DA252E">
            <w:pPr>
              <w:spacing w:after="0" w:line="240" w:lineRule="auto"/>
              <w:jc w:val="center"/>
              <w:rPr>
                <w:rFonts w:ascii="Verdana" w:eastAsia="Times New Roman" w:hAnsi="Verdana" w:cs="Arial"/>
                <w:b/>
                <w:bCs/>
                <w:color w:val="FFFFFF" w:themeColor="background1"/>
                <w:sz w:val="20"/>
                <w:szCs w:val="20"/>
                <w:lang w:eastAsia="es-CO"/>
              </w:rPr>
            </w:pPr>
            <w:r w:rsidRPr="007534F5">
              <w:rPr>
                <w:rFonts w:ascii="Verdana" w:eastAsia="Times New Roman" w:hAnsi="Verdana" w:cs="Arial"/>
                <w:b/>
                <w:bCs/>
                <w:color w:val="FFFFFF" w:themeColor="background1"/>
                <w:sz w:val="20"/>
                <w:szCs w:val="20"/>
                <w:lang w:eastAsia="es-CO"/>
              </w:rPr>
              <w:t>Total</w:t>
            </w:r>
          </w:p>
        </w:tc>
        <w:tc>
          <w:tcPr>
            <w:tcW w:w="753" w:type="pct"/>
            <w:gridSpan w:val="3"/>
            <w:shd w:val="clear" w:color="auto" w:fill="548DD4" w:themeFill="text2" w:themeFillTint="99"/>
            <w:noWrap/>
            <w:hideMark/>
          </w:tcPr>
          <w:p w:rsidR="00DA252E" w:rsidRPr="007534F5" w:rsidRDefault="00DA252E" w:rsidP="00DA252E">
            <w:pPr>
              <w:spacing w:after="0" w:line="240" w:lineRule="auto"/>
              <w:jc w:val="center"/>
              <w:rPr>
                <w:rFonts w:ascii="Verdana" w:eastAsia="Times New Roman" w:hAnsi="Verdana" w:cs="Arial"/>
                <w:b/>
                <w:bCs/>
                <w:color w:val="FFFFFF" w:themeColor="background1"/>
                <w:sz w:val="20"/>
                <w:szCs w:val="20"/>
                <w:lang w:eastAsia="es-CO"/>
              </w:rPr>
            </w:pPr>
            <w:r w:rsidRPr="007534F5">
              <w:rPr>
                <w:rFonts w:ascii="Verdana" w:eastAsia="Times New Roman" w:hAnsi="Verdana" w:cs="Arial"/>
                <w:b/>
                <w:bCs/>
                <w:color w:val="FFFFFF" w:themeColor="background1"/>
                <w:sz w:val="20"/>
                <w:szCs w:val="20"/>
                <w:lang w:eastAsia="es-CO"/>
              </w:rPr>
              <w:t>G</w:t>
            </w:r>
            <w:r>
              <w:rPr>
                <w:rFonts w:ascii="Verdana" w:eastAsia="Times New Roman" w:hAnsi="Verdana" w:cs="Arial"/>
                <w:b/>
                <w:bCs/>
                <w:color w:val="FFFFFF" w:themeColor="background1"/>
                <w:sz w:val="20"/>
                <w:szCs w:val="20"/>
                <w:lang w:eastAsia="es-CO"/>
              </w:rPr>
              <w:t>é</w:t>
            </w:r>
            <w:r w:rsidRPr="007534F5">
              <w:rPr>
                <w:rFonts w:ascii="Verdana" w:eastAsia="Times New Roman" w:hAnsi="Verdana" w:cs="Arial"/>
                <w:b/>
                <w:bCs/>
                <w:color w:val="FFFFFF" w:themeColor="background1"/>
                <w:sz w:val="20"/>
                <w:szCs w:val="20"/>
                <w:lang w:eastAsia="es-CO"/>
              </w:rPr>
              <w:t>nero</w:t>
            </w:r>
          </w:p>
        </w:tc>
        <w:tc>
          <w:tcPr>
            <w:tcW w:w="686" w:type="pct"/>
            <w:gridSpan w:val="4"/>
            <w:shd w:val="clear" w:color="auto" w:fill="548DD4" w:themeFill="text2" w:themeFillTint="99"/>
            <w:noWrap/>
            <w:hideMark/>
          </w:tcPr>
          <w:p w:rsidR="00DA252E" w:rsidRPr="007534F5" w:rsidRDefault="00DA252E" w:rsidP="00DA252E">
            <w:pPr>
              <w:spacing w:after="0" w:line="240" w:lineRule="auto"/>
              <w:jc w:val="center"/>
              <w:rPr>
                <w:rFonts w:ascii="Verdana" w:eastAsia="Times New Roman" w:hAnsi="Verdana" w:cs="Arial"/>
                <w:b/>
                <w:bCs/>
                <w:color w:val="FFFFFF" w:themeColor="background1"/>
                <w:sz w:val="20"/>
                <w:szCs w:val="20"/>
                <w:lang w:eastAsia="es-CO"/>
              </w:rPr>
            </w:pPr>
            <w:r w:rsidRPr="007534F5">
              <w:rPr>
                <w:rFonts w:ascii="Verdana" w:eastAsia="Times New Roman" w:hAnsi="Verdana" w:cs="Arial"/>
                <w:b/>
                <w:bCs/>
                <w:color w:val="FFFFFF" w:themeColor="background1"/>
                <w:sz w:val="20"/>
                <w:szCs w:val="20"/>
                <w:lang w:eastAsia="es-CO"/>
              </w:rPr>
              <w:t>Cohorte</w:t>
            </w:r>
          </w:p>
        </w:tc>
        <w:tc>
          <w:tcPr>
            <w:tcW w:w="2262" w:type="pct"/>
            <w:gridSpan w:val="11"/>
            <w:shd w:val="clear" w:color="auto" w:fill="548DD4" w:themeFill="text2" w:themeFillTint="99"/>
            <w:noWrap/>
            <w:hideMark/>
          </w:tcPr>
          <w:p w:rsidR="00DA252E" w:rsidRPr="007534F5" w:rsidRDefault="00DA252E" w:rsidP="00DA252E">
            <w:pPr>
              <w:spacing w:after="0" w:line="240" w:lineRule="auto"/>
              <w:jc w:val="center"/>
              <w:rPr>
                <w:rFonts w:ascii="Verdana" w:eastAsia="Times New Roman" w:hAnsi="Verdana" w:cs="Arial"/>
                <w:b/>
                <w:bCs/>
                <w:color w:val="FFFFFF" w:themeColor="background1"/>
                <w:sz w:val="20"/>
                <w:szCs w:val="20"/>
                <w:lang w:eastAsia="es-CO"/>
              </w:rPr>
            </w:pPr>
            <w:r w:rsidRPr="007534F5">
              <w:rPr>
                <w:rFonts w:ascii="Verdana" w:eastAsia="Times New Roman" w:hAnsi="Verdana" w:cs="Arial"/>
                <w:b/>
                <w:bCs/>
                <w:color w:val="FFFFFF" w:themeColor="background1"/>
                <w:sz w:val="20"/>
                <w:szCs w:val="20"/>
                <w:lang w:eastAsia="es-CO"/>
              </w:rPr>
              <w:t>Regiones</w:t>
            </w:r>
          </w:p>
        </w:tc>
      </w:tr>
      <w:tr w:rsidR="00CB5CC4" w:rsidRPr="0025798F" w:rsidTr="00CB5CC4">
        <w:trPr>
          <w:trHeight w:val="510"/>
        </w:trPr>
        <w:tc>
          <w:tcPr>
            <w:tcW w:w="878" w:type="pct"/>
            <w:vMerge/>
            <w:shd w:val="clear" w:color="auto" w:fill="A7BFDE"/>
            <w:hideMark/>
          </w:tcPr>
          <w:p w:rsidR="00DA252E" w:rsidRPr="0025798F" w:rsidRDefault="00DA252E" w:rsidP="00DA252E">
            <w:pPr>
              <w:spacing w:after="0" w:line="240" w:lineRule="auto"/>
              <w:rPr>
                <w:rFonts w:ascii="Verdana" w:eastAsia="Times New Roman" w:hAnsi="Verdana" w:cs="Arial"/>
                <w:b/>
                <w:bCs/>
                <w:sz w:val="20"/>
                <w:szCs w:val="20"/>
                <w:lang w:eastAsia="es-CO"/>
              </w:rPr>
            </w:pPr>
          </w:p>
        </w:tc>
        <w:tc>
          <w:tcPr>
            <w:tcW w:w="421" w:type="pct"/>
            <w:shd w:val="clear" w:color="auto" w:fill="A7BFDE"/>
            <w:hideMark/>
          </w:tcPr>
          <w:p w:rsidR="00DA252E" w:rsidRPr="00E44344" w:rsidRDefault="00DA252E" w:rsidP="00DA252E">
            <w:pPr>
              <w:spacing w:after="0" w:line="240" w:lineRule="auto"/>
              <w:jc w:val="center"/>
              <w:rPr>
                <w:rFonts w:ascii="Verdana" w:eastAsia="Times New Roman" w:hAnsi="Verdana" w:cs="Arial"/>
                <w:b/>
                <w:sz w:val="14"/>
                <w:szCs w:val="20"/>
                <w:lang w:eastAsia="es-CO"/>
              </w:rPr>
            </w:pPr>
            <w:r w:rsidRPr="00E44344">
              <w:rPr>
                <w:rFonts w:ascii="Verdana" w:eastAsia="Times New Roman" w:hAnsi="Verdana" w:cs="Arial"/>
                <w:b/>
                <w:sz w:val="14"/>
                <w:szCs w:val="20"/>
                <w:lang w:eastAsia="es-CO"/>
              </w:rPr>
              <w:t>$</w:t>
            </w:r>
          </w:p>
        </w:tc>
        <w:tc>
          <w:tcPr>
            <w:tcW w:w="409" w:type="pct"/>
            <w:shd w:val="clear" w:color="auto" w:fill="A7BFDE"/>
            <w:hideMark/>
          </w:tcPr>
          <w:p w:rsidR="00DA252E" w:rsidRPr="00E44344" w:rsidRDefault="00DA252E" w:rsidP="00DA252E">
            <w:pPr>
              <w:spacing w:after="0" w:line="240" w:lineRule="auto"/>
              <w:jc w:val="center"/>
              <w:rPr>
                <w:rFonts w:ascii="Verdana" w:eastAsia="Times New Roman" w:hAnsi="Verdana" w:cs="Arial"/>
                <w:b/>
                <w:sz w:val="14"/>
                <w:szCs w:val="20"/>
                <w:lang w:eastAsia="es-CO"/>
              </w:rPr>
            </w:pPr>
            <w:r w:rsidRPr="00E44344">
              <w:rPr>
                <w:rFonts w:ascii="Verdana" w:eastAsia="Times New Roman" w:hAnsi="Verdana" w:cs="Arial"/>
                <w:b/>
                <w:sz w:val="14"/>
                <w:szCs w:val="20"/>
                <w:lang w:eastAsia="es-CO"/>
              </w:rPr>
              <w:t>Hom-bre</w:t>
            </w:r>
          </w:p>
        </w:tc>
        <w:tc>
          <w:tcPr>
            <w:tcW w:w="344" w:type="pct"/>
            <w:gridSpan w:val="2"/>
            <w:shd w:val="clear" w:color="auto" w:fill="A7BFDE"/>
            <w:hideMark/>
          </w:tcPr>
          <w:p w:rsidR="00DA252E" w:rsidRPr="00E44344" w:rsidRDefault="00DA252E" w:rsidP="00DA252E">
            <w:pPr>
              <w:spacing w:after="0" w:line="240" w:lineRule="auto"/>
              <w:jc w:val="center"/>
              <w:rPr>
                <w:rFonts w:ascii="Verdana" w:eastAsia="Times New Roman" w:hAnsi="Verdana" w:cs="Arial"/>
                <w:b/>
                <w:sz w:val="14"/>
                <w:szCs w:val="20"/>
                <w:lang w:eastAsia="es-CO"/>
              </w:rPr>
            </w:pPr>
            <w:r w:rsidRPr="00E44344">
              <w:rPr>
                <w:rFonts w:ascii="Verdana" w:eastAsia="Times New Roman" w:hAnsi="Verdana" w:cs="Arial"/>
                <w:b/>
                <w:sz w:val="14"/>
                <w:szCs w:val="20"/>
                <w:lang w:eastAsia="es-CO"/>
              </w:rPr>
              <w:t>Mujer</w:t>
            </w:r>
          </w:p>
        </w:tc>
        <w:tc>
          <w:tcPr>
            <w:tcW w:w="343" w:type="pct"/>
            <w:gridSpan w:val="2"/>
            <w:shd w:val="clear" w:color="auto" w:fill="A7BFDE"/>
            <w:hideMark/>
          </w:tcPr>
          <w:p w:rsidR="00DA252E" w:rsidRPr="00420084" w:rsidRDefault="00DA252E" w:rsidP="00DA252E">
            <w:pPr>
              <w:spacing w:after="0" w:line="240" w:lineRule="auto"/>
              <w:rPr>
                <w:rFonts w:ascii="Verdana" w:eastAsia="Times New Roman" w:hAnsi="Verdana" w:cs="Arial"/>
                <w:b/>
                <w:sz w:val="12"/>
                <w:szCs w:val="20"/>
                <w:lang w:eastAsia="es-CO"/>
              </w:rPr>
            </w:pPr>
            <w:r w:rsidRPr="00420084">
              <w:rPr>
                <w:rFonts w:ascii="Verdana" w:eastAsia="Times New Roman" w:hAnsi="Verdana" w:cs="Arial"/>
                <w:b/>
                <w:sz w:val="12"/>
                <w:szCs w:val="20"/>
                <w:lang w:eastAsia="es-CO"/>
              </w:rPr>
              <w:t>Trm 1</w:t>
            </w:r>
          </w:p>
        </w:tc>
        <w:tc>
          <w:tcPr>
            <w:tcW w:w="343" w:type="pct"/>
            <w:gridSpan w:val="2"/>
            <w:shd w:val="clear" w:color="auto" w:fill="A7BFDE"/>
            <w:hideMark/>
          </w:tcPr>
          <w:p w:rsidR="00DA252E" w:rsidRPr="00420084" w:rsidRDefault="00DA252E" w:rsidP="00DA252E">
            <w:pPr>
              <w:spacing w:after="0" w:line="240" w:lineRule="auto"/>
              <w:jc w:val="center"/>
              <w:rPr>
                <w:rFonts w:ascii="Verdana" w:eastAsia="Times New Roman" w:hAnsi="Verdana" w:cs="Arial"/>
                <w:b/>
                <w:sz w:val="12"/>
                <w:szCs w:val="20"/>
                <w:lang w:eastAsia="es-CO"/>
              </w:rPr>
            </w:pPr>
            <w:r w:rsidRPr="00420084">
              <w:rPr>
                <w:rFonts w:ascii="Verdana" w:eastAsia="Times New Roman" w:hAnsi="Verdana" w:cs="Arial"/>
                <w:b/>
                <w:sz w:val="12"/>
                <w:szCs w:val="20"/>
                <w:lang w:eastAsia="es-CO"/>
              </w:rPr>
              <w:t>Trim 2</w:t>
            </w:r>
          </w:p>
        </w:tc>
        <w:tc>
          <w:tcPr>
            <w:tcW w:w="344" w:type="pct"/>
            <w:gridSpan w:val="2"/>
            <w:shd w:val="clear" w:color="auto" w:fill="A7BFDE"/>
            <w:hideMark/>
          </w:tcPr>
          <w:p w:rsidR="00DA252E" w:rsidRPr="00420084" w:rsidRDefault="00DA252E" w:rsidP="00DA252E">
            <w:pPr>
              <w:spacing w:after="0" w:line="240" w:lineRule="auto"/>
              <w:jc w:val="center"/>
              <w:rPr>
                <w:rFonts w:ascii="Verdana" w:eastAsia="Times New Roman" w:hAnsi="Verdana" w:cs="Arial"/>
                <w:b/>
                <w:sz w:val="12"/>
                <w:szCs w:val="20"/>
                <w:lang w:eastAsia="es-CO"/>
              </w:rPr>
            </w:pPr>
            <w:r w:rsidRPr="00420084">
              <w:rPr>
                <w:rFonts w:ascii="Verdana" w:eastAsia="Times New Roman" w:hAnsi="Verdana" w:cs="Arial"/>
                <w:b/>
                <w:sz w:val="12"/>
                <w:szCs w:val="20"/>
                <w:lang w:eastAsia="es-CO"/>
              </w:rPr>
              <w:t>Antioquia</w:t>
            </w:r>
          </w:p>
        </w:tc>
        <w:tc>
          <w:tcPr>
            <w:tcW w:w="343" w:type="pct"/>
            <w:gridSpan w:val="2"/>
            <w:shd w:val="clear" w:color="auto" w:fill="A7BFDE"/>
            <w:hideMark/>
          </w:tcPr>
          <w:p w:rsidR="00DA252E" w:rsidRPr="00420084" w:rsidRDefault="00DA252E" w:rsidP="00DA252E">
            <w:pPr>
              <w:spacing w:after="0" w:line="240" w:lineRule="auto"/>
              <w:jc w:val="center"/>
              <w:rPr>
                <w:rFonts w:ascii="Verdana" w:eastAsia="Times New Roman" w:hAnsi="Verdana" w:cs="Arial"/>
                <w:b/>
                <w:sz w:val="12"/>
                <w:szCs w:val="20"/>
                <w:lang w:eastAsia="es-CO"/>
              </w:rPr>
            </w:pPr>
            <w:r w:rsidRPr="00420084">
              <w:rPr>
                <w:rFonts w:ascii="Verdana" w:eastAsia="Times New Roman" w:hAnsi="Verdana" w:cs="Arial"/>
                <w:b/>
                <w:sz w:val="12"/>
                <w:szCs w:val="20"/>
                <w:lang w:eastAsia="es-CO"/>
              </w:rPr>
              <w:t>Bogotá</w:t>
            </w:r>
          </w:p>
        </w:tc>
        <w:tc>
          <w:tcPr>
            <w:tcW w:w="345" w:type="pct"/>
            <w:gridSpan w:val="2"/>
            <w:shd w:val="clear" w:color="auto" w:fill="A7BFDE"/>
            <w:hideMark/>
          </w:tcPr>
          <w:p w:rsidR="00DA252E" w:rsidRPr="00420084" w:rsidRDefault="00DA252E" w:rsidP="00DA252E">
            <w:pPr>
              <w:spacing w:after="0" w:line="240" w:lineRule="auto"/>
              <w:jc w:val="center"/>
              <w:rPr>
                <w:rFonts w:ascii="Verdana" w:eastAsia="Times New Roman" w:hAnsi="Verdana" w:cs="Arial"/>
                <w:b/>
                <w:sz w:val="12"/>
                <w:szCs w:val="20"/>
                <w:lang w:eastAsia="es-CO"/>
              </w:rPr>
            </w:pPr>
            <w:r w:rsidRPr="00420084">
              <w:rPr>
                <w:rFonts w:ascii="Verdana" w:eastAsia="Times New Roman" w:hAnsi="Verdana" w:cs="Arial"/>
                <w:b/>
                <w:sz w:val="12"/>
                <w:szCs w:val="20"/>
                <w:lang w:eastAsia="es-CO"/>
              </w:rPr>
              <w:t>Caribe</w:t>
            </w:r>
          </w:p>
        </w:tc>
        <w:tc>
          <w:tcPr>
            <w:tcW w:w="344" w:type="pct"/>
            <w:gridSpan w:val="2"/>
            <w:shd w:val="clear" w:color="auto" w:fill="A7BFDE"/>
            <w:hideMark/>
          </w:tcPr>
          <w:p w:rsidR="00DA252E" w:rsidRPr="00420084" w:rsidRDefault="00DA252E" w:rsidP="00DA252E">
            <w:pPr>
              <w:spacing w:after="0" w:line="240" w:lineRule="auto"/>
              <w:jc w:val="center"/>
              <w:rPr>
                <w:rFonts w:ascii="Verdana" w:eastAsia="Times New Roman" w:hAnsi="Verdana" w:cs="Arial"/>
                <w:b/>
                <w:sz w:val="12"/>
                <w:szCs w:val="20"/>
                <w:lang w:eastAsia="es-CO"/>
              </w:rPr>
            </w:pPr>
            <w:r w:rsidRPr="00420084">
              <w:rPr>
                <w:rFonts w:ascii="Verdana" w:eastAsia="Times New Roman" w:hAnsi="Verdana" w:cs="Arial"/>
                <w:b/>
                <w:sz w:val="12"/>
                <w:szCs w:val="20"/>
                <w:lang w:eastAsia="es-CO"/>
              </w:rPr>
              <w:t>Centro</w:t>
            </w:r>
          </w:p>
        </w:tc>
        <w:tc>
          <w:tcPr>
            <w:tcW w:w="413" w:type="pct"/>
            <w:gridSpan w:val="2"/>
            <w:shd w:val="clear" w:color="auto" w:fill="A7BFDE"/>
            <w:hideMark/>
          </w:tcPr>
          <w:p w:rsidR="00DA252E" w:rsidRPr="00420084" w:rsidRDefault="00DA252E" w:rsidP="00DA252E">
            <w:pPr>
              <w:spacing w:after="0" w:line="240" w:lineRule="auto"/>
              <w:jc w:val="center"/>
              <w:rPr>
                <w:rFonts w:ascii="Verdana" w:eastAsia="Times New Roman" w:hAnsi="Verdana" w:cs="Arial"/>
                <w:b/>
                <w:sz w:val="12"/>
                <w:szCs w:val="20"/>
                <w:lang w:eastAsia="es-CO"/>
              </w:rPr>
            </w:pPr>
            <w:r w:rsidRPr="00420084">
              <w:rPr>
                <w:rFonts w:ascii="Verdana" w:eastAsia="Times New Roman" w:hAnsi="Verdana" w:cs="Arial"/>
                <w:b/>
                <w:sz w:val="12"/>
                <w:szCs w:val="20"/>
                <w:lang w:eastAsia="es-CO"/>
              </w:rPr>
              <w:t>Oriente</w:t>
            </w:r>
          </w:p>
        </w:tc>
        <w:tc>
          <w:tcPr>
            <w:tcW w:w="473" w:type="pct"/>
            <w:shd w:val="clear" w:color="auto" w:fill="A7BFDE"/>
            <w:hideMark/>
          </w:tcPr>
          <w:p w:rsidR="00DA252E" w:rsidRPr="00420084" w:rsidRDefault="00DA252E" w:rsidP="00DA252E">
            <w:pPr>
              <w:spacing w:after="0" w:line="240" w:lineRule="auto"/>
              <w:jc w:val="center"/>
              <w:rPr>
                <w:rFonts w:ascii="Verdana" w:eastAsia="Times New Roman" w:hAnsi="Verdana" w:cs="Arial"/>
                <w:b/>
                <w:sz w:val="12"/>
                <w:szCs w:val="20"/>
                <w:lang w:eastAsia="es-CO"/>
              </w:rPr>
            </w:pPr>
            <w:r w:rsidRPr="00420084">
              <w:rPr>
                <w:rFonts w:ascii="Verdana" w:eastAsia="Times New Roman" w:hAnsi="Verdana" w:cs="Arial"/>
                <w:b/>
                <w:sz w:val="12"/>
                <w:szCs w:val="20"/>
                <w:lang w:eastAsia="es-CO"/>
              </w:rPr>
              <w:t>Pacifico</w:t>
            </w:r>
          </w:p>
        </w:tc>
      </w:tr>
      <w:tr w:rsidR="00DA252E" w:rsidRPr="0025798F" w:rsidTr="00CB5CC4">
        <w:trPr>
          <w:trHeight w:val="300"/>
        </w:trPr>
        <w:tc>
          <w:tcPr>
            <w:tcW w:w="5000" w:type="pct"/>
            <w:gridSpan w:val="20"/>
            <w:shd w:val="clear" w:color="auto" w:fill="548DD4" w:themeFill="text2" w:themeFillTint="99"/>
            <w:noWrap/>
            <w:vAlign w:val="center"/>
            <w:hideMark/>
          </w:tcPr>
          <w:p w:rsidR="00DA252E" w:rsidRPr="0025798F" w:rsidRDefault="00DA252E" w:rsidP="00DA252E">
            <w:pPr>
              <w:spacing w:after="0" w:line="240" w:lineRule="auto"/>
              <w:jc w:val="center"/>
              <w:rPr>
                <w:rFonts w:ascii="Verdana" w:eastAsia="Times New Roman" w:hAnsi="Verdana"/>
                <w:b/>
                <w:bCs/>
                <w:color w:val="000000"/>
                <w:sz w:val="20"/>
                <w:szCs w:val="20"/>
                <w:lang w:eastAsia="es-CO"/>
              </w:rPr>
            </w:pPr>
            <w:r w:rsidRPr="00C66CC6">
              <w:rPr>
                <w:rFonts w:ascii="Verdana" w:eastAsia="Times New Roman" w:hAnsi="Verdana"/>
                <w:b/>
                <w:bCs/>
                <w:color w:val="FFFFFF" w:themeColor="background1"/>
                <w:sz w:val="20"/>
                <w:szCs w:val="20"/>
                <w:lang w:eastAsia="es-CO"/>
              </w:rPr>
              <w:t>Ocupados antes JenA</w:t>
            </w:r>
          </w:p>
        </w:tc>
      </w:tr>
      <w:tr w:rsidR="00CB5CC4" w:rsidRPr="0025798F" w:rsidTr="00CB5CC4">
        <w:trPr>
          <w:trHeight w:val="300"/>
        </w:trPr>
        <w:tc>
          <w:tcPr>
            <w:tcW w:w="878" w:type="pct"/>
            <w:shd w:val="clear" w:color="auto" w:fill="A7BFDE"/>
            <w:noWrap/>
            <w:vAlign w:val="center"/>
            <w:hideMark/>
          </w:tcPr>
          <w:p w:rsidR="00DA252E" w:rsidRPr="0025798F" w:rsidRDefault="00DA252E" w:rsidP="00DA252E">
            <w:pPr>
              <w:spacing w:after="0" w:line="240" w:lineRule="auto"/>
              <w:jc w:val="center"/>
              <w:rPr>
                <w:rFonts w:ascii="Verdana" w:eastAsia="Times New Roman" w:hAnsi="Verdana"/>
                <w:b/>
                <w:bCs/>
                <w:color w:val="000000"/>
                <w:sz w:val="20"/>
                <w:szCs w:val="20"/>
                <w:lang w:eastAsia="es-CO"/>
              </w:rPr>
            </w:pPr>
            <w:r w:rsidRPr="005351A0">
              <w:rPr>
                <w:rFonts w:ascii="Verdana" w:eastAsia="Times New Roman" w:hAnsi="Verdana"/>
                <w:b/>
                <w:bCs/>
                <w:color w:val="000000"/>
                <w:sz w:val="16"/>
                <w:szCs w:val="20"/>
                <w:lang w:eastAsia="es-CO"/>
              </w:rPr>
              <w:t>Promedio Ingreso mensual</w:t>
            </w:r>
          </w:p>
        </w:tc>
        <w:tc>
          <w:tcPr>
            <w:tcW w:w="421" w:type="pct"/>
            <w:shd w:val="clear" w:color="auto" w:fill="A7BFDE"/>
            <w:noWrap/>
            <w:vAlign w:val="center"/>
            <w:hideMark/>
          </w:tcPr>
          <w:p w:rsidR="00DA252E" w:rsidRPr="00E44344" w:rsidRDefault="00DA252E" w:rsidP="00DA252E">
            <w:pPr>
              <w:spacing w:after="0" w:line="240" w:lineRule="auto"/>
              <w:jc w:val="right"/>
              <w:rPr>
                <w:rFonts w:ascii="Verdana" w:eastAsia="Times New Roman" w:hAnsi="Verdana"/>
                <w:color w:val="000000"/>
                <w:sz w:val="16"/>
                <w:szCs w:val="20"/>
                <w:lang w:eastAsia="es-CO"/>
              </w:rPr>
            </w:pPr>
            <w:r w:rsidRPr="00E44344">
              <w:rPr>
                <w:rFonts w:ascii="Verdana" w:eastAsia="Times New Roman" w:hAnsi="Verdana"/>
                <w:color w:val="000000"/>
                <w:sz w:val="16"/>
                <w:szCs w:val="20"/>
                <w:lang w:eastAsia="es-CO"/>
              </w:rPr>
              <w:t>$ 511.1</w:t>
            </w:r>
          </w:p>
        </w:tc>
        <w:tc>
          <w:tcPr>
            <w:tcW w:w="413" w:type="pct"/>
            <w:gridSpan w:val="2"/>
            <w:shd w:val="clear" w:color="auto" w:fill="A7BFDE"/>
            <w:noWrap/>
            <w:vAlign w:val="center"/>
            <w:hideMark/>
          </w:tcPr>
          <w:p w:rsidR="00DA252E" w:rsidRPr="00E44344" w:rsidRDefault="00DA252E" w:rsidP="00DA252E">
            <w:pPr>
              <w:spacing w:after="0" w:line="240" w:lineRule="auto"/>
              <w:jc w:val="right"/>
              <w:rPr>
                <w:rFonts w:ascii="Verdana" w:eastAsia="Times New Roman" w:hAnsi="Verdana"/>
                <w:color w:val="000000"/>
                <w:sz w:val="16"/>
                <w:szCs w:val="20"/>
                <w:lang w:eastAsia="es-CO"/>
              </w:rPr>
            </w:pPr>
            <w:r w:rsidRPr="00E44344">
              <w:rPr>
                <w:rFonts w:ascii="Verdana" w:eastAsia="Times New Roman" w:hAnsi="Verdana"/>
                <w:color w:val="000000"/>
                <w:sz w:val="16"/>
                <w:szCs w:val="20"/>
                <w:lang w:eastAsia="es-CO"/>
              </w:rPr>
              <w:t>$ 572.3</w:t>
            </w:r>
          </w:p>
        </w:tc>
        <w:tc>
          <w:tcPr>
            <w:tcW w:w="344" w:type="pct"/>
            <w:gridSpan w:val="2"/>
            <w:shd w:val="clear" w:color="auto" w:fill="A7BFDE"/>
            <w:noWrap/>
            <w:vAlign w:val="center"/>
            <w:hideMark/>
          </w:tcPr>
          <w:p w:rsidR="00DA252E" w:rsidRPr="00E44344" w:rsidRDefault="00DA252E" w:rsidP="00DA252E">
            <w:pPr>
              <w:spacing w:after="0" w:line="240" w:lineRule="auto"/>
              <w:jc w:val="right"/>
              <w:rPr>
                <w:rFonts w:ascii="Verdana" w:eastAsia="Times New Roman" w:hAnsi="Verdana"/>
                <w:color w:val="000000"/>
                <w:sz w:val="16"/>
                <w:szCs w:val="20"/>
                <w:lang w:eastAsia="es-CO"/>
              </w:rPr>
            </w:pPr>
            <w:r w:rsidRPr="00E44344">
              <w:rPr>
                <w:rFonts w:ascii="Verdana" w:eastAsia="Times New Roman" w:hAnsi="Verdana"/>
                <w:color w:val="000000"/>
                <w:sz w:val="16"/>
                <w:szCs w:val="20"/>
                <w:lang w:eastAsia="es-CO"/>
              </w:rPr>
              <w:t>$ 466</w:t>
            </w:r>
          </w:p>
        </w:tc>
        <w:tc>
          <w:tcPr>
            <w:tcW w:w="347" w:type="pct"/>
            <w:gridSpan w:val="2"/>
            <w:shd w:val="clear" w:color="auto" w:fill="A7BFDE"/>
            <w:noWrap/>
            <w:vAlign w:val="center"/>
            <w:hideMark/>
          </w:tcPr>
          <w:p w:rsidR="00DA252E" w:rsidRPr="00E44344" w:rsidRDefault="00DA252E" w:rsidP="00DA252E">
            <w:pPr>
              <w:spacing w:after="0" w:line="240" w:lineRule="auto"/>
              <w:jc w:val="right"/>
              <w:rPr>
                <w:rFonts w:ascii="Verdana" w:eastAsia="Times New Roman" w:hAnsi="Verdana"/>
                <w:color w:val="000000"/>
                <w:sz w:val="16"/>
                <w:szCs w:val="20"/>
                <w:lang w:eastAsia="es-CO"/>
              </w:rPr>
            </w:pPr>
            <w:r w:rsidRPr="00E44344">
              <w:rPr>
                <w:rFonts w:ascii="Verdana" w:eastAsia="Times New Roman" w:hAnsi="Verdana"/>
                <w:color w:val="000000"/>
                <w:sz w:val="16"/>
                <w:szCs w:val="20"/>
                <w:lang w:eastAsia="es-CO"/>
              </w:rPr>
              <w:t>$ 510</w:t>
            </w:r>
          </w:p>
        </w:tc>
        <w:tc>
          <w:tcPr>
            <w:tcW w:w="344" w:type="pct"/>
            <w:gridSpan w:val="2"/>
            <w:shd w:val="clear" w:color="auto" w:fill="A7BFDE"/>
            <w:noWrap/>
            <w:vAlign w:val="center"/>
            <w:hideMark/>
          </w:tcPr>
          <w:p w:rsidR="00DA252E" w:rsidRPr="00E44344" w:rsidRDefault="00DA252E" w:rsidP="00DA252E">
            <w:pPr>
              <w:spacing w:after="0" w:line="240" w:lineRule="auto"/>
              <w:jc w:val="right"/>
              <w:rPr>
                <w:rFonts w:ascii="Verdana" w:eastAsia="Times New Roman" w:hAnsi="Verdana"/>
                <w:color w:val="000000"/>
                <w:sz w:val="16"/>
                <w:szCs w:val="20"/>
                <w:lang w:eastAsia="es-CO"/>
              </w:rPr>
            </w:pPr>
            <w:r w:rsidRPr="00E44344">
              <w:rPr>
                <w:rFonts w:ascii="Verdana" w:eastAsia="Times New Roman" w:hAnsi="Verdana"/>
                <w:color w:val="000000"/>
                <w:sz w:val="16"/>
                <w:szCs w:val="20"/>
                <w:lang w:eastAsia="es-CO"/>
              </w:rPr>
              <w:t>$ 512</w:t>
            </w:r>
          </w:p>
        </w:tc>
        <w:tc>
          <w:tcPr>
            <w:tcW w:w="344" w:type="pct"/>
            <w:gridSpan w:val="2"/>
            <w:shd w:val="clear" w:color="auto" w:fill="A7BFDE"/>
            <w:noWrap/>
            <w:vAlign w:val="center"/>
            <w:hideMark/>
          </w:tcPr>
          <w:p w:rsidR="00DA252E" w:rsidRPr="00E44344" w:rsidRDefault="00DA252E" w:rsidP="00DA252E">
            <w:pPr>
              <w:spacing w:after="0" w:line="240" w:lineRule="auto"/>
              <w:jc w:val="right"/>
              <w:rPr>
                <w:rFonts w:ascii="Verdana" w:eastAsia="Times New Roman" w:hAnsi="Verdana"/>
                <w:color w:val="000000"/>
                <w:sz w:val="16"/>
                <w:szCs w:val="20"/>
                <w:lang w:eastAsia="es-CO"/>
              </w:rPr>
            </w:pPr>
            <w:r w:rsidRPr="00E44344">
              <w:rPr>
                <w:rFonts w:ascii="Verdana" w:eastAsia="Times New Roman" w:hAnsi="Verdana"/>
                <w:color w:val="000000"/>
                <w:sz w:val="16"/>
                <w:szCs w:val="20"/>
                <w:lang w:eastAsia="es-CO"/>
              </w:rPr>
              <w:t>$ 510</w:t>
            </w:r>
          </w:p>
        </w:tc>
        <w:tc>
          <w:tcPr>
            <w:tcW w:w="344" w:type="pct"/>
            <w:gridSpan w:val="2"/>
            <w:shd w:val="clear" w:color="auto" w:fill="A7BFDE"/>
            <w:noWrap/>
            <w:vAlign w:val="center"/>
            <w:hideMark/>
          </w:tcPr>
          <w:p w:rsidR="00DA252E" w:rsidRPr="00E44344" w:rsidRDefault="00DA252E" w:rsidP="00DA252E">
            <w:pPr>
              <w:spacing w:after="0" w:line="240" w:lineRule="auto"/>
              <w:jc w:val="right"/>
              <w:rPr>
                <w:rFonts w:ascii="Verdana" w:eastAsia="Times New Roman" w:hAnsi="Verdana"/>
                <w:color w:val="000000"/>
                <w:sz w:val="16"/>
                <w:szCs w:val="20"/>
                <w:lang w:eastAsia="es-CO"/>
              </w:rPr>
            </w:pPr>
            <w:r w:rsidRPr="00E44344">
              <w:rPr>
                <w:rFonts w:ascii="Verdana" w:eastAsia="Times New Roman" w:hAnsi="Verdana"/>
                <w:color w:val="000000"/>
                <w:sz w:val="16"/>
                <w:szCs w:val="20"/>
                <w:lang w:eastAsia="es-CO"/>
              </w:rPr>
              <w:t>$ 568</w:t>
            </w:r>
          </w:p>
        </w:tc>
        <w:tc>
          <w:tcPr>
            <w:tcW w:w="344" w:type="pct"/>
            <w:gridSpan w:val="2"/>
            <w:shd w:val="clear" w:color="auto" w:fill="A7BFDE"/>
            <w:noWrap/>
            <w:vAlign w:val="center"/>
            <w:hideMark/>
          </w:tcPr>
          <w:p w:rsidR="00DA252E" w:rsidRPr="00E44344" w:rsidRDefault="00DA252E" w:rsidP="00DA252E">
            <w:pPr>
              <w:spacing w:after="0" w:line="240" w:lineRule="auto"/>
              <w:jc w:val="right"/>
              <w:rPr>
                <w:rFonts w:ascii="Verdana" w:eastAsia="Times New Roman" w:hAnsi="Verdana"/>
                <w:color w:val="000000"/>
                <w:sz w:val="16"/>
                <w:szCs w:val="20"/>
                <w:lang w:eastAsia="es-CO"/>
              </w:rPr>
            </w:pPr>
            <w:r w:rsidRPr="00E44344">
              <w:rPr>
                <w:rFonts w:ascii="Verdana" w:eastAsia="Times New Roman" w:hAnsi="Verdana"/>
                <w:color w:val="000000"/>
                <w:sz w:val="16"/>
                <w:szCs w:val="20"/>
                <w:lang w:eastAsia="es-CO"/>
              </w:rPr>
              <w:t>$ 453</w:t>
            </w:r>
          </w:p>
        </w:tc>
        <w:tc>
          <w:tcPr>
            <w:tcW w:w="345" w:type="pct"/>
            <w:gridSpan w:val="2"/>
            <w:shd w:val="clear" w:color="auto" w:fill="A7BFDE"/>
            <w:noWrap/>
            <w:vAlign w:val="center"/>
            <w:hideMark/>
          </w:tcPr>
          <w:p w:rsidR="00DA252E" w:rsidRPr="00E44344" w:rsidRDefault="00DA252E" w:rsidP="00DA252E">
            <w:pPr>
              <w:spacing w:after="0" w:line="240" w:lineRule="auto"/>
              <w:jc w:val="right"/>
              <w:rPr>
                <w:rFonts w:ascii="Verdana" w:eastAsia="Times New Roman" w:hAnsi="Verdana"/>
                <w:color w:val="000000"/>
                <w:sz w:val="16"/>
                <w:szCs w:val="20"/>
                <w:lang w:eastAsia="es-CO"/>
              </w:rPr>
            </w:pPr>
            <w:r w:rsidRPr="00E44344">
              <w:rPr>
                <w:rFonts w:ascii="Verdana" w:eastAsia="Times New Roman" w:hAnsi="Verdana"/>
                <w:color w:val="000000"/>
                <w:sz w:val="16"/>
                <w:szCs w:val="20"/>
                <w:lang w:eastAsia="es-CO"/>
              </w:rPr>
              <w:t>$ 479</w:t>
            </w:r>
          </w:p>
        </w:tc>
        <w:tc>
          <w:tcPr>
            <w:tcW w:w="403" w:type="pct"/>
            <w:shd w:val="clear" w:color="auto" w:fill="A7BFDE"/>
            <w:noWrap/>
            <w:vAlign w:val="center"/>
            <w:hideMark/>
          </w:tcPr>
          <w:p w:rsidR="00DA252E" w:rsidRPr="00E44344" w:rsidRDefault="00DA252E" w:rsidP="00DA252E">
            <w:pPr>
              <w:spacing w:after="0" w:line="240" w:lineRule="auto"/>
              <w:jc w:val="right"/>
              <w:rPr>
                <w:rFonts w:ascii="Verdana" w:eastAsia="Times New Roman" w:hAnsi="Verdana"/>
                <w:color w:val="000000"/>
                <w:sz w:val="16"/>
                <w:szCs w:val="20"/>
                <w:lang w:eastAsia="es-CO"/>
              </w:rPr>
            </w:pPr>
            <w:r w:rsidRPr="00E44344">
              <w:rPr>
                <w:rFonts w:ascii="Verdana" w:eastAsia="Times New Roman" w:hAnsi="Verdana"/>
                <w:color w:val="000000"/>
                <w:sz w:val="16"/>
                <w:szCs w:val="20"/>
                <w:lang w:eastAsia="es-CO"/>
              </w:rPr>
              <w:t>$ 551</w:t>
            </w:r>
          </w:p>
        </w:tc>
        <w:tc>
          <w:tcPr>
            <w:tcW w:w="473" w:type="pct"/>
            <w:shd w:val="clear" w:color="auto" w:fill="A7BFDE"/>
            <w:noWrap/>
            <w:vAlign w:val="center"/>
            <w:hideMark/>
          </w:tcPr>
          <w:p w:rsidR="00DA252E" w:rsidRPr="00E44344" w:rsidRDefault="00DA252E" w:rsidP="00DA252E">
            <w:pPr>
              <w:spacing w:after="0" w:line="240" w:lineRule="auto"/>
              <w:jc w:val="right"/>
              <w:rPr>
                <w:rFonts w:ascii="Verdana" w:eastAsia="Times New Roman" w:hAnsi="Verdana"/>
                <w:color w:val="000000"/>
                <w:sz w:val="16"/>
                <w:szCs w:val="20"/>
                <w:lang w:eastAsia="es-CO"/>
              </w:rPr>
            </w:pPr>
            <w:r w:rsidRPr="00E44344">
              <w:rPr>
                <w:rFonts w:ascii="Verdana" w:eastAsia="Times New Roman" w:hAnsi="Verdana"/>
                <w:color w:val="000000"/>
                <w:sz w:val="16"/>
                <w:szCs w:val="20"/>
                <w:lang w:eastAsia="es-CO"/>
              </w:rPr>
              <w:t>$ 478</w:t>
            </w:r>
          </w:p>
        </w:tc>
      </w:tr>
      <w:tr w:rsidR="00DA252E" w:rsidRPr="0025798F" w:rsidTr="00CB5CC4">
        <w:trPr>
          <w:trHeight w:val="300"/>
        </w:trPr>
        <w:tc>
          <w:tcPr>
            <w:tcW w:w="5000" w:type="pct"/>
            <w:gridSpan w:val="20"/>
            <w:shd w:val="clear" w:color="auto" w:fill="548DD4" w:themeFill="text2" w:themeFillTint="99"/>
            <w:noWrap/>
            <w:vAlign w:val="center"/>
            <w:hideMark/>
          </w:tcPr>
          <w:p w:rsidR="00DA252E" w:rsidRPr="0025798F" w:rsidRDefault="00DA252E" w:rsidP="00DA252E">
            <w:pPr>
              <w:spacing w:after="0" w:line="240" w:lineRule="auto"/>
              <w:jc w:val="center"/>
              <w:rPr>
                <w:rFonts w:ascii="Verdana" w:eastAsia="Times New Roman" w:hAnsi="Verdana"/>
                <w:b/>
                <w:bCs/>
                <w:color w:val="000000"/>
                <w:sz w:val="20"/>
                <w:szCs w:val="20"/>
                <w:lang w:eastAsia="es-CO"/>
              </w:rPr>
            </w:pPr>
            <w:r w:rsidRPr="00C66CC6">
              <w:rPr>
                <w:rFonts w:ascii="Verdana" w:eastAsia="Times New Roman" w:hAnsi="Verdana"/>
                <w:b/>
                <w:bCs/>
                <w:color w:val="FFFFFF" w:themeColor="background1"/>
                <w:sz w:val="20"/>
                <w:szCs w:val="20"/>
                <w:lang w:eastAsia="es-CO"/>
              </w:rPr>
              <w:t>Ocupados después de JenA</w:t>
            </w:r>
          </w:p>
        </w:tc>
      </w:tr>
      <w:tr w:rsidR="00CB5CC4" w:rsidRPr="0025798F" w:rsidTr="00CB5CC4">
        <w:trPr>
          <w:trHeight w:val="315"/>
        </w:trPr>
        <w:tc>
          <w:tcPr>
            <w:tcW w:w="878" w:type="pct"/>
            <w:shd w:val="clear" w:color="auto" w:fill="A7BFDE"/>
            <w:noWrap/>
            <w:vAlign w:val="center"/>
            <w:hideMark/>
          </w:tcPr>
          <w:p w:rsidR="00DA252E" w:rsidRPr="0025798F" w:rsidRDefault="00DA252E" w:rsidP="00DA252E">
            <w:pPr>
              <w:spacing w:after="0" w:line="240" w:lineRule="auto"/>
              <w:jc w:val="center"/>
              <w:rPr>
                <w:rFonts w:ascii="Verdana" w:eastAsia="Times New Roman" w:hAnsi="Verdana"/>
                <w:b/>
                <w:bCs/>
                <w:color w:val="000000"/>
                <w:sz w:val="20"/>
                <w:szCs w:val="20"/>
                <w:lang w:eastAsia="es-CO"/>
              </w:rPr>
            </w:pPr>
            <w:r w:rsidRPr="005351A0">
              <w:rPr>
                <w:rFonts w:ascii="Verdana" w:eastAsia="Times New Roman" w:hAnsi="Verdana"/>
                <w:b/>
                <w:bCs/>
                <w:color w:val="000000"/>
                <w:sz w:val="16"/>
                <w:szCs w:val="20"/>
                <w:lang w:eastAsia="es-CO"/>
              </w:rPr>
              <w:t>Promedio Ingreso mensual</w:t>
            </w:r>
          </w:p>
        </w:tc>
        <w:tc>
          <w:tcPr>
            <w:tcW w:w="421" w:type="pct"/>
            <w:shd w:val="clear" w:color="auto" w:fill="A7BFDE"/>
            <w:noWrap/>
            <w:vAlign w:val="center"/>
            <w:hideMark/>
          </w:tcPr>
          <w:p w:rsidR="00DA252E" w:rsidRPr="00E44344" w:rsidRDefault="00DA252E" w:rsidP="00DA252E">
            <w:pPr>
              <w:spacing w:after="0" w:line="240" w:lineRule="auto"/>
              <w:jc w:val="right"/>
              <w:rPr>
                <w:rFonts w:ascii="Verdana" w:eastAsia="Times New Roman" w:hAnsi="Verdana"/>
                <w:color w:val="000000"/>
                <w:sz w:val="16"/>
                <w:szCs w:val="20"/>
                <w:lang w:eastAsia="es-CO"/>
              </w:rPr>
            </w:pPr>
            <w:r w:rsidRPr="00E44344">
              <w:rPr>
                <w:rFonts w:ascii="Verdana" w:eastAsia="Times New Roman" w:hAnsi="Verdana"/>
                <w:color w:val="000000"/>
                <w:sz w:val="16"/>
                <w:szCs w:val="20"/>
                <w:lang w:eastAsia="es-CO"/>
              </w:rPr>
              <w:t>$ 549.7</w:t>
            </w:r>
          </w:p>
        </w:tc>
        <w:tc>
          <w:tcPr>
            <w:tcW w:w="413" w:type="pct"/>
            <w:gridSpan w:val="2"/>
            <w:shd w:val="clear" w:color="auto" w:fill="A7BFDE"/>
            <w:noWrap/>
            <w:vAlign w:val="center"/>
            <w:hideMark/>
          </w:tcPr>
          <w:p w:rsidR="00DA252E" w:rsidRPr="00E44344" w:rsidRDefault="00DA252E" w:rsidP="00DA252E">
            <w:pPr>
              <w:spacing w:after="0" w:line="240" w:lineRule="auto"/>
              <w:jc w:val="right"/>
              <w:rPr>
                <w:rFonts w:ascii="Verdana" w:eastAsia="Times New Roman" w:hAnsi="Verdana"/>
                <w:color w:val="000000"/>
                <w:sz w:val="16"/>
                <w:szCs w:val="20"/>
                <w:lang w:eastAsia="es-CO"/>
              </w:rPr>
            </w:pPr>
            <w:r w:rsidRPr="00E44344">
              <w:rPr>
                <w:rFonts w:ascii="Verdana" w:eastAsia="Times New Roman" w:hAnsi="Verdana"/>
                <w:color w:val="000000"/>
                <w:sz w:val="16"/>
                <w:szCs w:val="20"/>
                <w:lang w:eastAsia="es-CO"/>
              </w:rPr>
              <w:t>$ 584.8</w:t>
            </w:r>
          </w:p>
        </w:tc>
        <w:tc>
          <w:tcPr>
            <w:tcW w:w="344" w:type="pct"/>
            <w:gridSpan w:val="2"/>
            <w:shd w:val="clear" w:color="auto" w:fill="A7BFDE"/>
            <w:noWrap/>
            <w:vAlign w:val="center"/>
            <w:hideMark/>
          </w:tcPr>
          <w:p w:rsidR="00DA252E" w:rsidRPr="00E44344" w:rsidRDefault="00DA252E" w:rsidP="00DA252E">
            <w:pPr>
              <w:spacing w:after="0" w:line="240" w:lineRule="auto"/>
              <w:jc w:val="right"/>
              <w:rPr>
                <w:rFonts w:ascii="Verdana" w:eastAsia="Times New Roman" w:hAnsi="Verdana"/>
                <w:color w:val="000000"/>
                <w:sz w:val="16"/>
                <w:szCs w:val="20"/>
                <w:lang w:eastAsia="es-CO"/>
              </w:rPr>
            </w:pPr>
            <w:r w:rsidRPr="00E44344">
              <w:rPr>
                <w:rFonts w:ascii="Verdana" w:eastAsia="Times New Roman" w:hAnsi="Verdana"/>
                <w:color w:val="000000"/>
                <w:sz w:val="16"/>
                <w:szCs w:val="20"/>
                <w:lang w:eastAsia="es-CO"/>
              </w:rPr>
              <w:t>$ 521</w:t>
            </w:r>
          </w:p>
        </w:tc>
        <w:tc>
          <w:tcPr>
            <w:tcW w:w="347" w:type="pct"/>
            <w:gridSpan w:val="2"/>
            <w:shd w:val="clear" w:color="auto" w:fill="A7BFDE"/>
            <w:noWrap/>
            <w:vAlign w:val="center"/>
            <w:hideMark/>
          </w:tcPr>
          <w:p w:rsidR="00DA252E" w:rsidRPr="00E44344" w:rsidRDefault="00DA252E" w:rsidP="00DA252E">
            <w:pPr>
              <w:spacing w:after="0" w:line="240" w:lineRule="auto"/>
              <w:jc w:val="right"/>
              <w:rPr>
                <w:rFonts w:ascii="Verdana" w:eastAsia="Times New Roman" w:hAnsi="Verdana"/>
                <w:color w:val="000000"/>
                <w:sz w:val="16"/>
                <w:szCs w:val="20"/>
                <w:lang w:eastAsia="es-CO"/>
              </w:rPr>
            </w:pPr>
            <w:r w:rsidRPr="00E44344">
              <w:rPr>
                <w:rFonts w:ascii="Verdana" w:eastAsia="Times New Roman" w:hAnsi="Verdana"/>
                <w:color w:val="000000"/>
                <w:sz w:val="16"/>
                <w:szCs w:val="20"/>
                <w:lang w:eastAsia="es-CO"/>
              </w:rPr>
              <w:t>$ 558</w:t>
            </w:r>
          </w:p>
        </w:tc>
        <w:tc>
          <w:tcPr>
            <w:tcW w:w="344" w:type="pct"/>
            <w:gridSpan w:val="2"/>
            <w:shd w:val="clear" w:color="auto" w:fill="A7BFDE"/>
            <w:noWrap/>
            <w:vAlign w:val="center"/>
            <w:hideMark/>
          </w:tcPr>
          <w:p w:rsidR="00DA252E" w:rsidRPr="00E44344" w:rsidRDefault="00DA252E" w:rsidP="00DA252E">
            <w:pPr>
              <w:spacing w:after="0" w:line="240" w:lineRule="auto"/>
              <w:jc w:val="right"/>
              <w:rPr>
                <w:rFonts w:ascii="Verdana" w:eastAsia="Times New Roman" w:hAnsi="Verdana"/>
                <w:color w:val="000000"/>
                <w:sz w:val="16"/>
                <w:szCs w:val="20"/>
                <w:lang w:eastAsia="es-CO"/>
              </w:rPr>
            </w:pPr>
            <w:r w:rsidRPr="00E44344">
              <w:rPr>
                <w:rFonts w:ascii="Verdana" w:eastAsia="Times New Roman" w:hAnsi="Verdana"/>
                <w:color w:val="000000"/>
                <w:sz w:val="16"/>
                <w:szCs w:val="20"/>
                <w:lang w:eastAsia="es-CO"/>
              </w:rPr>
              <w:t>$ 516</w:t>
            </w:r>
          </w:p>
        </w:tc>
        <w:tc>
          <w:tcPr>
            <w:tcW w:w="344" w:type="pct"/>
            <w:gridSpan w:val="2"/>
            <w:shd w:val="clear" w:color="auto" w:fill="A7BFDE"/>
            <w:noWrap/>
            <w:vAlign w:val="center"/>
            <w:hideMark/>
          </w:tcPr>
          <w:p w:rsidR="00DA252E" w:rsidRPr="00E44344" w:rsidRDefault="00DA252E" w:rsidP="00DA252E">
            <w:pPr>
              <w:spacing w:after="0" w:line="240" w:lineRule="auto"/>
              <w:jc w:val="right"/>
              <w:rPr>
                <w:rFonts w:ascii="Verdana" w:eastAsia="Times New Roman" w:hAnsi="Verdana"/>
                <w:color w:val="000000"/>
                <w:sz w:val="16"/>
                <w:szCs w:val="20"/>
                <w:lang w:eastAsia="es-CO"/>
              </w:rPr>
            </w:pPr>
            <w:r w:rsidRPr="00E44344">
              <w:rPr>
                <w:rFonts w:ascii="Verdana" w:eastAsia="Times New Roman" w:hAnsi="Verdana"/>
                <w:color w:val="000000"/>
                <w:sz w:val="16"/>
                <w:szCs w:val="20"/>
                <w:lang w:eastAsia="es-CO"/>
              </w:rPr>
              <w:t>$ 566</w:t>
            </w:r>
          </w:p>
        </w:tc>
        <w:tc>
          <w:tcPr>
            <w:tcW w:w="344" w:type="pct"/>
            <w:gridSpan w:val="2"/>
            <w:shd w:val="clear" w:color="auto" w:fill="A7BFDE"/>
            <w:noWrap/>
            <w:vAlign w:val="center"/>
            <w:hideMark/>
          </w:tcPr>
          <w:p w:rsidR="00DA252E" w:rsidRPr="00E44344" w:rsidRDefault="00DA252E" w:rsidP="00DA252E">
            <w:pPr>
              <w:spacing w:after="0" w:line="240" w:lineRule="auto"/>
              <w:jc w:val="right"/>
              <w:rPr>
                <w:rFonts w:ascii="Verdana" w:eastAsia="Times New Roman" w:hAnsi="Verdana"/>
                <w:color w:val="000000"/>
                <w:sz w:val="16"/>
                <w:szCs w:val="20"/>
                <w:lang w:eastAsia="es-CO"/>
              </w:rPr>
            </w:pPr>
            <w:r w:rsidRPr="00E44344">
              <w:rPr>
                <w:rFonts w:ascii="Verdana" w:eastAsia="Times New Roman" w:hAnsi="Verdana"/>
                <w:color w:val="000000"/>
                <w:sz w:val="16"/>
                <w:szCs w:val="20"/>
                <w:lang w:eastAsia="es-CO"/>
              </w:rPr>
              <w:t>$ 598</w:t>
            </w:r>
          </w:p>
        </w:tc>
        <w:tc>
          <w:tcPr>
            <w:tcW w:w="344" w:type="pct"/>
            <w:gridSpan w:val="2"/>
            <w:shd w:val="clear" w:color="auto" w:fill="A7BFDE"/>
            <w:noWrap/>
            <w:vAlign w:val="center"/>
            <w:hideMark/>
          </w:tcPr>
          <w:p w:rsidR="00DA252E" w:rsidRPr="00E44344" w:rsidRDefault="00DA252E" w:rsidP="00DA252E">
            <w:pPr>
              <w:spacing w:after="0" w:line="240" w:lineRule="auto"/>
              <w:jc w:val="right"/>
              <w:rPr>
                <w:rFonts w:ascii="Verdana" w:eastAsia="Times New Roman" w:hAnsi="Verdana"/>
                <w:color w:val="000000"/>
                <w:sz w:val="16"/>
                <w:szCs w:val="20"/>
                <w:lang w:eastAsia="es-CO"/>
              </w:rPr>
            </w:pPr>
            <w:r w:rsidRPr="00E44344">
              <w:rPr>
                <w:rFonts w:ascii="Verdana" w:eastAsia="Times New Roman" w:hAnsi="Verdana"/>
                <w:color w:val="000000"/>
                <w:sz w:val="16"/>
                <w:szCs w:val="20"/>
                <w:lang w:eastAsia="es-CO"/>
              </w:rPr>
              <w:t>$ 484</w:t>
            </w:r>
          </w:p>
        </w:tc>
        <w:tc>
          <w:tcPr>
            <w:tcW w:w="345" w:type="pct"/>
            <w:gridSpan w:val="2"/>
            <w:shd w:val="clear" w:color="auto" w:fill="A7BFDE"/>
            <w:noWrap/>
            <w:vAlign w:val="center"/>
            <w:hideMark/>
          </w:tcPr>
          <w:p w:rsidR="00DA252E" w:rsidRPr="00E44344" w:rsidRDefault="00DA252E" w:rsidP="00DA252E">
            <w:pPr>
              <w:spacing w:after="0" w:line="240" w:lineRule="auto"/>
              <w:jc w:val="right"/>
              <w:rPr>
                <w:rFonts w:ascii="Verdana" w:eastAsia="Times New Roman" w:hAnsi="Verdana"/>
                <w:color w:val="000000"/>
                <w:sz w:val="16"/>
                <w:szCs w:val="20"/>
                <w:lang w:eastAsia="es-CO"/>
              </w:rPr>
            </w:pPr>
            <w:r w:rsidRPr="00E44344">
              <w:rPr>
                <w:rFonts w:ascii="Verdana" w:eastAsia="Times New Roman" w:hAnsi="Verdana"/>
                <w:color w:val="000000"/>
                <w:sz w:val="16"/>
                <w:szCs w:val="20"/>
                <w:lang w:eastAsia="es-CO"/>
              </w:rPr>
              <w:t>$ 546</w:t>
            </w:r>
          </w:p>
        </w:tc>
        <w:tc>
          <w:tcPr>
            <w:tcW w:w="403" w:type="pct"/>
            <w:shd w:val="clear" w:color="auto" w:fill="A7BFDE"/>
            <w:noWrap/>
            <w:vAlign w:val="center"/>
            <w:hideMark/>
          </w:tcPr>
          <w:p w:rsidR="00DA252E" w:rsidRPr="00E44344" w:rsidRDefault="00DA252E" w:rsidP="00DA252E">
            <w:pPr>
              <w:spacing w:after="0" w:line="240" w:lineRule="auto"/>
              <w:jc w:val="right"/>
              <w:rPr>
                <w:rFonts w:ascii="Verdana" w:eastAsia="Times New Roman" w:hAnsi="Verdana"/>
                <w:color w:val="000000"/>
                <w:sz w:val="16"/>
                <w:szCs w:val="20"/>
                <w:lang w:eastAsia="es-CO"/>
              </w:rPr>
            </w:pPr>
            <w:r w:rsidRPr="00E44344">
              <w:rPr>
                <w:rFonts w:ascii="Verdana" w:eastAsia="Times New Roman" w:hAnsi="Verdana"/>
                <w:color w:val="000000"/>
                <w:sz w:val="16"/>
                <w:szCs w:val="20"/>
                <w:lang w:eastAsia="es-CO"/>
              </w:rPr>
              <w:t>$ 583</w:t>
            </w:r>
          </w:p>
        </w:tc>
        <w:tc>
          <w:tcPr>
            <w:tcW w:w="473" w:type="pct"/>
            <w:shd w:val="clear" w:color="auto" w:fill="A7BFDE"/>
            <w:noWrap/>
            <w:vAlign w:val="center"/>
            <w:hideMark/>
          </w:tcPr>
          <w:p w:rsidR="00DA252E" w:rsidRPr="00E44344" w:rsidRDefault="00DA252E" w:rsidP="00DA252E">
            <w:pPr>
              <w:spacing w:after="0" w:line="240" w:lineRule="auto"/>
              <w:jc w:val="right"/>
              <w:rPr>
                <w:rFonts w:ascii="Verdana" w:eastAsia="Times New Roman" w:hAnsi="Verdana"/>
                <w:color w:val="000000"/>
                <w:sz w:val="16"/>
                <w:szCs w:val="20"/>
                <w:lang w:eastAsia="es-CO"/>
              </w:rPr>
            </w:pPr>
            <w:r w:rsidRPr="00E44344">
              <w:rPr>
                <w:rFonts w:ascii="Verdana" w:eastAsia="Times New Roman" w:hAnsi="Verdana"/>
                <w:color w:val="000000"/>
                <w:sz w:val="16"/>
                <w:szCs w:val="20"/>
                <w:lang w:eastAsia="es-CO"/>
              </w:rPr>
              <w:t>$ 514</w:t>
            </w:r>
          </w:p>
        </w:tc>
      </w:tr>
    </w:tbl>
    <w:p w:rsidR="00DA252E" w:rsidRPr="00C874F8" w:rsidRDefault="00DA252E" w:rsidP="00DA252E">
      <w:pPr>
        <w:autoSpaceDE w:val="0"/>
        <w:autoSpaceDN w:val="0"/>
        <w:adjustRightInd w:val="0"/>
        <w:spacing w:after="0" w:line="240" w:lineRule="auto"/>
        <w:jc w:val="right"/>
        <w:rPr>
          <w:rFonts w:ascii="Verdana" w:hAnsi="Verdana"/>
          <w:sz w:val="16"/>
          <w:szCs w:val="20"/>
        </w:rPr>
      </w:pPr>
      <w:r w:rsidRPr="00C874F8">
        <w:rPr>
          <w:rFonts w:ascii="Verdana" w:hAnsi="Verdana"/>
          <w:sz w:val="16"/>
          <w:szCs w:val="20"/>
        </w:rPr>
        <w:t>Fuente: Encuesta a Jóvenes En Acción. CNC (2014)</w:t>
      </w:r>
    </w:p>
    <w:p w:rsidR="00DA252E" w:rsidRDefault="00DA252E" w:rsidP="00DA252E">
      <w:pPr>
        <w:spacing w:after="0" w:line="240" w:lineRule="auto"/>
        <w:jc w:val="both"/>
        <w:rPr>
          <w:rFonts w:ascii="Verdana" w:hAnsi="Verdana"/>
        </w:rPr>
      </w:pPr>
    </w:p>
    <w:p w:rsidR="00DA252E" w:rsidRPr="00421F33" w:rsidRDefault="0007719D" w:rsidP="00421F33">
      <w:pPr>
        <w:keepLines/>
        <w:spacing w:after="0" w:line="240" w:lineRule="auto"/>
        <w:jc w:val="both"/>
        <w:rPr>
          <w:rFonts w:ascii="Verdana" w:hAnsi="Verdana"/>
          <w:b/>
          <w:color w:val="548DD4" w:themeColor="text2" w:themeTint="99"/>
          <w:sz w:val="24"/>
          <w:szCs w:val="24"/>
          <w:u w:val="single"/>
        </w:rPr>
      </w:pPr>
      <w:r w:rsidRPr="0007719D">
        <w:rPr>
          <w:rFonts w:ascii="Verdana" w:hAnsi="Verdana"/>
          <w:b/>
          <w:noProof/>
          <w:color w:val="548DD4" w:themeColor="text2" w:themeTint="99"/>
          <w:sz w:val="24"/>
          <w:szCs w:val="24"/>
          <w:lang w:eastAsia="es-CO"/>
        </w:rPr>
        <w:drawing>
          <wp:inline distT="0" distB="0" distL="0" distR="0">
            <wp:extent cx="216024" cy="216024"/>
            <wp:effectExtent l="19050" t="0" r="0" b="0"/>
            <wp:docPr id="466" name="Objet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7236296" y="2924944"/>
                      <a:chExt cx="216024" cy="216024"/>
                    </a:xfrm>
                  </a:grpSpPr>
                  <a:sp>
                    <a:nvSpPr>
                      <a:cNvPr id="39" name="38 Rectángulo redondeado"/>
                      <a:cNvSpPr/>
                    </a:nvSpPr>
                    <a:spPr>
                      <a:xfrm>
                        <a:off x="7236296" y="2924944"/>
                        <a:ext cx="216024" cy="216024"/>
                      </a:xfrm>
                      <a:prstGeom prst="roundRect">
                        <a:avLst/>
                      </a:prstGeom>
                      <a:gradFill flip="none" rotWithShape="1">
                        <a:gsLst>
                          <a:gs pos="0">
                            <a:schemeClr val="tx2">
                              <a:lumMod val="40000"/>
                              <a:lumOff val="60000"/>
                              <a:shade val="30000"/>
                              <a:satMod val="115000"/>
                            </a:schemeClr>
                          </a:gs>
                          <a:gs pos="50000">
                            <a:schemeClr val="tx2">
                              <a:lumMod val="40000"/>
                              <a:lumOff val="60000"/>
                              <a:shade val="67500"/>
                              <a:satMod val="115000"/>
                            </a:schemeClr>
                          </a:gs>
                          <a:gs pos="100000">
                            <a:schemeClr val="tx2">
                              <a:lumMod val="40000"/>
                              <a:lumOff val="60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dirty="0">
                            <a:solidFill>
                              <a:schemeClr val="accent4">
                                <a:lumMod val="40000"/>
                                <a:lumOff val="60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07719D">
        <w:rPr>
          <w:rFonts w:ascii="Verdana" w:hAnsi="Verdana"/>
          <w:b/>
          <w:color w:val="548DD4" w:themeColor="text2" w:themeTint="99"/>
          <w:sz w:val="24"/>
          <w:szCs w:val="24"/>
        </w:rPr>
        <w:t xml:space="preserve">  </w:t>
      </w:r>
      <w:r w:rsidR="00DA252E" w:rsidRPr="00421F33">
        <w:rPr>
          <w:rFonts w:ascii="Verdana" w:hAnsi="Verdana"/>
          <w:b/>
          <w:color w:val="548DD4" w:themeColor="text2" w:themeTint="99"/>
          <w:sz w:val="24"/>
          <w:szCs w:val="24"/>
          <w:u w:val="single"/>
        </w:rPr>
        <w:t>Beneficios percibidos por los jóvenes</w:t>
      </w:r>
      <w:r w:rsidR="0001325C">
        <w:rPr>
          <w:rFonts w:ascii="Verdana" w:hAnsi="Verdana"/>
          <w:b/>
          <w:color w:val="548DD4" w:themeColor="text2" w:themeTint="99"/>
          <w:sz w:val="24"/>
          <w:szCs w:val="24"/>
          <w:u w:val="single"/>
        </w:rPr>
        <w:t xml:space="preserve"> – Impacto de la Gestión</w:t>
      </w:r>
    </w:p>
    <w:p w:rsidR="00DA252E" w:rsidRPr="00F71B84" w:rsidRDefault="00DA252E" w:rsidP="00DA252E">
      <w:pPr>
        <w:pStyle w:val="Prrafodelista"/>
        <w:spacing w:after="0" w:line="240" w:lineRule="auto"/>
        <w:rPr>
          <w:rFonts w:ascii="Verdana" w:hAnsi="Verdana"/>
          <w:sz w:val="24"/>
          <w:szCs w:val="24"/>
        </w:rPr>
      </w:pPr>
    </w:p>
    <w:p w:rsidR="00DA252E" w:rsidRPr="00F71B84" w:rsidRDefault="00DA252E" w:rsidP="00DA252E">
      <w:pPr>
        <w:spacing w:after="0" w:line="240" w:lineRule="auto"/>
        <w:jc w:val="both"/>
        <w:rPr>
          <w:rFonts w:ascii="Verdana" w:hAnsi="Verdana"/>
          <w:sz w:val="24"/>
          <w:szCs w:val="24"/>
        </w:rPr>
      </w:pPr>
      <w:r w:rsidRPr="00F71B84">
        <w:rPr>
          <w:rFonts w:ascii="Verdana" w:hAnsi="Verdana"/>
          <w:sz w:val="24"/>
          <w:szCs w:val="24"/>
        </w:rPr>
        <w:t xml:space="preserve">El 98% de los Jóvenes en Acción afirmaron haber derivado algún provecho del programa y la  mayoría, resaltó la importancia de haber podido avanzar con sus estudios, en razón del título obtenido o por la posibilidad que se les brindó de estudiar una carrera de su interés. </w:t>
      </w:r>
    </w:p>
    <w:p w:rsidR="00DA252E" w:rsidRPr="00F71B84" w:rsidRDefault="00DA252E" w:rsidP="00DA252E">
      <w:pPr>
        <w:spacing w:after="0" w:line="240" w:lineRule="auto"/>
        <w:jc w:val="both"/>
        <w:rPr>
          <w:rFonts w:ascii="Verdana" w:hAnsi="Verdana"/>
          <w:sz w:val="24"/>
          <w:szCs w:val="24"/>
        </w:rPr>
      </w:pPr>
    </w:p>
    <w:p w:rsidR="00DA252E" w:rsidRPr="00F71B84" w:rsidRDefault="00DA252E" w:rsidP="00DA252E">
      <w:pPr>
        <w:spacing w:after="0" w:line="240" w:lineRule="auto"/>
        <w:jc w:val="both"/>
        <w:rPr>
          <w:rFonts w:ascii="Verdana" w:hAnsi="Verdana"/>
          <w:sz w:val="24"/>
          <w:szCs w:val="24"/>
        </w:rPr>
      </w:pPr>
      <w:r w:rsidRPr="00F71B84">
        <w:rPr>
          <w:rFonts w:ascii="Verdana" w:hAnsi="Verdana"/>
          <w:sz w:val="24"/>
          <w:szCs w:val="24"/>
        </w:rPr>
        <w:t xml:space="preserve">Se ha evidenciado que el incentivo no es determinante para que el joven decida participar, mas sí lo es la posibilidad que se les brinda a los beneficiarios de acceder a cursos de educación superior de forma prioritaria.  </w:t>
      </w:r>
    </w:p>
    <w:p w:rsidR="00DA252E" w:rsidRPr="00F71B84" w:rsidRDefault="00DA252E" w:rsidP="00DA252E">
      <w:pPr>
        <w:spacing w:after="0" w:line="240" w:lineRule="auto"/>
        <w:jc w:val="both"/>
        <w:rPr>
          <w:rFonts w:ascii="Verdana" w:hAnsi="Verdana"/>
          <w:sz w:val="24"/>
          <w:szCs w:val="24"/>
        </w:rPr>
      </w:pPr>
    </w:p>
    <w:p w:rsidR="00DA252E" w:rsidRPr="00F71B84" w:rsidRDefault="00DA252E" w:rsidP="00DA252E">
      <w:pPr>
        <w:spacing w:after="0" w:line="240" w:lineRule="auto"/>
        <w:jc w:val="both"/>
        <w:rPr>
          <w:rFonts w:ascii="Verdana" w:hAnsi="Verdana"/>
          <w:sz w:val="24"/>
          <w:szCs w:val="24"/>
        </w:rPr>
      </w:pPr>
      <w:r w:rsidRPr="00F71B84">
        <w:rPr>
          <w:rFonts w:ascii="Verdana" w:hAnsi="Verdana"/>
          <w:sz w:val="24"/>
          <w:szCs w:val="24"/>
        </w:rPr>
        <w:t>Se observó que los beneficios derivados de Jóvenes en Acción reflejan en gran medida las expectativas que tenían los jóvenes en el momento de graduarse de bachilleres. En efecto, el 95% de los entrevistados quería continuar con su educación, estudiando una carrera universitaria (el 55%) o de técnico/tecnólogo en el SENA u otra institución de educación superior (40%).</w:t>
      </w:r>
    </w:p>
    <w:p w:rsidR="00DA252E" w:rsidRPr="00F71B84" w:rsidRDefault="00DA252E" w:rsidP="00DA252E">
      <w:pPr>
        <w:pStyle w:val="Textoindependiente2"/>
        <w:autoSpaceDE w:val="0"/>
        <w:autoSpaceDN w:val="0"/>
        <w:adjustRightInd w:val="0"/>
        <w:rPr>
          <w:rFonts w:ascii="Verdana" w:hAnsi="Verdana" w:cs="Tahoma"/>
          <w:sz w:val="24"/>
        </w:rPr>
      </w:pPr>
      <w:r w:rsidRPr="00F71B84">
        <w:rPr>
          <w:rFonts w:ascii="Verdana" w:hAnsi="Verdana" w:cs="Optima"/>
          <w:color w:val="231F20"/>
          <w:sz w:val="24"/>
        </w:rPr>
        <w:t>Para los  jóvenes  de escasos recursos al terminar la educación media, el poder tener acceso a la educación superior es una meta importante, en la medida que l</w:t>
      </w:r>
      <w:r w:rsidRPr="00F71B84">
        <w:rPr>
          <w:rFonts w:ascii="Verdana" w:eastAsia="Calibri" w:hAnsi="Verdana" w:cs="ArialNarrow"/>
          <w:sz w:val="24"/>
          <w:lang w:eastAsia="en-US"/>
        </w:rPr>
        <w:t xml:space="preserve">os estudiantes señalan que el programa les abrió una puerta de entrada a los estudios después de haber fallado en varios intentos de ingreso al SENA y a la Universidad. </w:t>
      </w:r>
    </w:p>
    <w:p w:rsidR="00DA252E" w:rsidRDefault="00DA252E" w:rsidP="00DA252E">
      <w:pPr>
        <w:spacing w:after="0" w:line="240" w:lineRule="auto"/>
        <w:jc w:val="both"/>
        <w:rPr>
          <w:rFonts w:ascii="Verdana" w:hAnsi="Verdana"/>
          <w:sz w:val="24"/>
          <w:szCs w:val="24"/>
        </w:rPr>
      </w:pPr>
    </w:p>
    <w:p w:rsidR="007406CB" w:rsidRDefault="007406CB" w:rsidP="007406CB">
      <w:pPr>
        <w:pStyle w:val="Ttulo1"/>
        <w:spacing w:before="0" w:after="0" w:line="240" w:lineRule="auto"/>
        <w:rPr>
          <w:rFonts w:ascii="Verdana" w:hAnsi="Verdana"/>
          <w:color w:val="548DD4" w:themeColor="text2" w:themeTint="99"/>
          <w:sz w:val="28"/>
          <w:szCs w:val="28"/>
        </w:rPr>
      </w:pPr>
    </w:p>
    <w:p w:rsidR="007406CB" w:rsidRDefault="007406CB" w:rsidP="007406CB">
      <w:pPr>
        <w:pStyle w:val="Ttulo1"/>
        <w:spacing w:before="0" w:after="0" w:line="240" w:lineRule="auto"/>
        <w:rPr>
          <w:rFonts w:ascii="Verdana" w:hAnsi="Verdana"/>
          <w:color w:val="548DD4" w:themeColor="text2" w:themeTint="99"/>
          <w:sz w:val="28"/>
          <w:szCs w:val="28"/>
        </w:rPr>
      </w:pPr>
      <w:r w:rsidRPr="001F1B2D">
        <w:rPr>
          <w:rFonts w:ascii="Verdana" w:hAnsi="Verdana"/>
          <w:noProof/>
          <w:color w:val="548DD4" w:themeColor="text2" w:themeTint="99"/>
          <w:sz w:val="28"/>
          <w:szCs w:val="28"/>
          <w:lang w:eastAsia="es-CO"/>
        </w:rPr>
        <w:drawing>
          <wp:inline distT="0" distB="0" distL="0" distR="0">
            <wp:extent cx="216024" cy="216024"/>
            <wp:effectExtent l="19050" t="0" r="0" b="0"/>
            <wp:docPr id="470"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7236296" y="2924944"/>
                      <a:chExt cx="216024" cy="216024"/>
                    </a:xfrm>
                  </a:grpSpPr>
                  <a:sp>
                    <a:nvSpPr>
                      <a:cNvPr id="39" name="38 Rectángulo redondeado"/>
                      <a:cNvSpPr/>
                    </a:nvSpPr>
                    <a:spPr>
                      <a:xfrm>
                        <a:off x="7236296" y="2924944"/>
                        <a:ext cx="216024" cy="216024"/>
                      </a:xfrm>
                      <a:prstGeom prst="roundRect">
                        <a:avLst/>
                      </a:prstGeom>
                      <a:gradFill flip="none" rotWithShape="1">
                        <a:gsLst>
                          <a:gs pos="0">
                            <a:schemeClr val="tx2">
                              <a:lumMod val="40000"/>
                              <a:lumOff val="60000"/>
                              <a:shade val="30000"/>
                              <a:satMod val="115000"/>
                            </a:schemeClr>
                          </a:gs>
                          <a:gs pos="50000">
                            <a:schemeClr val="tx2">
                              <a:lumMod val="40000"/>
                              <a:lumOff val="60000"/>
                              <a:shade val="67500"/>
                              <a:satMod val="115000"/>
                            </a:schemeClr>
                          </a:gs>
                          <a:gs pos="100000">
                            <a:schemeClr val="tx2">
                              <a:lumMod val="40000"/>
                              <a:lumOff val="60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dirty="0">
                            <a:solidFill>
                              <a:schemeClr val="accent4">
                                <a:lumMod val="40000"/>
                                <a:lumOff val="60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hAnsi="Verdana"/>
          <w:color w:val="548DD4" w:themeColor="text2" w:themeTint="99"/>
          <w:sz w:val="28"/>
          <w:szCs w:val="28"/>
        </w:rPr>
        <w:t xml:space="preserve">  GESTION CONTRACTUAL</w:t>
      </w:r>
    </w:p>
    <w:p w:rsidR="007406CB" w:rsidRDefault="007406CB" w:rsidP="007406CB">
      <w:pPr>
        <w:spacing w:after="0" w:line="240" w:lineRule="auto"/>
        <w:jc w:val="both"/>
        <w:rPr>
          <w:rFonts w:ascii="Verdana" w:hAnsi="Verdana" w:cs="Arial"/>
          <w:sz w:val="24"/>
          <w:szCs w:val="24"/>
        </w:rPr>
      </w:pPr>
    </w:p>
    <w:p w:rsidR="002A4ED0" w:rsidRDefault="002A4ED0" w:rsidP="007406CB">
      <w:pPr>
        <w:spacing w:after="0" w:line="240" w:lineRule="auto"/>
        <w:jc w:val="both"/>
        <w:rPr>
          <w:rFonts w:ascii="Verdana" w:hAnsi="Verdana" w:cs="Arial"/>
          <w:sz w:val="24"/>
          <w:szCs w:val="24"/>
        </w:rPr>
      </w:pPr>
      <w:r>
        <w:rPr>
          <w:rFonts w:ascii="Verdana" w:hAnsi="Verdana" w:cs="Arial"/>
          <w:sz w:val="24"/>
          <w:szCs w:val="24"/>
        </w:rPr>
        <w:t>En la siguiente tabla se pueden apreciar los procesos de selección adelantados durante la vigencia del 2014, según el tipo de selección:</w:t>
      </w:r>
    </w:p>
    <w:p w:rsidR="002A4ED0" w:rsidRDefault="002A4ED0" w:rsidP="007406CB">
      <w:pPr>
        <w:spacing w:after="0" w:line="240" w:lineRule="auto"/>
        <w:jc w:val="both"/>
        <w:rPr>
          <w:rFonts w:ascii="Verdana" w:hAnsi="Verdana" w:cs="Arial"/>
          <w:sz w:val="24"/>
          <w:szCs w:val="24"/>
        </w:rPr>
      </w:pPr>
    </w:p>
    <w:p w:rsidR="002A4ED0" w:rsidRDefault="002A4ED0" w:rsidP="007406CB">
      <w:pPr>
        <w:spacing w:after="0" w:line="240" w:lineRule="auto"/>
        <w:jc w:val="both"/>
        <w:rPr>
          <w:rFonts w:ascii="Verdana" w:hAnsi="Verdana" w:cs="Arial"/>
          <w:sz w:val="24"/>
          <w:szCs w:val="24"/>
        </w:rPr>
      </w:pPr>
    </w:p>
    <w:tbl>
      <w:tblPr>
        <w:tblW w:w="5000" w:type="pct"/>
        <w:tblLayout w:type="fixed"/>
        <w:tblCellMar>
          <w:left w:w="70" w:type="dxa"/>
          <w:right w:w="70" w:type="dxa"/>
        </w:tblCellMar>
        <w:tblLook w:val="04A0"/>
      </w:tblPr>
      <w:tblGrid>
        <w:gridCol w:w="2765"/>
        <w:gridCol w:w="991"/>
        <w:gridCol w:w="849"/>
        <w:gridCol w:w="1420"/>
        <w:gridCol w:w="1559"/>
        <w:gridCol w:w="1274"/>
        <w:gridCol w:w="1254"/>
      </w:tblGrid>
      <w:tr w:rsidR="002A4ED0" w:rsidRPr="002A4ED0" w:rsidTr="002A4ED0">
        <w:trPr>
          <w:trHeight w:val="451"/>
        </w:trPr>
        <w:tc>
          <w:tcPr>
            <w:tcW w:w="5000" w:type="pct"/>
            <w:gridSpan w:val="7"/>
            <w:tcBorders>
              <w:top w:val="nil"/>
              <w:left w:val="nil"/>
              <w:bottom w:val="single" w:sz="4" w:space="0" w:color="auto"/>
              <w:right w:val="nil"/>
            </w:tcBorders>
            <w:shd w:val="clear" w:color="000000" w:fill="4F81BD"/>
            <w:noWrap/>
            <w:vAlign w:val="center"/>
            <w:hideMark/>
          </w:tcPr>
          <w:p w:rsidR="002A4ED0" w:rsidRPr="002A4ED0" w:rsidRDefault="002A4ED0" w:rsidP="002A4ED0">
            <w:pPr>
              <w:spacing w:after="0" w:line="240" w:lineRule="auto"/>
              <w:jc w:val="center"/>
              <w:rPr>
                <w:rFonts w:ascii="Verdana" w:eastAsia="Times New Roman" w:hAnsi="Verdana" w:cs="Times New Roman"/>
                <w:b/>
                <w:bCs/>
                <w:color w:val="FFFFFF"/>
                <w:sz w:val="20"/>
                <w:szCs w:val="20"/>
                <w:lang w:eastAsia="es-CO"/>
              </w:rPr>
            </w:pPr>
            <w:r w:rsidRPr="002A4ED0">
              <w:rPr>
                <w:rFonts w:ascii="Verdana" w:eastAsia="Times New Roman" w:hAnsi="Verdana" w:cs="Times New Roman"/>
                <w:b/>
                <w:bCs/>
                <w:color w:val="FFFFFF"/>
                <w:sz w:val="20"/>
                <w:szCs w:val="20"/>
                <w:lang w:eastAsia="es-CO"/>
              </w:rPr>
              <w:t>PROCESOS DE SELECCIÓN 2014</w:t>
            </w:r>
          </w:p>
        </w:tc>
      </w:tr>
      <w:tr w:rsidR="002A4ED0" w:rsidRPr="002A4ED0" w:rsidTr="002A4ED0">
        <w:trPr>
          <w:trHeight w:val="600"/>
        </w:trPr>
        <w:tc>
          <w:tcPr>
            <w:tcW w:w="1367" w:type="pct"/>
            <w:vMerge w:val="restart"/>
            <w:tcBorders>
              <w:top w:val="single" w:sz="4" w:space="0" w:color="auto"/>
              <w:left w:val="single" w:sz="4" w:space="0" w:color="auto"/>
              <w:bottom w:val="single" w:sz="4" w:space="0" w:color="000000"/>
              <w:right w:val="single" w:sz="4" w:space="0" w:color="000000"/>
            </w:tcBorders>
            <w:shd w:val="clear" w:color="000000" w:fill="4F81BD"/>
            <w:noWrap/>
            <w:vAlign w:val="center"/>
            <w:hideMark/>
          </w:tcPr>
          <w:p w:rsidR="002A4ED0" w:rsidRPr="002A4ED0" w:rsidRDefault="002A4ED0" w:rsidP="002A4ED0">
            <w:pPr>
              <w:spacing w:after="0" w:line="240" w:lineRule="auto"/>
              <w:jc w:val="center"/>
              <w:rPr>
                <w:rFonts w:ascii="Verdana" w:eastAsia="Times New Roman" w:hAnsi="Verdana" w:cs="Times New Roman"/>
                <w:b/>
                <w:bCs/>
                <w:color w:val="FFFFFF"/>
                <w:sz w:val="20"/>
                <w:szCs w:val="20"/>
                <w:lang w:eastAsia="es-CO"/>
              </w:rPr>
            </w:pPr>
            <w:r w:rsidRPr="002A4ED0">
              <w:rPr>
                <w:rFonts w:ascii="Verdana" w:eastAsia="Times New Roman" w:hAnsi="Verdana" w:cs="Times New Roman"/>
                <w:b/>
                <w:bCs/>
                <w:color w:val="FFFFFF"/>
                <w:sz w:val="20"/>
                <w:szCs w:val="20"/>
                <w:lang w:eastAsia="es-CO"/>
              </w:rPr>
              <w:t>TIPO DE CONTRATACION</w:t>
            </w:r>
          </w:p>
        </w:tc>
        <w:tc>
          <w:tcPr>
            <w:tcW w:w="910" w:type="pct"/>
            <w:gridSpan w:val="2"/>
            <w:tcBorders>
              <w:top w:val="single" w:sz="4" w:space="0" w:color="auto"/>
              <w:left w:val="nil"/>
              <w:bottom w:val="single" w:sz="4" w:space="0" w:color="auto"/>
              <w:right w:val="single" w:sz="4" w:space="0" w:color="000000"/>
            </w:tcBorders>
            <w:shd w:val="clear" w:color="000000" w:fill="4F81BD"/>
            <w:noWrap/>
            <w:vAlign w:val="bottom"/>
            <w:hideMark/>
          </w:tcPr>
          <w:p w:rsidR="002A4ED0" w:rsidRPr="002A4ED0" w:rsidRDefault="002A4ED0" w:rsidP="002A4ED0">
            <w:pPr>
              <w:spacing w:after="0" w:line="240" w:lineRule="auto"/>
              <w:jc w:val="center"/>
              <w:rPr>
                <w:rFonts w:ascii="Verdana" w:eastAsia="Times New Roman" w:hAnsi="Verdana" w:cs="Times New Roman"/>
                <w:b/>
                <w:bCs/>
                <w:color w:val="FFFFFF"/>
                <w:sz w:val="20"/>
                <w:szCs w:val="20"/>
                <w:lang w:eastAsia="es-CO"/>
              </w:rPr>
            </w:pPr>
            <w:r w:rsidRPr="002A4ED0">
              <w:rPr>
                <w:rFonts w:ascii="Verdana" w:eastAsia="Times New Roman" w:hAnsi="Verdana" w:cs="Times New Roman"/>
                <w:b/>
                <w:bCs/>
                <w:color w:val="FFFFFF"/>
                <w:sz w:val="20"/>
                <w:szCs w:val="20"/>
                <w:lang w:eastAsia="es-CO"/>
              </w:rPr>
              <w:t>ADJUDICADOS</w:t>
            </w:r>
          </w:p>
        </w:tc>
        <w:tc>
          <w:tcPr>
            <w:tcW w:w="1473" w:type="pct"/>
            <w:gridSpan w:val="2"/>
            <w:tcBorders>
              <w:top w:val="single" w:sz="4" w:space="0" w:color="auto"/>
              <w:left w:val="nil"/>
              <w:bottom w:val="single" w:sz="4" w:space="0" w:color="auto"/>
              <w:right w:val="single" w:sz="4" w:space="0" w:color="000000"/>
            </w:tcBorders>
            <w:shd w:val="clear" w:color="000000" w:fill="4F81BD"/>
            <w:noWrap/>
            <w:vAlign w:val="bottom"/>
            <w:hideMark/>
          </w:tcPr>
          <w:p w:rsidR="002A4ED0" w:rsidRPr="002A4ED0" w:rsidRDefault="002A4ED0" w:rsidP="002A4ED0">
            <w:pPr>
              <w:spacing w:after="0" w:line="240" w:lineRule="auto"/>
              <w:jc w:val="center"/>
              <w:rPr>
                <w:rFonts w:ascii="Verdana" w:eastAsia="Times New Roman" w:hAnsi="Verdana" w:cs="Times New Roman"/>
                <w:b/>
                <w:bCs/>
                <w:color w:val="FFFFFF"/>
                <w:sz w:val="20"/>
                <w:szCs w:val="20"/>
                <w:lang w:eastAsia="es-CO"/>
              </w:rPr>
            </w:pPr>
            <w:r w:rsidRPr="002A4ED0">
              <w:rPr>
                <w:rFonts w:ascii="Verdana" w:eastAsia="Times New Roman" w:hAnsi="Verdana" w:cs="Times New Roman"/>
                <w:b/>
                <w:bCs/>
                <w:color w:val="FFFFFF"/>
                <w:sz w:val="20"/>
                <w:szCs w:val="20"/>
                <w:lang w:eastAsia="es-CO"/>
              </w:rPr>
              <w:t>DESIERTOS/FALLIDOS</w:t>
            </w:r>
          </w:p>
        </w:tc>
        <w:tc>
          <w:tcPr>
            <w:tcW w:w="1250" w:type="pct"/>
            <w:gridSpan w:val="2"/>
            <w:tcBorders>
              <w:top w:val="single" w:sz="4" w:space="0" w:color="auto"/>
              <w:left w:val="single" w:sz="4" w:space="0" w:color="auto"/>
              <w:bottom w:val="single" w:sz="4" w:space="0" w:color="auto"/>
              <w:right w:val="single" w:sz="4" w:space="0" w:color="000000"/>
            </w:tcBorders>
            <w:shd w:val="clear" w:color="000000" w:fill="1F497D"/>
            <w:noWrap/>
            <w:vAlign w:val="bottom"/>
            <w:hideMark/>
          </w:tcPr>
          <w:p w:rsidR="002A4ED0" w:rsidRPr="002A4ED0" w:rsidRDefault="002A4ED0" w:rsidP="002A4ED0">
            <w:pPr>
              <w:spacing w:after="0" w:line="240" w:lineRule="auto"/>
              <w:jc w:val="center"/>
              <w:rPr>
                <w:rFonts w:ascii="Verdana" w:eastAsia="Times New Roman" w:hAnsi="Verdana" w:cs="Times New Roman"/>
                <w:b/>
                <w:bCs/>
                <w:color w:val="FFFFFF"/>
                <w:sz w:val="20"/>
                <w:szCs w:val="20"/>
                <w:lang w:eastAsia="es-CO"/>
              </w:rPr>
            </w:pPr>
            <w:r w:rsidRPr="002A4ED0">
              <w:rPr>
                <w:rFonts w:ascii="Verdana" w:eastAsia="Times New Roman" w:hAnsi="Verdana" w:cs="Times New Roman"/>
                <w:b/>
                <w:bCs/>
                <w:color w:val="FFFFFF"/>
                <w:sz w:val="20"/>
                <w:szCs w:val="20"/>
                <w:lang w:eastAsia="es-CO"/>
              </w:rPr>
              <w:t>TOTAL PROCESOS DE SELECCIÓN</w:t>
            </w:r>
          </w:p>
        </w:tc>
      </w:tr>
      <w:tr w:rsidR="002A4ED0" w:rsidRPr="002A4ED0" w:rsidTr="002A4ED0">
        <w:trPr>
          <w:trHeight w:val="300"/>
        </w:trPr>
        <w:tc>
          <w:tcPr>
            <w:tcW w:w="1367" w:type="pct"/>
            <w:vMerge/>
            <w:tcBorders>
              <w:top w:val="single" w:sz="4" w:space="0" w:color="auto"/>
              <w:left w:val="single" w:sz="4" w:space="0" w:color="auto"/>
              <w:bottom w:val="single" w:sz="4" w:space="0" w:color="000000"/>
              <w:right w:val="single" w:sz="4" w:space="0" w:color="000000"/>
            </w:tcBorders>
            <w:vAlign w:val="center"/>
            <w:hideMark/>
          </w:tcPr>
          <w:p w:rsidR="002A4ED0" w:rsidRPr="002A4ED0" w:rsidRDefault="002A4ED0" w:rsidP="002A4ED0">
            <w:pPr>
              <w:spacing w:after="0" w:line="240" w:lineRule="auto"/>
              <w:rPr>
                <w:rFonts w:ascii="Verdana" w:eastAsia="Times New Roman" w:hAnsi="Verdana" w:cs="Times New Roman"/>
                <w:b/>
                <w:bCs/>
                <w:color w:val="FFFFFF"/>
                <w:sz w:val="20"/>
                <w:szCs w:val="20"/>
                <w:lang w:eastAsia="es-CO"/>
              </w:rPr>
            </w:pPr>
          </w:p>
        </w:tc>
        <w:tc>
          <w:tcPr>
            <w:tcW w:w="490" w:type="pct"/>
            <w:tcBorders>
              <w:top w:val="nil"/>
              <w:left w:val="nil"/>
              <w:bottom w:val="single" w:sz="4" w:space="0" w:color="auto"/>
              <w:right w:val="single" w:sz="4" w:space="0" w:color="auto"/>
            </w:tcBorders>
            <w:shd w:val="clear" w:color="000000" w:fill="C5D9F1"/>
            <w:noWrap/>
            <w:vAlign w:val="bottom"/>
            <w:hideMark/>
          </w:tcPr>
          <w:p w:rsidR="002A4ED0" w:rsidRPr="002A4ED0" w:rsidRDefault="002A4ED0" w:rsidP="002A4ED0">
            <w:pPr>
              <w:spacing w:after="0" w:line="240" w:lineRule="auto"/>
              <w:jc w:val="center"/>
              <w:rPr>
                <w:rFonts w:ascii="Verdana" w:eastAsia="Times New Roman" w:hAnsi="Verdana" w:cs="Times New Roman"/>
                <w:color w:val="FFFFFF"/>
                <w:sz w:val="20"/>
                <w:szCs w:val="20"/>
                <w:lang w:eastAsia="es-CO"/>
              </w:rPr>
            </w:pPr>
            <w:r w:rsidRPr="002A4ED0">
              <w:rPr>
                <w:rFonts w:ascii="Verdana" w:eastAsia="Times New Roman" w:hAnsi="Verdana" w:cs="Times New Roman"/>
                <w:color w:val="FFFFFF"/>
                <w:sz w:val="20"/>
                <w:szCs w:val="20"/>
                <w:lang w:eastAsia="es-CO"/>
              </w:rPr>
              <w:t> </w:t>
            </w:r>
          </w:p>
        </w:tc>
        <w:tc>
          <w:tcPr>
            <w:tcW w:w="420" w:type="pct"/>
            <w:tcBorders>
              <w:top w:val="nil"/>
              <w:left w:val="nil"/>
              <w:bottom w:val="single" w:sz="4" w:space="0" w:color="auto"/>
              <w:right w:val="single" w:sz="4" w:space="0" w:color="auto"/>
            </w:tcBorders>
            <w:shd w:val="clear" w:color="000000" w:fill="C5D9F1"/>
            <w:noWrap/>
            <w:vAlign w:val="bottom"/>
            <w:hideMark/>
          </w:tcPr>
          <w:p w:rsidR="002A4ED0" w:rsidRPr="002A4ED0" w:rsidRDefault="002A4ED0" w:rsidP="002A4ED0">
            <w:pPr>
              <w:spacing w:after="0" w:line="240" w:lineRule="auto"/>
              <w:jc w:val="center"/>
              <w:rPr>
                <w:rFonts w:ascii="Verdana" w:eastAsia="Times New Roman" w:hAnsi="Verdana" w:cs="Times New Roman"/>
                <w:color w:val="FFFFFF"/>
                <w:sz w:val="20"/>
                <w:szCs w:val="20"/>
                <w:lang w:eastAsia="es-CO"/>
              </w:rPr>
            </w:pPr>
            <w:r w:rsidRPr="002A4ED0">
              <w:rPr>
                <w:rFonts w:ascii="Verdana" w:eastAsia="Times New Roman" w:hAnsi="Verdana" w:cs="Times New Roman"/>
                <w:color w:val="FFFFFF"/>
                <w:sz w:val="20"/>
                <w:szCs w:val="20"/>
                <w:lang w:eastAsia="es-CO"/>
              </w:rPr>
              <w:t> </w:t>
            </w:r>
          </w:p>
        </w:tc>
        <w:tc>
          <w:tcPr>
            <w:tcW w:w="702" w:type="pct"/>
            <w:tcBorders>
              <w:top w:val="nil"/>
              <w:left w:val="nil"/>
              <w:bottom w:val="single" w:sz="4" w:space="0" w:color="auto"/>
              <w:right w:val="single" w:sz="4" w:space="0" w:color="auto"/>
            </w:tcBorders>
            <w:shd w:val="clear" w:color="000000" w:fill="C5D9F1"/>
            <w:noWrap/>
            <w:vAlign w:val="bottom"/>
            <w:hideMark/>
          </w:tcPr>
          <w:p w:rsidR="002A4ED0" w:rsidRPr="002A4ED0" w:rsidRDefault="002A4ED0" w:rsidP="002A4ED0">
            <w:pPr>
              <w:spacing w:after="0" w:line="240" w:lineRule="auto"/>
              <w:jc w:val="center"/>
              <w:rPr>
                <w:rFonts w:ascii="Verdana" w:eastAsia="Times New Roman" w:hAnsi="Verdana" w:cs="Times New Roman"/>
                <w:color w:val="FFFFFF"/>
                <w:sz w:val="20"/>
                <w:szCs w:val="20"/>
                <w:lang w:eastAsia="es-CO"/>
              </w:rPr>
            </w:pPr>
            <w:r w:rsidRPr="002A4ED0">
              <w:rPr>
                <w:rFonts w:ascii="Verdana" w:eastAsia="Times New Roman" w:hAnsi="Verdana" w:cs="Times New Roman"/>
                <w:color w:val="FFFFFF"/>
                <w:sz w:val="20"/>
                <w:szCs w:val="20"/>
                <w:lang w:eastAsia="es-CO"/>
              </w:rPr>
              <w:t> </w:t>
            </w:r>
          </w:p>
        </w:tc>
        <w:tc>
          <w:tcPr>
            <w:tcW w:w="771" w:type="pct"/>
            <w:tcBorders>
              <w:top w:val="nil"/>
              <w:left w:val="nil"/>
              <w:bottom w:val="single" w:sz="4" w:space="0" w:color="auto"/>
              <w:right w:val="single" w:sz="4" w:space="0" w:color="auto"/>
            </w:tcBorders>
            <w:shd w:val="clear" w:color="000000" w:fill="C5D9F1"/>
            <w:noWrap/>
            <w:vAlign w:val="bottom"/>
            <w:hideMark/>
          </w:tcPr>
          <w:p w:rsidR="002A4ED0" w:rsidRPr="002A4ED0" w:rsidRDefault="002A4ED0" w:rsidP="002A4ED0">
            <w:pPr>
              <w:spacing w:after="0" w:line="240" w:lineRule="auto"/>
              <w:jc w:val="center"/>
              <w:rPr>
                <w:rFonts w:ascii="Verdana" w:eastAsia="Times New Roman" w:hAnsi="Verdana" w:cs="Times New Roman"/>
                <w:color w:val="FFFFFF"/>
                <w:sz w:val="20"/>
                <w:szCs w:val="20"/>
                <w:lang w:eastAsia="es-CO"/>
              </w:rPr>
            </w:pPr>
            <w:r w:rsidRPr="002A4ED0">
              <w:rPr>
                <w:rFonts w:ascii="Verdana" w:eastAsia="Times New Roman" w:hAnsi="Verdana" w:cs="Times New Roman"/>
                <w:color w:val="FFFFFF"/>
                <w:sz w:val="20"/>
                <w:szCs w:val="20"/>
                <w:lang w:eastAsia="es-CO"/>
              </w:rPr>
              <w:t> </w:t>
            </w:r>
          </w:p>
        </w:tc>
        <w:tc>
          <w:tcPr>
            <w:tcW w:w="630" w:type="pct"/>
            <w:tcBorders>
              <w:top w:val="nil"/>
              <w:left w:val="single" w:sz="4" w:space="0" w:color="auto"/>
              <w:bottom w:val="single" w:sz="4" w:space="0" w:color="auto"/>
              <w:right w:val="single" w:sz="4" w:space="0" w:color="auto"/>
            </w:tcBorders>
            <w:shd w:val="clear" w:color="000000" w:fill="C5D9F1"/>
            <w:noWrap/>
            <w:vAlign w:val="bottom"/>
            <w:hideMark/>
          </w:tcPr>
          <w:p w:rsidR="002A4ED0" w:rsidRPr="002A4ED0" w:rsidRDefault="002A4ED0" w:rsidP="002A4ED0">
            <w:pPr>
              <w:spacing w:after="0" w:line="240" w:lineRule="auto"/>
              <w:jc w:val="center"/>
              <w:rPr>
                <w:rFonts w:ascii="Verdana" w:eastAsia="Times New Roman" w:hAnsi="Verdana" w:cs="Times New Roman"/>
                <w:color w:val="FFFFFF"/>
                <w:sz w:val="20"/>
                <w:szCs w:val="20"/>
                <w:lang w:eastAsia="es-CO"/>
              </w:rPr>
            </w:pPr>
            <w:r w:rsidRPr="002A4ED0">
              <w:rPr>
                <w:rFonts w:ascii="Verdana" w:eastAsia="Times New Roman" w:hAnsi="Verdana" w:cs="Times New Roman"/>
                <w:color w:val="FFFFFF"/>
                <w:sz w:val="20"/>
                <w:szCs w:val="20"/>
                <w:lang w:eastAsia="es-CO"/>
              </w:rPr>
              <w:t> </w:t>
            </w:r>
          </w:p>
        </w:tc>
        <w:tc>
          <w:tcPr>
            <w:tcW w:w="620" w:type="pct"/>
            <w:tcBorders>
              <w:top w:val="nil"/>
              <w:left w:val="nil"/>
              <w:bottom w:val="single" w:sz="4" w:space="0" w:color="auto"/>
              <w:right w:val="single" w:sz="4" w:space="0" w:color="auto"/>
            </w:tcBorders>
            <w:shd w:val="clear" w:color="000000" w:fill="C5D9F1"/>
            <w:noWrap/>
            <w:vAlign w:val="bottom"/>
            <w:hideMark/>
          </w:tcPr>
          <w:p w:rsidR="002A4ED0" w:rsidRPr="002A4ED0" w:rsidRDefault="002A4ED0" w:rsidP="002A4ED0">
            <w:pPr>
              <w:spacing w:after="0" w:line="240" w:lineRule="auto"/>
              <w:jc w:val="center"/>
              <w:rPr>
                <w:rFonts w:ascii="Verdana" w:eastAsia="Times New Roman" w:hAnsi="Verdana" w:cs="Times New Roman"/>
                <w:color w:val="FFFFFF"/>
                <w:sz w:val="20"/>
                <w:szCs w:val="20"/>
                <w:lang w:eastAsia="es-CO"/>
              </w:rPr>
            </w:pPr>
            <w:r w:rsidRPr="002A4ED0">
              <w:rPr>
                <w:rFonts w:ascii="Verdana" w:eastAsia="Times New Roman" w:hAnsi="Verdana" w:cs="Times New Roman"/>
                <w:color w:val="FFFFFF"/>
                <w:sz w:val="20"/>
                <w:szCs w:val="20"/>
                <w:lang w:eastAsia="es-CO"/>
              </w:rPr>
              <w:t> </w:t>
            </w:r>
          </w:p>
        </w:tc>
      </w:tr>
      <w:tr w:rsidR="002A4ED0" w:rsidRPr="002A4ED0" w:rsidTr="002A4ED0">
        <w:trPr>
          <w:trHeight w:val="300"/>
        </w:trPr>
        <w:tc>
          <w:tcPr>
            <w:tcW w:w="1367" w:type="pct"/>
            <w:tcBorders>
              <w:top w:val="single" w:sz="4" w:space="0" w:color="auto"/>
              <w:left w:val="single" w:sz="4" w:space="0" w:color="auto"/>
              <w:bottom w:val="single" w:sz="4" w:space="0" w:color="auto"/>
              <w:right w:val="single" w:sz="4" w:space="0" w:color="000000"/>
            </w:tcBorders>
            <w:shd w:val="clear" w:color="000000" w:fill="DBE5F1"/>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Concurso de Méritos</w:t>
            </w:r>
          </w:p>
        </w:tc>
        <w:tc>
          <w:tcPr>
            <w:tcW w:w="490" w:type="pct"/>
            <w:tcBorders>
              <w:top w:val="nil"/>
              <w:left w:val="nil"/>
              <w:bottom w:val="single" w:sz="4" w:space="0" w:color="auto"/>
              <w:right w:val="single" w:sz="4" w:space="0" w:color="auto"/>
            </w:tcBorders>
            <w:shd w:val="clear" w:color="000000" w:fill="DBE5F1"/>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3</w:t>
            </w:r>
          </w:p>
        </w:tc>
        <w:tc>
          <w:tcPr>
            <w:tcW w:w="420" w:type="pct"/>
            <w:tcBorders>
              <w:top w:val="nil"/>
              <w:left w:val="nil"/>
              <w:bottom w:val="single" w:sz="4" w:space="0" w:color="auto"/>
              <w:right w:val="single" w:sz="4" w:space="0" w:color="auto"/>
            </w:tcBorders>
            <w:shd w:val="clear" w:color="000000" w:fill="DBE5F1"/>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 </w:t>
            </w:r>
          </w:p>
        </w:tc>
        <w:tc>
          <w:tcPr>
            <w:tcW w:w="702" w:type="pct"/>
            <w:tcBorders>
              <w:top w:val="nil"/>
              <w:left w:val="nil"/>
              <w:bottom w:val="single" w:sz="4" w:space="0" w:color="auto"/>
              <w:right w:val="single" w:sz="4" w:space="0" w:color="auto"/>
            </w:tcBorders>
            <w:shd w:val="clear" w:color="000000" w:fill="DBE5F1"/>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 </w:t>
            </w:r>
          </w:p>
        </w:tc>
        <w:tc>
          <w:tcPr>
            <w:tcW w:w="771" w:type="pct"/>
            <w:tcBorders>
              <w:top w:val="nil"/>
              <w:left w:val="nil"/>
              <w:bottom w:val="single" w:sz="4" w:space="0" w:color="auto"/>
              <w:right w:val="single" w:sz="4" w:space="0" w:color="auto"/>
            </w:tcBorders>
            <w:shd w:val="clear" w:color="000000" w:fill="DBE5F1"/>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 </w:t>
            </w:r>
          </w:p>
        </w:tc>
        <w:tc>
          <w:tcPr>
            <w:tcW w:w="630" w:type="pct"/>
            <w:tcBorders>
              <w:top w:val="nil"/>
              <w:left w:val="single" w:sz="4" w:space="0" w:color="auto"/>
              <w:bottom w:val="single" w:sz="4" w:space="0" w:color="auto"/>
              <w:right w:val="single" w:sz="4" w:space="0" w:color="auto"/>
            </w:tcBorders>
            <w:shd w:val="clear" w:color="000000" w:fill="DBE5F1"/>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3</w:t>
            </w:r>
          </w:p>
        </w:tc>
        <w:tc>
          <w:tcPr>
            <w:tcW w:w="620" w:type="pct"/>
            <w:tcBorders>
              <w:top w:val="nil"/>
              <w:left w:val="nil"/>
              <w:bottom w:val="single" w:sz="4" w:space="0" w:color="auto"/>
              <w:right w:val="single" w:sz="4" w:space="0" w:color="auto"/>
            </w:tcBorders>
            <w:shd w:val="clear" w:color="000000" w:fill="DBE5F1"/>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 </w:t>
            </w:r>
          </w:p>
        </w:tc>
      </w:tr>
      <w:tr w:rsidR="002A4ED0" w:rsidRPr="002A4ED0" w:rsidTr="002A4ED0">
        <w:trPr>
          <w:trHeight w:val="300"/>
        </w:trPr>
        <w:tc>
          <w:tcPr>
            <w:tcW w:w="1367" w:type="pct"/>
            <w:tcBorders>
              <w:top w:val="single" w:sz="4" w:space="0" w:color="auto"/>
              <w:left w:val="single" w:sz="4" w:space="0" w:color="auto"/>
              <w:bottom w:val="single" w:sz="4" w:space="0" w:color="auto"/>
              <w:right w:val="single" w:sz="4" w:space="0" w:color="000000"/>
            </w:tcBorders>
            <w:shd w:val="clear" w:color="000000" w:fill="B8CCE4"/>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Licitación Pública</w:t>
            </w:r>
          </w:p>
        </w:tc>
        <w:tc>
          <w:tcPr>
            <w:tcW w:w="490" w:type="pct"/>
            <w:tcBorders>
              <w:top w:val="nil"/>
              <w:left w:val="nil"/>
              <w:bottom w:val="single" w:sz="4" w:space="0" w:color="auto"/>
              <w:right w:val="single" w:sz="4" w:space="0" w:color="auto"/>
            </w:tcBorders>
            <w:shd w:val="clear" w:color="000000" w:fill="B8CCE4"/>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9</w:t>
            </w:r>
          </w:p>
        </w:tc>
        <w:tc>
          <w:tcPr>
            <w:tcW w:w="420" w:type="pct"/>
            <w:tcBorders>
              <w:top w:val="nil"/>
              <w:left w:val="nil"/>
              <w:bottom w:val="single" w:sz="4" w:space="0" w:color="auto"/>
              <w:right w:val="single" w:sz="4" w:space="0" w:color="auto"/>
            </w:tcBorders>
            <w:shd w:val="clear" w:color="000000" w:fill="B8CCE4"/>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 </w:t>
            </w:r>
          </w:p>
        </w:tc>
        <w:tc>
          <w:tcPr>
            <w:tcW w:w="702" w:type="pct"/>
            <w:tcBorders>
              <w:top w:val="nil"/>
              <w:left w:val="nil"/>
              <w:bottom w:val="single" w:sz="4" w:space="0" w:color="auto"/>
              <w:right w:val="single" w:sz="4" w:space="0" w:color="auto"/>
            </w:tcBorders>
            <w:shd w:val="clear" w:color="000000" w:fill="B8CCE4"/>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1</w:t>
            </w:r>
          </w:p>
        </w:tc>
        <w:tc>
          <w:tcPr>
            <w:tcW w:w="771" w:type="pct"/>
            <w:tcBorders>
              <w:top w:val="nil"/>
              <w:left w:val="nil"/>
              <w:bottom w:val="single" w:sz="4" w:space="0" w:color="auto"/>
              <w:right w:val="single" w:sz="4" w:space="0" w:color="auto"/>
            </w:tcBorders>
            <w:shd w:val="clear" w:color="000000" w:fill="B8CCE4"/>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 </w:t>
            </w:r>
          </w:p>
        </w:tc>
        <w:tc>
          <w:tcPr>
            <w:tcW w:w="630" w:type="pct"/>
            <w:tcBorders>
              <w:top w:val="nil"/>
              <w:left w:val="single" w:sz="4" w:space="0" w:color="auto"/>
              <w:bottom w:val="single" w:sz="4" w:space="0" w:color="auto"/>
              <w:right w:val="single" w:sz="4" w:space="0" w:color="auto"/>
            </w:tcBorders>
            <w:shd w:val="clear" w:color="000000" w:fill="B8CCE4"/>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10</w:t>
            </w:r>
          </w:p>
        </w:tc>
        <w:tc>
          <w:tcPr>
            <w:tcW w:w="620" w:type="pct"/>
            <w:tcBorders>
              <w:top w:val="nil"/>
              <w:left w:val="nil"/>
              <w:bottom w:val="single" w:sz="4" w:space="0" w:color="auto"/>
              <w:right w:val="single" w:sz="4" w:space="0" w:color="auto"/>
            </w:tcBorders>
            <w:shd w:val="clear" w:color="000000" w:fill="B8CCE4"/>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 </w:t>
            </w:r>
          </w:p>
        </w:tc>
      </w:tr>
      <w:tr w:rsidR="002A4ED0" w:rsidRPr="002A4ED0" w:rsidTr="002A4ED0">
        <w:trPr>
          <w:trHeight w:val="300"/>
        </w:trPr>
        <w:tc>
          <w:tcPr>
            <w:tcW w:w="1367" w:type="pct"/>
            <w:tcBorders>
              <w:top w:val="single" w:sz="4" w:space="0" w:color="auto"/>
              <w:left w:val="single" w:sz="4" w:space="0" w:color="auto"/>
              <w:bottom w:val="single" w:sz="4" w:space="0" w:color="auto"/>
              <w:right w:val="single" w:sz="4" w:space="0" w:color="000000"/>
            </w:tcBorders>
            <w:shd w:val="clear" w:color="000000" w:fill="DBE5F1"/>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 xml:space="preserve">Mínima Cuantía </w:t>
            </w:r>
          </w:p>
        </w:tc>
        <w:tc>
          <w:tcPr>
            <w:tcW w:w="490" w:type="pct"/>
            <w:tcBorders>
              <w:top w:val="nil"/>
              <w:left w:val="nil"/>
              <w:bottom w:val="single" w:sz="4" w:space="0" w:color="auto"/>
              <w:right w:val="single" w:sz="4" w:space="0" w:color="auto"/>
            </w:tcBorders>
            <w:shd w:val="clear" w:color="000000" w:fill="DBE5F1"/>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31</w:t>
            </w:r>
          </w:p>
        </w:tc>
        <w:tc>
          <w:tcPr>
            <w:tcW w:w="420" w:type="pct"/>
            <w:tcBorders>
              <w:top w:val="nil"/>
              <w:left w:val="nil"/>
              <w:bottom w:val="single" w:sz="4" w:space="0" w:color="auto"/>
              <w:right w:val="single" w:sz="4" w:space="0" w:color="auto"/>
            </w:tcBorders>
            <w:shd w:val="clear" w:color="000000" w:fill="DBE5F1"/>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 </w:t>
            </w:r>
          </w:p>
        </w:tc>
        <w:tc>
          <w:tcPr>
            <w:tcW w:w="702" w:type="pct"/>
            <w:tcBorders>
              <w:top w:val="nil"/>
              <w:left w:val="nil"/>
              <w:bottom w:val="single" w:sz="4" w:space="0" w:color="auto"/>
              <w:right w:val="single" w:sz="4" w:space="0" w:color="auto"/>
            </w:tcBorders>
            <w:shd w:val="clear" w:color="000000" w:fill="DBE5F1"/>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14</w:t>
            </w:r>
          </w:p>
        </w:tc>
        <w:tc>
          <w:tcPr>
            <w:tcW w:w="771" w:type="pct"/>
            <w:tcBorders>
              <w:top w:val="nil"/>
              <w:left w:val="nil"/>
              <w:bottom w:val="single" w:sz="4" w:space="0" w:color="auto"/>
              <w:right w:val="single" w:sz="4" w:space="0" w:color="auto"/>
            </w:tcBorders>
            <w:shd w:val="clear" w:color="000000" w:fill="DBE5F1"/>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 </w:t>
            </w:r>
          </w:p>
        </w:tc>
        <w:tc>
          <w:tcPr>
            <w:tcW w:w="630" w:type="pct"/>
            <w:tcBorders>
              <w:top w:val="nil"/>
              <w:left w:val="single" w:sz="4" w:space="0" w:color="auto"/>
              <w:bottom w:val="single" w:sz="4" w:space="0" w:color="auto"/>
              <w:right w:val="single" w:sz="4" w:space="0" w:color="auto"/>
            </w:tcBorders>
            <w:shd w:val="clear" w:color="000000" w:fill="DBE5F1"/>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45</w:t>
            </w:r>
          </w:p>
        </w:tc>
        <w:tc>
          <w:tcPr>
            <w:tcW w:w="620" w:type="pct"/>
            <w:tcBorders>
              <w:top w:val="nil"/>
              <w:left w:val="nil"/>
              <w:bottom w:val="single" w:sz="4" w:space="0" w:color="auto"/>
              <w:right w:val="single" w:sz="4" w:space="0" w:color="auto"/>
            </w:tcBorders>
            <w:shd w:val="clear" w:color="000000" w:fill="DBE5F1"/>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 </w:t>
            </w:r>
          </w:p>
        </w:tc>
      </w:tr>
      <w:tr w:rsidR="002A4ED0" w:rsidRPr="002A4ED0" w:rsidTr="002A4ED0">
        <w:trPr>
          <w:trHeight w:val="300"/>
        </w:trPr>
        <w:tc>
          <w:tcPr>
            <w:tcW w:w="1367" w:type="pct"/>
            <w:tcBorders>
              <w:top w:val="single" w:sz="4" w:space="0" w:color="auto"/>
              <w:left w:val="single" w:sz="4" w:space="0" w:color="auto"/>
              <w:bottom w:val="single" w:sz="4" w:space="0" w:color="auto"/>
              <w:right w:val="single" w:sz="4" w:space="0" w:color="000000"/>
            </w:tcBorders>
            <w:shd w:val="clear" w:color="000000" w:fill="B8CCE4"/>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Selección Abreviada de Menor Cuantía</w:t>
            </w:r>
          </w:p>
        </w:tc>
        <w:tc>
          <w:tcPr>
            <w:tcW w:w="490" w:type="pct"/>
            <w:tcBorders>
              <w:top w:val="nil"/>
              <w:left w:val="nil"/>
              <w:bottom w:val="single" w:sz="4" w:space="0" w:color="auto"/>
              <w:right w:val="single" w:sz="4" w:space="0" w:color="auto"/>
            </w:tcBorders>
            <w:shd w:val="clear" w:color="000000" w:fill="B8CCE4"/>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16</w:t>
            </w:r>
          </w:p>
        </w:tc>
        <w:tc>
          <w:tcPr>
            <w:tcW w:w="420" w:type="pct"/>
            <w:tcBorders>
              <w:top w:val="nil"/>
              <w:left w:val="nil"/>
              <w:bottom w:val="single" w:sz="4" w:space="0" w:color="auto"/>
              <w:right w:val="single" w:sz="4" w:space="0" w:color="auto"/>
            </w:tcBorders>
            <w:shd w:val="clear" w:color="000000" w:fill="B8CCE4"/>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 </w:t>
            </w:r>
          </w:p>
        </w:tc>
        <w:tc>
          <w:tcPr>
            <w:tcW w:w="702" w:type="pct"/>
            <w:tcBorders>
              <w:top w:val="nil"/>
              <w:left w:val="nil"/>
              <w:bottom w:val="single" w:sz="4" w:space="0" w:color="auto"/>
              <w:right w:val="single" w:sz="4" w:space="0" w:color="auto"/>
            </w:tcBorders>
            <w:shd w:val="clear" w:color="000000" w:fill="B8CCE4"/>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6</w:t>
            </w:r>
          </w:p>
        </w:tc>
        <w:tc>
          <w:tcPr>
            <w:tcW w:w="771" w:type="pct"/>
            <w:tcBorders>
              <w:top w:val="nil"/>
              <w:left w:val="nil"/>
              <w:bottom w:val="single" w:sz="4" w:space="0" w:color="auto"/>
              <w:right w:val="single" w:sz="4" w:space="0" w:color="auto"/>
            </w:tcBorders>
            <w:shd w:val="clear" w:color="000000" w:fill="B8CCE4"/>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 </w:t>
            </w:r>
          </w:p>
        </w:tc>
        <w:tc>
          <w:tcPr>
            <w:tcW w:w="630" w:type="pct"/>
            <w:tcBorders>
              <w:top w:val="nil"/>
              <w:left w:val="single" w:sz="4" w:space="0" w:color="auto"/>
              <w:bottom w:val="single" w:sz="4" w:space="0" w:color="auto"/>
              <w:right w:val="single" w:sz="4" w:space="0" w:color="auto"/>
            </w:tcBorders>
            <w:shd w:val="clear" w:color="000000" w:fill="B8CCE4"/>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22</w:t>
            </w:r>
          </w:p>
        </w:tc>
        <w:tc>
          <w:tcPr>
            <w:tcW w:w="620" w:type="pct"/>
            <w:tcBorders>
              <w:top w:val="nil"/>
              <w:left w:val="nil"/>
              <w:bottom w:val="single" w:sz="4" w:space="0" w:color="auto"/>
              <w:right w:val="single" w:sz="4" w:space="0" w:color="auto"/>
            </w:tcBorders>
            <w:shd w:val="clear" w:color="000000" w:fill="B8CCE4"/>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 </w:t>
            </w:r>
          </w:p>
        </w:tc>
      </w:tr>
      <w:tr w:rsidR="002A4ED0" w:rsidRPr="002A4ED0" w:rsidTr="002A4ED0">
        <w:trPr>
          <w:trHeight w:val="300"/>
        </w:trPr>
        <w:tc>
          <w:tcPr>
            <w:tcW w:w="1367" w:type="pct"/>
            <w:tcBorders>
              <w:top w:val="single" w:sz="4" w:space="0" w:color="auto"/>
              <w:left w:val="single" w:sz="4" w:space="0" w:color="auto"/>
              <w:bottom w:val="single" w:sz="4" w:space="0" w:color="auto"/>
              <w:right w:val="single" w:sz="4" w:space="0" w:color="000000"/>
            </w:tcBorders>
            <w:shd w:val="clear" w:color="000000" w:fill="DBE5F1"/>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Selección de Oferentes</w:t>
            </w:r>
          </w:p>
        </w:tc>
        <w:tc>
          <w:tcPr>
            <w:tcW w:w="490" w:type="pct"/>
            <w:tcBorders>
              <w:top w:val="nil"/>
              <w:left w:val="nil"/>
              <w:bottom w:val="single" w:sz="4" w:space="0" w:color="auto"/>
              <w:right w:val="single" w:sz="4" w:space="0" w:color="auto"/>
            </w:tcBorders>
            <w:shd w:val="clear" w:color="000000" w:fill="DBE5F1"/>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 </w:t>
            </w:r>
          </w:p>
        </w:tc>
        <w:tc>
          <w:tcPr>
            <w:tcW w:w="420" w:type="pct"/>
            <w:tcBorders>
              <w:top w:val="nil"/>
              <w:left w:val="nil"/>
              <w:bottom w:val="single" w:sz="4" w:space="0" w:color="auto"/>
              <w:right w:val="single" w:sz="4" w:space="0" w:color="auto"/>
            </w:tcBorders>
            <w:shd w:val="clear" w:color="000000" w:fill="DBE5F1"/>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1</w:t>
            </w:r>
          </w:p>
        </w:tc>
        <w:tc>
          <w:tcPr>
            <w:tcW w:w="702" w:type="pct"/>
            <w:tcBorders>
              <w:top w:val="nil"/>
              <w:left w:val="nil"/>
              <w:bottom w:val="single" w:sz="4" w:space="0" w:color="auto"/>
              <w:right w:val="single" w:sz="4" w:space="0" w:color="auto"/>
            </w:tcBorders>
            <w:shd w:val="clear" w:color="000000" w:fill="DBE5F1"/>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 </w:t>
            </w:r>
          </w:p>
        </w:tc>
        <w:tc>
          <w:tcPr>
            <w:tcW w:w="771" w:type="pct"/>
            <w:tcBorders>
              <w:top w:val="nil"/>
              <w:left w:val="nil"/>
              <w:bottom w:val="single" w:sz="4" w:space="0" w:color="auto"/>
              <w:right w:val="single" w:sz="4" w:space="0" w:color="auto"/>
            </w:tcBorders>
            <w:shd w:val="clear" w:color="000000" w:fill="DBE5F1"/>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1</w:t>
            </w:r>
          </w:p>
        </w:tc>
        <w:tc>
          <w:tcPr>
            <w:tcW w:w="630" w:type="pct"/>
            <w:tcBorders>
              <w:top w:val="nil"/>
              <w:left w:val="single" w:sz="4" w:space="0" w:color="auto"/>
              <w:bottom w:val="single" w:sz="4" w:space="0" w:color="auto"/>
              <w:right w:val="single" w:sz="4" w:space="0" w:color="auto"/>
            </w:tcBorders>
            <w:shd w:val="clear" w:color="000000" w:fill="DBE5F1"/>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 </w:t>
            </w:r>
          </w:p>
        </w:tc>
        <w:tc>
          <w:tcPr>
            <w:tcW w:w="620" w:type="pct"/>
            <w:tcBorders>
              <w:top w:val="nil"/>
              <w:left w:val="nil"/>
              <w:bottom w:val="single" w:sz="4" w:space="0" w:color="auto"/>
              <w:right w:val="single" w:sz="4" w:space="0" w:color="auto"/>
            </w:tcBorders>
            <w:shd w:val="clear" w:color="000000" w:fill="DBE5F1"/>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2</w:t>
            </w:r>
          </w:p>
        </w:tc>
      </w:tr>
      <w:tr w:rsidR="002A4ED0" w:rsidRPr="002A4ED0" w:rsidTr="002A4ED0">
        <w:trPr>
          <w:trHeight w:val="300"/>
        </w:trPr>
        <w:tc>
          <w:tcPr>
            <w:tcW w:w="1367" w:type="pct"/>
            <w:tcBorders>
              <w:top w:val="single" w:sz="4" w:space="0" w:color="auto"/>
              <w:left w:val="nil"/>
              <w:bottom w:val="single" w:sz="4" w:space="0" w:color="auto"/>
              <w:right w:val="single" w:sz="4" w:space="0" w:color="000000"/>
            </w:tcBorders>
            <w:shd w:val="clear" w:color="000000" w:fill="B8CCE4"/>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Selección por Puntaje</w:t>
            </w:r>
          </w:p>
        </w:tc>
        <w:tc>
          <w:tcPr>
            <w:tcW w:w="490" w:type="pct"/>
            <w:tcBorders>
              <w:top w:val="nil"/>
              <w:left w:val="nil"/>
              <w:bottom w:val="single" w:sz="4" w:space="0" w:color="auto"/>
              <w:right w:val="single" w:sz="4" w:space="0" w:color="auto"/>
            </w:tcBorders>
            <w:shd w:val="clear" w:color="000000" w:fill="B8CCE4"/>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 </w:t>
            </w:r>
          </w:p>
        </w:tc>
        <w:tc>
          <w:tcPr>
            <w:tcW w:w="420" w:type="pct"/>
            <w:tcBorders>
              <w:top w:val="nil"/>
              <w:left w:val="nil"/>
              <w:bottom w:val="single" w:sz="4" w:space="0" w:color="auto"/>
              <w:right w:val="single" w:sz="4" w:space="0" w:color="auto"/>
            </w:tcBorders>
            <w:shd w:val="clear" w:color="000000" w:fill="B8CCE4"/>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6</w:t>
            </w:r>
          </w:p>
        </w:tc>
        <w:tc>
          <w:tcPr>
            <w:tcW w:w="702" w:type="pct"/>
            <w:tcBorders>
              <w:top w:val="nil"/>
              <w:left w:val="nil"/>
              <w:bottom w:val="single" w:sz="4" w:space="0" w:color="auto"/>
              <w:right w:val="single" w:sz="4" w:space="0" w:color="auto"/>
            </w:tcBorders>
            <w:shd w:val="clear" w:color="000000" w:fill="B8CCE4"/>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 </w:t>
            </w:r>
          </w:p>
        </w:tc>
        <w:tc>
          <w:tcPr>
            <w:tcW w:w="771" w:type="pct"/>
            <w:tcBorders>
              <w:top w:val="nil"/>
              <w:left w:val="nil"/>
              <w:bottom w:val="single" w:sz="4" w:space="0" w:color="auto"/>
              <w:right w:val="single" w:sz="4" w:space="0" w:color="auto"/>
            </w:tcBorders>
            <w:shd w:val="clear" w:color="000000" w:fill="B8CCE4"/>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2</w:t>
            </w:r>
          </w:p>
        </w:tc>
        <w:tc>
          <w:tcPr>
            <w:tcW w:w="630" w:type="pct"/>
            <w:tcBorders>
              <w:top w:val="nil"/>
              <w:left w:val="single" w:sz="4" w:space="0" w:color="auto"/>
              <w:bottom w:val="single" w:sz="4" w:space="0" w:color="auto"/>
              <w:right w:val="single" w:sz="4" w:space="0" w:color="auto"/>
            </w:tcBorders>
            <w:shd w:val="clear" w:color="000000" w:fill="B8CCE4"/>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 </w:t>
            </w:r>
          </w:p>
        </w:tc>
        <w:tc>
          <w:tcPr>
            <w:tcW w:w="620" w:type="pct"/>
            <w:tcBorders>
              <w:top w:val="nil"/>
              <w:left w:val="nil"/>
              <w:bottom w:val="single" w:sz="4" w:space="0" w:color="auto"/>
              <w:right w:val="single" w:sz="4" w:space="0" w:color="auto"/>
            </w:tcBorders>
            <w:shd w:val="clear" w:color="000000" w:fill="B8CCE4"/>
            <w:noWrap/>
            <w:vAlign w:val="bottom"/>
            <w:hideMark/>
          </w:tcPr>
          <w:p w:rsidR="002A4ED0" w:rsidRPr="002A4ED0" w:rsidRDefault="002A4ED0" w:rsidP="002A4ED0">
            <w:pPr>
              <w:spacing w:after="0" w:line="240" w:lineRule="auto"/>
              <w:jc w:val="center"/>
              <w:rPr>
                <w:rFonts w:ascii="Verdana" w:eastAsia="Times New Roman" w:hAnsi="Verdana" w:cs="Times New Roman"/>
                <w:color w:val="000000"/>
                <w:sz w:val="20"/>
                <w:szCs w:val="20"/>
                <w:lang w:eastAsia="es-CO"/>
              </w:rPr>
            </w:pPr>
            <w:r w:rsidRPr="002A4ED0">
              <w:rPr>
                <w:rFonts w:ascii="Verdana" w:eastAsia="Times New Roman" w:hAnsi="Verdana" w:cs="Times New Roman"/>
                <w:color w:val="000000"/>
                <w:sz w:val="20"/>
                <w:szCs w:val="20"/>
                <w:lang w:eastAsia="es-CO"/>
              </w:rPr>
              <w:t>8</w:t>
            </w:r>
          </w:p>
        </w:tc>
      </w:tr>
      <w:tr w:rsidR="002A4ED0" w:rsidRPr="002A4ED0" w:rsidTr="002A4ED0">
        <w:trPr>
          <w:trHeight w:val="300"/>
        </w:trPr>
        <w:tc>
          <w:tcPr>
            <w:tcW w:w="1367" w:type="pct"/>
            <w:vMerge w:val="restart"/>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2A4ED0" w:rsidRPr="002A4ED0" w:rsidRDefault="002A4ED0" w:rsidP="002A4ED0">
            <w:pPr>
              <w:spacing w:after="0" w:line="240" w:lineRule="auto"/>
              <w:jc w:val="center"/>
              <w:rPr>
                <w:rFonts w:ascii="Verdana" w:eastAsia="Times New Roman" w:hAnsi="Verdana" w:cs="Times New Roman"/>
                <w:b/>
                <w:bCs/>
                <w:color w:val="FFFFFF"/>
                <w:sz w:val="20"/>
                <w:szCs w:val="20"/>
                <w:lang w:eastAsia="es-CO"/>
              </w:rPr>
            </w:pPr>
            <w:r w:rsidRPr="002A4ED0">
              <w:rPr>
                <w:rFonts w:ascii="Verdana" w:eastAsia="Times New Roman" w:hAnsi="Verdana" w:cs="Times New Roman"/>
                <w:b/>
                <w:bCs/>
                <w:color w:val="FFFFFF"/>
                <w:sz w:val="20"/>
                <w:szCs w:val="20"/>
                <w:lang w:eastAsia="es-CO"/>
              </w:rPr>
              <w:t>Total</w:t>
            </w:r>
          </w:p>
        </w:tc>
        <w:tc>
          <w:tcPr>
            <w:tcW w:w="490" w:type="pct"/>
            <w:tcBorders>
              <w:top w:val="nil"/>
              <w:left w:val="nil"/>
              <w:bottom w:val="single" w:sz="4" w:space="0" w:color="auto"/>
              <w:right w:val="single" w:sz="4" w:space="0" w:color="auto"/>
            </w:tcBorders>
            <w:shd w:val="clear" w:color="000000" w:fill="4F81BD"/>
            <w:noWrap/>
            <w:vAlign w:val="bottom"/>
            <w:hideMark/>
          </w:tcPr>
          <w:p w:rsidR="002A4ED0" w:rsidRPr="002A4ED0" w:rsidRDefault="002A4ED0" w:rsidP="002A4ED0">
            <w:pPr>
              <w:spacing w:after="0" w:line="240" w:lineRule="auto"/>
              <w:jc w:val="center"/>
              <w:rPr>
                <w:rFonts w:ascii="Verdana" w:eastAsia="Times New Roman" w:hAnsi="Verdana" w:cs="Times New Roman"/>
                <w:color w:val="FFFFFF"/>
                <w:sz w:val="20"/>
                <w:szCs w:val="20"/>
                <w:lang w:eastAsia="es-CO"/>
              </w:rPr>
            </w:pPr>
            <w:r w:rsidRPr="002A4ED0">
              <w:rPr>
                <w:rFonts w:ascii="Verdana" w:eastAsia="Times New Roman" w:hAnsi="Verdana" w:cs="Times New Roman"/>
                <w:color w:val="FFFFFF"/>
                <w:sz w:val="20"/>
                <w:szCs w:val="20"/>
                <w:lang w:eastAsia="es-CO"/>
              </w:rPr>
              <w:t>59</w:t>
            </w:r>
          </w:p>
        </w:tc>
        <w:tc>
          <w:tcPr>
            <w:tcW w:w="420" w:type="pct"/>
            <w:tcBorders>
              <w:top w:val="nil"/>
              <w:left w:val="nil"/>
              <w:bottom w:val="single" w:sz="4" w:space="0" w:color="auto"/>
              <w:right w:val="single" w:sz="4" w:space="0" w:color="auto"/>
            </w:tcBorders>
            <w:shd w:val="clear" w:color="000000" w:fill="4F81BD"/>
            <w:noWrap/>
            <w:vAlign w:val="bottom"/>
            <w:hideMark/>
          </w:tcPr>
          <w:p w:rsidR="002A4ED0" w:rsidRPr="002A4ED0" w:rsidRDefault="002A4ED0" w:rsidP="002A4ED0">
            <w:pPr>
              <w:spacing w:after="0" w:line="240" w:lineRule="auto"/>
              <w:jc w:val="center"/>
              <w:rPr>
                <w:rFonts w:ascii="Verdana" w:eastAsia="Times New Roman" w:hAnsi="Verdana" w:cs="Times New Roman"/>
                <w:color w:val="FFFFFF"/>
                <w:sz w:val="20"/>
                <w:szCs w:val="20"/>
                <w:lang w:eastAsia="es-CO"/>
              </w:rPr>
            </w:pPr>
            <w:r w:rsidRPr="002A4ED0">
              <w:rPr>
                <w:rFonts w:ascii="Verdana" w:eastAsia="Times New Roman" w:hAnsi="Verdana" w:cs="Times New Roman"/>
                <w:color w:val="FFFFFF"/>
                <w:sz w:val="20"/>
                <w:szCs w:val="20"/>
                <w:lang w:eastAsia="es-CO"/>
              </w:rPr>
              <w:t>7</w:t>
            </w:r>
          </w:p>
        </w:tc>
        <w:tc>
          <w:tcPr>
            <w:tcW w:w="702" w:type="pct"/>
            <w:tcBorders>
              <w:top w:val="nil"/>
              <w:left w:val="nil"/>
              <w:bottom w:val="single" w:sz="4" w:space="0" w:color="auto"/>
              <w:right w:val="single" w:sz="4" w:space="0" w:color="auto"/>
            </w:tcBorders>
            <w:shd w:val="clear" w:color="000000" w:fill="4F81BD"/>
            <w:noWrap/>
            <w:vAlign w:val="bottom"/>
            <w:hideMark/>
          </w:tcPr>
          <w:p w:rsidR="002A4ED0" w:rsidRPr="002A4ED0" w:rsidRDefault="002A4ED0" w:rsidP="002A4ED0">
            <w:pPr>
              <w:spacing w:after="0" w:line="240" w:lineRule="auto"/>
              <w:jc w:val="center"/>
              <w:rPr>
                <w:rFonts w:ascii="Verdana" w:eastAsia="Times New Roman" w:hAnsi="Verdana" w:cs="Times New Roman"/>
                <w:color w:val="FFFFFF"/>
                <w:sz w:val="20"/>
                <w:szCs w:val="20"/>
                <w:lang w:eastAsia="es-CO"/>
              </w:rPr>
            </w:pPr>
            <w:r w:rsidRPr="002A4ED0">
              <w:rPr>
                <w:rFonts w:ascii="Verdana" w:eastAsia="Times New Roman" w:hAnsi="Verdana" w:cs="Times New Roman"/>
                <w:color w:val="FFFFFF"/>
                <w:sz w:val="20"/>
                <w:szCs w:val="20"/>
                <w:lang w:eastAsia="es-CO"/>
              </w:rPr>
              <w:t>21</w:t>
            </w:r>
          </w:p>
        </w:tc>
        <w:tc>
          <w:tcPr>
            <w:tcW w:w="771" w:type="pct"/>
            <w:tcBorders>
              <w:top w:val="nil"/>
              <w:left w:val="nil"/>
              <w:bottom w:val="single" w:sz="4" w:space="0" w:color="auto"/>
              <w:right w:val="single" w:sz="4" w:space="0" w:color="auto"/>
            </w:tcBorders>
            <w:shd w:val="clear" w:color="000000" w:fill="4F81BD"/>
            <w:noWrap/>
            <w:vAlign w:val="bottom"/>
            <w:hideMark/>
          </w:tcPr>
          <w:p w:rsidR="002A4ED0" w:rsidRPr="002A4ED0" w:rsidRDefault="002A4ED0" w:rsidP="002A4ED0">
            <w:pPr>
              <w:spacing w:after="0" w:line="240" w:lineRule="auto"/>
              <w:jc w:val="center"/>
              <w:rPr>
                <w:rFonts w:ascii="Verdana" w:eastAsia="Times New Roman" w:hAnsi="Verdana" w:cs="Times New Roman"/>
                <w:color w:val="FFFFFF"/>
                <w:sz w:val="20"/>
                <w:szCs w:val="20"/>
                <w:lang w:eastAsia="es-CO"/>
              </w:rPr>
            </w:pPr>
            <w:r w:rsidRPr="002A4ED0">
              <w:rPr>
                <w:rFonts w:ascii="Verdana" w:eastAsia="Times New Roman" w:hAnsi="Verdana" w:cs="Times New Roman"/>
                <w:color w:val="FFFFFF"/>
                <w:sz w:val="20"/>
                <w:szCs w:val="20"/>
                <w:lang w:eastAsia="es-CO"/>
              </w:rPr>
              <w:t>3</w:t>
            </w:r>
          </w:p>
        </w:tc>
        <w:tc>
          <w:tcPr>
            <w:tcW w:w="630" w:type="pct"/>
            <w:tcBorders>
              <w:top w:val="nil"/>
              <w:left w:val="nil"/>
              <w:bottom w:val="single" w:sz="4" w:space="0" w:color="auto"/>
              <w:right w:val="single" w:sz="4" w:space="0" w:color="auto"/>
            </w:tcBorders>
            <w:shd w:val="clear" w:color="000000" w:fill="4F81BD"/>
            <w:noWrap/>
            <w:vAlign w:val="bottom"/>
            <w:hideMark/>
          </w:tcPr>
          <w:p w:rsidR="002A4ED0" w:rsidRPr="002A4ED0" w:rsidRDefault="002A4ED0" w:rsidP="002A4ED0">
            <w:pPr>
              <w:spacing w:after="0" w:line="240" w:lineRule="auto"/>
              <w:jc w:val="center"/>
              <w:rPr>
                <w:rFonts w:ascii="Verdana" w:eastAsia="Times New Roman" w:hAnsi="Verdana" w:cs="Times New Roman"/>
                <w:color w:val="FFFFFF"/>
                <w:sz w:val="20"/>
                <w:szCs w:val="20"/>
                <w:lang w:eastAsia="es-CO"/>
              </w:rPr>
            </w:pPr>
            <w:r w:rsidRPr="002A4ED0">
              <w:rPr>
                <w:rFonts w:ascii="Verdana" w:eastAsia="Times New Roman" w:hAnsi="Verdana" w:cs="Times New Roman"/>
                <w:color w:val="FFFFFF"/>
                <w:sz w:val="20"/>
                <w:szCs w:val="20"/>
                <w:lang w:eastAsia="es-CO"/>
              </w:rPr>
              <w:t>80</w:t>
            </w:r>
          </w:p>
        </w:tc>
        <w:tc>
          <w:tcPr>
            <w:tcW w:w="620" w:type="pct"/>
            <w:tcBorders>
              <w:top w:val="nil"/>
              <w:left w:val="nil"/>
              <w:bottom w:val="single" w:sz="4" w:space="0" w:color="auto"/>
              <w:right w:val="single" w:sz="4" w:space="0" w:color="auto"/>
            </w:tcBorders>
            <w:shd w:val="clear" w:color="000000" w:fill="4F81BD"/>
            <w:noWrap/>
            <w:vAlign w:val="bottom"/>
            <w:hideMark/>
          </w:tcPr>
          <w:p w:rsidR="002A4ED0" w:rsidRPr="002A4ED0" w:rsidRDefault="002A4ED0" w:rsidP="002A4ED0">
            <w:pPr>
              <w:spacing w:after="0" w:line="240" w:lineRule="auto"/>
              <w:jc w:val="center"/>
              <w:rPr>
                <w:rFonts w:ascii="Verdana" w:eastAsia="Times New Roman" w:hAnsi="Verdana" w:cs="Times New Roman"/>
                <w:color w:val="FFFFFF"/>
                <w:sz w:val="20"/>
                <w:szCs w:val="20"/>
                <w:lang w:eastAsia="es-CO"/>
              </w:rPr>
            </w:pPr>
            <w:r w:rsidRPr="002A4ED0">
              <w:rPr>
                <w:rFonts w:ascii="Verdana" w:eastAsia="Times New Roman" w:hAnsi="Verdana" w:cs="Times New Roman"/>
                <w:color w:val="FFFFFF"/>
                <w:sz w:val="20"/>
                <w:szCs w:val="20"/>
                <w:lang w:eastAsia="es-CO"/>
              </w:rPr>
              <w:t>10</w:t>
            </w:r>
          </w:p>
        </w:tc>
      </w:tr>
      <w:tr w:rsidR="002A4ED0" w:rsidRPr="002A4ED0" w:rsidTr="002A4ED0">
        <w:trPr>
          <w:trHeight w:val="300"/>
        </w:trPr>
        <w:tc>
          <w:tcPr>
            <w:tcW w:w="1367" w:type="pct"/>
            <w:vMerge/>
            <w:tcBorders>
              <w:top w:val="single" w:sz="4" w:space="0" w:color="auto"/>
              <w:left w:val="single" w:sz="4" w:space="0" w:color="auto"/>
              <w:bottom w:val="single" w:sz="4" w:space="0" w:color="auto"/>
              <w:right w:val="single" w:sz="4" w:space="0" w:color="auto"/>
            </w:tcBorders>
            <w:vAlign w:val="center"/>
            <w:hideMark/>
          </w:tcPr>
          <w:p w:rsidR="002A4ED0" w:rsidRPr="002A4ED0" w:rsidRDefault="002A4ED0" w:rsidP="002A4ED0">
            <w:pPr>
              <w:spacing w:after="0" w:line="240" w:lineRule="auto"/>
              <w:rPr>
                <w:rFonts w:ascii="Verdana" w:eastAsia="Times New Roman" w:hAnsi="Verdana" w:cs="Times New Roman"/>
                <w:b/>
                <w:bCs/>
                <w:color w:val="FFFFFF"/>
                <w:sz w:val="20"/>
                <w:szCs w:val="20"/>
                <w:lang w:eastAsia="es-CO"/>
              </w:rPr>
            </w:pPr>
          </w:p>
        </w:tc>
        <w:tc>
          <w:tcPr>
            <w:tcW w:w="2383" w:type="pct"/>
            <w:gridSpan w:val="4"/>
            <w:vMerge w:val="restart"/>
            <w:tcBorders>
              <w:top w:val="single" w:sz="4" w:space="0" w:color="auto"/>
              <w:left w:val="single" w:sz="4" w:space="0" w:color="auto"/>
              <w:bottom w:val="single" w:sz="4" w:space="0" w:color="000000"/>
              <w:right w:val="single" w:sz="4" w:space="0" w:color="000000"/>
            </w:tcBorders>
            <w:shd w:val="clear" w:color="000000" w:fill="4F81BD"/>
            <w:noWrap/>
            <w:vAlign w:val="center"/>
            <w:hideMark/>
          </w:tcPr>
          <w:p w:rsidR="002A4ED0" w:rsidRPr="002A4ED0" w:rsidRDefault="002A4ED0" w:rsidP="002A4ED0">
            <w:pPr>
              <w:spacing w:after="0" w:line="240" w:lineRule="auto"/>
              <w:jc w:val="center"/>
              <w:rPr>
                <w:rFonts w:ascii="Verdana" w:eastAsia="Times New Roman" w:hAnsi="Verdana" w:cs="Times New Roman"/>
                <w:color w:val="FFFFFF"/>
                <w:sz w:val="20"/>
                <w:szCs w:val="20"/>
                <w:lang w:eastAsia="es-CO"/>
              </w:rPr>
            </w:pPr>
            <w:r w:rsidRPr="002A4ED0">
              <w:rPr>
                <w:rFonts w:ascii="Verdana" w:eastAsia="Times New Roman" w:hAnsi="Verdana" w:cs="Times New Roman"/>
                <w:color w:val="FFFFFF"/>
                <w:sz w:val="20"/>
                <w:szCs w:val="20"/>
                <w:lang w:eastAsia="es-CO"/>
              </w:rPr>
              <w:t>90</w:t>
            </w:r>
          </w:p>
        </w:tc>
        <w:tc>
          <w:tcPr>
            <w:tcW w:w="1250" w:type="pct"/>
            <w:gridSpan w:val="2"/>
            <w:vMerge w:val="restart"/>
            <w:tcBorders>
              <w:top w:val="single" w:sz="4" w:space="0" w:color="auto"/>
              <w:left w:val="single" w:sz="4" w:space="0" w:color="auto"/>
              <w:bottom w:val="single" w:sz="4" w:space="0" w:color="000000"/>
              <w:right w:val="single" w:sz="4" w:space="0" w:color="000000"/>
            </w:tcBorders>
            <w:shd w:val="clear" w:color="000000" w:fill="4F81BD"/>
            <w:noWrap/>
            <w:vAlign w:val="center"/>
            <w:hideMark/>
          </w:tcPr>
          <w:p w:rsidR="002A4ED0" w:rsidRPr="002A4ED0" w:rsidRDefault="002A4ED0" w:rsidP="002A4ED0">
            <w:pPr>
              <w:spacing w:after="0" w:line="240" w:lineRule="auto"/>
              <w:jc w:val="center"/>
              <w:rPr>
                <w:rFonts w:ascii="Verdana" w:eastAsia="Times New Roman" w:hAnsi="Verdana" w:cs="Times New Roman"/>
                <w:b/>
                <w:bCs/>
                <w:color w:val="FFFFFF"/>
                <w:sz w:val="20"/>
                <w:szCs w:val="20"/>
                <w:lang w:eastAsia="es-CO"/>
              </w:rPr>
            </w:pPr>
            <w:r w:rsidRPr="002A4ED0">
              <w:rPr>
                <w:rFonts w:ascii="Verdana" w:eastAsia="Times New Roman" w:hAnsi="Verdana" w:cs="Times New Roman"/>
                <w:b/>
                <w:bCs/>
                <w:color w:val="FFFFFF"/>
                <w:sz w:val="20"/>
                <w:szCs w:val="20"/>
                <w:lang w:eastAsia="es-CO"/>
              </w:rPr>
              <w:t>90</w:t>
            </w:r>
          </w:p>
        </w:tc>
      </w:tr>
      <w:tr w:rsidR="002A4ED0" w:rsidRPr="002A4ED0" w:rsidTr="002A4ED0">
        <w:trPr>
          <w:trHeight w:val="300"/>
        </w:trPr>
        <w:tc>
          <w:tcPr>
            <w:tcW w:w="1367" w:type="pct"/>
            <w:vMerge/>
            <w:tcBorders>
              <w:top w:val="single" w:sz="4" w:space="0" w:color="auto"/>
              <w:left w:val="single" w:sz="4" w:space="0" w:color="auto"/>
              <w:bottom w:val="single" w:sz="4" w:space="0" w:color="auto"/>
              <w:right w:val="single" w:sz="4" w:space="0" w:color="auto"/>
            </w:tcBorders>
            <w:vAlign w:val="center"/>
            <w:hideMark/>
          </w:tcPr>
          <w:p w:rsidR="002A4ED0" w:rsidRPr="002A4ED0" w:rsidRDefault="002A4ED0" w:rsidP="002A4ED0">
            <w:pPr>
              <w:spacing w:after="0" w:line="240" w:lineRule="auto"/>
              <w:rPr>
                <w:rFonts w:ascii="Calibri" w:eastAsia="Times New Roman" w:hAnsi="Calibri" w:cs="Times New Roman"/>
                <w:b/>
                <w:bCs/>
                <w:color w:val="FFFFFF"/>
                <w:lang w:eastAsia="es-CO"/>
              </w:rPr>
            </w:pPr>
          </w:p>
        </w:tc>
        <w:tc>
          <w:tcPr>
            <w:tcW w:w="2383" w:type="pct"/>
            <w:gridSpan w:val="4"/>
            <w:vMerge/>
            <w:tcBorders>
              <w:top w:val="single" w:sz="4" w:space="0" w:color="auto"/>
              <w:left w:val="single" w:sz="4" w:space="0" w:color="auto"/>
              <w:bottom w:val="single" w:sz="4" w:space="0" w:color="000000"/>
              <w:right w:val="single" w:sz="4" w:space="0" w:color="000000"/>
            </w:tcBorders>
            <w:vAlign w:val="center"/>
            <w:hideMark/>
          </w:tcPr>
          <w:p w:rsidR="002A4ED0" w:rsidRPr="002A4ED0" w:rsidRDefault="002A4ED0" w:rsidP="002A4ED0">
            <w:pPr>
              <w:spacing w:after="0" w:line="240" w:lineRule="auto"/>
              <w:rPr>
                <w:rFonts w:ascii="Calibri" w:eastAsia="Times New Roman" w:hAnsi="Calibri" w:cs="Times New Roman"/>
                <w:color w:val="FFFFFF"/>
                <w:lang w:eastAsia="es-CO"/>
              </w:rPr>
            </w:pPr>
          </w:p>
        </w:tc>
        <w:tc>
          <w:tcPr>
            <w:tcW w:w="1250" w:type="pct"/>
            <w:gridSpan w:val="2"/>
            <w:vMerge/>
            <w:tcBorders>
              <w:top w:val="single" w:sz="4" w:space="0" w:color="auto"/>
              <w:left w:val="single" w:sz="4" w:space="0" w:color="auto"/>
              <w:bottom w:val="single" w:sz="4" w:space="0" w:color="000000"/>
              <w:right w:val="single" w:sz="4" w:space="0" w:color="000000"/>
            </w:tcBorders>
            <w:vAlign w:val="center"/>
            <w:hideMark/>
          </w:tcPr>
          <w:p w:rsidR="002A4ED0" w:rsidRPr="002A4ED0" w:rsidRDefault="002A4ED0" w:rsidP="002A4ED0">
            <w:pPr>
              <w:spacing w:after="0" w:line="240" w:lineRule="auto"/>
              <w:rPr>
                <w:rFonts w:ascii="Calibri" w:eastAsia="Times New Roman" w:hAnsi="Calibri" w:cs="Times New Roman"/>
                <w:b/>
                <w:bCs/>
                <w:color w:val="FFFFFF"/>
                <w:lang w:eastAsia="es-CO"/>
              </w:rPr>
            </w:pPr>
          </w:p>
        </w:tc>
      </w:tr>
    </w:tbl>
    <w:p w:rsidR="002A4ED0" w:rsidRDefault="002A4ED0" w:rsidP="007406CB">
      <w:pPr>
        <w:spacing w:after="0" w:line="240" w:lineRule="auto"/>
        <w:jc w:val="both"/>
        <w:rPr>
          <w:rFonts w:ascii="Verdana" w:hAnsi="Verdana" w:cs="Arial"/>
          <w:sz w:val="24"/>
          <w:szCs w:val="24"/>
        </w:rPr>
      </w:pPr>
    </w:p>
    <w:p w:rsidR="002A4ED0" w:rsidRDefault="002A4ED0" w:rsidP="007406CB">
      <w:pPr>
        <w:spacing w:after="0" w:line="240" w:lineRule="auto"/>
        <w:jc w:val="both"/>
        <w:rPr>
          <w:rFonts w:ascii="Verdana" w:hAnsi="Verdana" w:cs="Arial"/>
          <w:sz w:val="24"/>
          <w:szCs w:val="24"/>
        </w:rPr>
      </w:pPr>
    </w:p>
    <w:p w:rsidR="007406CB" w:rsidRDefault="00F1234C" w:rsidP="007406CB">
      <w:pPr>
        <w:spacing w:after="0" w:line="240" w:lineRule="auto"/>
        <w:jc w:val="both"/>
        <w:rPr>
          <w:rFonts w:ascii="Verdana" w:hAnsi="Verdana"/>
          <w:sz w:val="24"/>
          <w:szCs w:val="24"/>
        </w:rPr>
      </w:pPr>
      <w:r>
        <w:rPr>
          <w:rFonts w:ascii="Verdana" w:hAnsi="Verdana" w:cs="Arial"/>
          <w:sz w:val="24"/>
          <w:szCs w:val="24"/>
        </w:rPr>
        <w:t xml:space="preserve">Para consultar la relación de </w:t>
      </w:r>
      <w:r w:rsidR="007406CB">
        <w:rPr>
          <w:rFonts w:ascii="Verdana" w:hAnsi="Verdana" w:cs="Arial"/>
          <w:sz w:val="24"/>
          <w:szCs w:val="24"/>
        </w:rPr>
        <w:t xml:space="preserve">contratos </w:t>
      </w:r>
      <w:r>
        <w:rPr>
          <w:rFonts w:ascii="Verdana" w:hAnsi="Verdana" w:cs="Arial"/>
          <w:sz w:val="24"/>
          <w:szCs w:val="24"/>
        </w:rPr>
        <w:t>ejecutados y terminados durante la vigencia 2014, vea el anexo 1</w:t>
      </w:r>
      <w:r w:rsidR="00C26407">
        <w:rPr>
          <w:rFonts w:ascii="Verdana" w:hAnsi="Verdana" w:cs="Arial"/>
          <w:sz w:val="24"/>
          <w:szCs w:val="24"/>
        </w:rPr>
        <w:t xml:space="preserve">C </w:t>
      </w:r>
      <w:r w:rsidR="00C26407" w:rsidRPr="00C26407">
        <w:rPr>
          <w:rFonts w:ascii="Verdana" w:hAnsi="Verdana" w:cs="Arial"/>
          <w:sz w:val="24"/>
          <w:szCs w:val="24"/>
        </w:rPr>
        <w:t>DPS CONTRATOS EJECUTADOS Y TERMINADOS 2014</w:t>
      </w:r>
      <w:r>
        <w:rPr>
          <w:rFonts w:ascii="Verdana" w:hAnsi="Verdana" w:cs="Arial"/>
          <w:sz w:val="24"/>
          <w:szCs w:val="24"/>
        </w:rPr>
        <w:t>.</w:t>
      </w:r>
      <w:r w:rsidR="00421025">
        <w:rPr>
          <w:rFonts w:ascii="Verdana" w:hAnsi="Verdana" w:cs="Arial"/>
          <w:sz w:val="24"/>
          <w:szCs w:val="24"/>
        </w:rPr>
        <w:t xml:space="preserve"> </w:t>
      </w:r>
    </w:p>
    <w:p w:rsidR="007406CB" w:rsidRDefault="007406CB" w:rsidP="00DA252E">
      <w:pPr>
        <w:spacing w:after="0" w:line="240" w:lineRule="auto"/>
        <w:jc w:val="both"/>
        <w:rPr>
          <w:rFonts w:ascii="Verdana" w:hAnsi="Verdana"/>
          <w:sz w:val="24"/>
          <w:szCs w:val="24"/>
        </w:rPr>
      </w:pPr>
    </w:p>
    <w:p w:rsidR="00CB5CC4" w:rsidRDefault="00CB5CC4" w:rsidP="00FC7F0E">
      <w:pPr>
        <w:pStyle w:val="Ttulo2"/>
        <w:spacing w:before="0" w:after="0" w:line="240" w:lineRule="auto"/>
        <w:rPr>
          <w:rFonts w:ascii="Verdana" w:hAnsi="Verdana"/>
          <w:i w:val="0"/>
          <w:color w:val="548DD4" w:themeColor="text2" w:themeTint="99"/>
          <w:sz w:val="32"/>
        </w:rPr>
      </w:pPr>
    </w:p>
    <w:p w:rsidR="00DA252E" w:rsidRPr="000C569D" w:rsidRDefault="0007719D" w:rsidP="00FC7F0E">
      <w:pPr>
        <w:pStyle w:val="Ttulo2"/>
        <w:spacing w:before="0" w:after="0" w:line="240" w:lineRule="auto"/>
        <w:rPr>
          <w:rFonts w:ascii="Verdana" w:hAnsi="Verdana"/>
          <w:i w:val="0"/>
          <w:color w:val="548DD4" w:themeColor="text2" w:themeTint="99"/>
          <w:sz w:val="32"/>
        </w:rPr>
      </w:pPr>
      <w:r w:rsidRPr="0007719D">
        <w:rPr>
          <w:rFonts w:ascii="Verdana" w:hAnsi="Verdana"/>
          <w:i w:val="0"/>
          <w:noProof/>
          <w:color w:val="548DD4" w:themeColor="text2" w:themeTint="99"/>
          <w:sz w:val="32"/>
          <w:lang w:eastAsia="es-CO"/>
        </w:rPr>
        <w:drawing>
          <wp:inline distT="0" distB="0" distL="0" distR="0">
            <wp:extent cx="216024" cy="216024"/>
            <wp:effectExtent l="19050" t="0" r="0" b="0"/>
            <wp:docPr id="467" name="Objet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7236296" y="2924944"/>
                      <a:chExt cx="216024" cy="216024"/>
                    </a:xfrm>
                  </a:grpSpPr>
                  <a:sp>
                    <a:nvSpPr>
                      <a:cNvPr id="39" name="38 Rectángulo redondeado"/>
                      <a:cNvSpPr/>
                    </a:nvSpPr>
                    <a:spPr>
                      <a:xfrm>
                        <a:off x="7236296" y="2924944"/>
                        <a:ext cx="216024" cy="216024"/>
                      </a:xfrm>
                      <a:prstGeom prst="roundRect">
                        <a:avLst/>
                      </a:prstGeom>
                      <a:gradFill flip="none" rotWithShape="1">
                        <a:gsLst>
                          <a:gs pos="0">
                            <a:schemeClr val="tx2">
                              <a:lumMod val="40000"/>
                              <a:lumOff val="60000"/>
                              <a:shade val="30000"/>
                              <a:satMod val="115000"/>
                            </a:schemeClr>
                          </a:gs>
                          <a:gs pos="50000">
                            <a:schemeClr val="tx2">
                              <a:lumMod val="40000"/>
                              <a:lumOff val="60000"/>
                              <a:shade val="67500"/>
                              <a:satMod val="115000"/>
                            </a:schemeClr>
                          </a:gs>
                          <a:gs pos="100000">
                            <a:schemeClr val="tx2">
                              <a:lumMod val="40000"/>
                              <a:lumOff val="60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dirty="0">
                            <a:solidFill>
                              <a:schemeClr val="accent4">
                                <a:lumMod val="40000"/>
                                <a:lumOff val="60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hAnsi="Verdana"/>
          <w:i w:val="0"/>
          <w:color w:val="548DD4" w:themeColor="text2" w:themeTint="99"/>
          <w:sz w:val="32"/>
        </w:rPr>
        <w:t xml:space="preserve">  </w:t>
      </w:r>
      <w:r w:rsidR="00AC6E97" w:rsidRPr="000C569D">
        <w:rPr>
          <w:rFonts w:ascii="Verdana" w:hAnsi="Verdana"/>
          <w:i w:val="0"/>
          <w:color w:val="548DD4" w:themeColor="text2" w:themeTint="99"/>
          <w:sz w:val="32"/>
        </w:rPr>
        <w:t>GESTION</w:t>
      </w:r>
    </w:p>
    <w:p w:rsidR="0051259B" w:rsidRDefault="0051259B" w:rsidP="000C569D">
      <w:pPr>
        <w:pStyle w:val="Ttulo2"/>
        <w:spacing w:before="0" w:after="0" w:line="240" w:lineRule="auto"/>
        <w:rPr>
          <w:rFonts w:ascii="Verdana" w:hAnsi="Verdana"/>
          <w:i w:val="0"/>
          <w:color w:val="548DD4" w:themeColor="text2" w:themeTint="99"/>
          <w:sz w:val="24"/>
          <w:u w:val="single"/>
        </w:rPr>
      </w:pPr>
      <w:bookmarkStart w:id="82" w:name="_Toc410035288"/>
      <w:bookmarkStart w:id="83" w:name="_Toc410111304"/>
      <w:bookmarkStart w:id="84" w:name="_Toc410376800"/>
    </w:p>
    <w:p w:rsidR="00DA252E" w:rsidRPr="000C569D" w:rsidRDefault="00DA252E" w:rsidP="000C569D">
      <w:pPr>
        <w:pStyle w:val="Ttulo2"/>
        <w:spacing w:before="0" w:after="0" w:line="240" w:lineRule="auto"/>
        <w:rPr>
          <w:rFonts w:ascii="Verdana" w:hAnsi="Verdana"/>
          <w:i w:val="0"/>
          <w:color w:val="548DD4" w:themeColor="text2" w:themeTint="99"/>
          <w:sz w:val="24"/>
          <w:u w:val="single"/>
        </w:rPr>
      </w:pPr>
      <w:r w:rsidRPr="000C569D">
        <w:rPr>
          <w:rFonts w:ascii="Verdana" w:hAnsi="Verdana"/>
          <w:i w:val="0"/>
          <w:color w:val="548DD4" w:themeColor="text2" w:themeTint="99"/>
          <w:sz w:val="24"/>
          <w:u w:val="single"/>
        </w:rPr>
        <w:t>SISTEMA GESTIÓN DE CALIDAD</w:t>
      </w:r>
      <w:bookmarkEnd w:id="82"/>
      <w:bookmarkEnd w:id="83"/>
      <w:bookmarkEnd w:id="84"/>
    </w:p>
    <w:p w:rsidR="00DA252E" w:rsidRPr="00F71B84" w:rsidRDefault="00DA252E" w:rsidP="00DA252E">
      <w:pPr>
        <w:spacing w:after="0" w:line="240" w:lineRule="auto"/>
        <w:jc w:val="both"/>
        <w:rPr>
          <w:rFonts w:ascii="Verdana" w:hAnsi="Verdana"/>
          <w:sz w:val="24"/>
          <w:szCs w:val="24"/>
        </w:rPr>
      </w:pPr>
    </w:p>
    <w:p w:rsidR="00DA252E" w:rsidRPr="00F71B84" w:rsidRDefault="00DA252E" w:rsidP="00DA252E">
      <w:pPr>
        <w:spacing w:after="0" w:line="240" w:lineRule="auto"/>
        <w:jc w:val="both"/>
        <w:rPr>
          <w:rFonts w:ascii="Verdana" w:hAnsi="Verdana"/>
          <w:sz w:val="24"/>
          <w:szCs w:val="24"/>
        </w:rPr>
      </w:pPr>
      <w:r w:rsidRPr="00F71B84">
        <w:rPr>
          <w:rFonts w:ascii="Verdana" w:hAnsi="Verdana"/>
          <w:sz w:val="24"/>
          <w:szCs w:val="24"/>
        </w:rPr>
        <w:t>La Entidad logr</w:t>
      </w:r>
      <w:r>
        <w:rPr>
          <w:rFonts w:ascii="Verdana" w:hAnsi="Verdana"/>
          <w:sz w:val="24"/>
          <w:szCs w:val="24"/>
        </w:rPr>
        <w:t>ó</w:t>
      </w:r>
      <w:r w:rsidRPr="00F71B84">
        <w:rPr>
          <w:rFonts w:ascii="Verdana" w:hAnsi="Verdana"/>
          <w:sz w:val="24"/>
          <w:szCs w:val="24"/>
        </w:rPr>
        <w:t xml:space="preserve"> mantener un Sistema de Gestión Integral (SGI) certificado por segundo año consecutivo, por su implementación, mantenimiento y cumplimiento de las Normas Técnicas Internacionales en los tres ejes del SGI: Calidad ISO 9001:2008, NTC GP1000:2009; Ambiental ISO 14001:2004; Seguridad y Salud </w:t>
      </w:r>
      <w:r w:rsidRPr="00F71B84">
        <w:rPr>
          <w:rFonts w:ascii="Verdana" w:hAnsi="Verdana"/>
          <w:sz w:val="24"/>
          <w:szCs w:val="24"/>
        </w:rPr>
        <w:lastRenderedPageBreak/>
        <w:t>en el Trabajo OHSAS 18001:2007. Conformidad dada por el ente certificador internacional COTECNA.</w:t>
      </w:r>
    </w:p>
    <w:p w:rsidR="00DA252E" w:rsidRPr="00F71B84" w:rsidRDefault="00DA252E" w:rsidP="00DA252E">
      <w:pPr>
        <w:spacing w:after="0" w:line="240" w:lineRule="auto"/>
        <w:jc w:val="both"/>
        <w:rPr>
          <w:rFonts w:ascii="Verdana" w:hAnsi="Verdana"/>
          <w:sz w:val="24"/>
          <w:szCs w:val="24"/>
        </w:rPr>
      </w:pPr>
    </w:p>
    <w:p w:rsidR="00DA252E" w:rsidRPr="00F71B84" w:rsidRDefault="00DA252E" w:rsidP="00DA252E">
      <w:pPr>
        <w:spacing w:after="0" w:line="240" w:lineRule="auto"/>
        <w:jc w:val="both"/>
        <w:rPr>
          <w:rFonts w:ascii="Verdana" w:hAnsi="Verdana"/>
          <w:sz w:val="24"/>
          <w:szCs w:val="24"/>
        </w:rPr>
      </w:pPr>
      <w:r w:rsidRPr="00F71B84">
        <w:rPr>
          <w:rFonts w:ascii="Verdana" w:hAnsi="Verdana"/>
          <w:sz w:val="24"/>
          <w:szCs w:val="24"/>
        </w:rPr>
        <w:t xml:space="preserve">A la vez, la Entidad recoge frutos por la dedicación y esfuerzos para la implementación por segundo año consecutivo de la metodología de valoración de riesgos bajo los criterios de la Norma Técnica  NTC ISO 31000:2011, concentrando esfuerzos en las acción de los Planes de Mejoramiento para mitigar los riesgos inaceptables o críticos en sus tres ejes del SGI y sumando esfuerzos para superar acciones que mitiguen los riesgos de calidad, los peligros laborales, y los aspectos ambientales negativos. </w:t>
      </w:r>
    </w:p>
    <w:p w:rsidR="00DA252E" w:rsidRPr="00F71B84" w:rsidRDefault="00DA252E" w:rsidP="00DA252E">
      <w:pPr>
        <w:spacing w:after="0" w:line="240" w:lineRule="auto"/>
        <w:jc w:val="both"/>
        <w:rPr>
          <w:rFonts w:ascii="Verdana" w:hAnsi="Verdana"/>
          <w:sz w:val="24"/>
          <w:szCs w:val="24"/>
        </w:rPr>
      </w:pPr>
    </w:p>
    <w:p w:rsidR="00DA252E" w:rsidRPr="00F71B84" w:rsidRDefault="00DA252E" w:rsidP="00DA252E">
      <w:pPr>
        <w:spacing w:after="0" w:line="240" w:lineRule="auto"/>
        <w:jc w:val="both"/>
        <w:rPr>
          <w:rFonts w:ascii="Verdana" w:hAnsi="Verdana"/>
          <w:sz w:val="24"/>
          <w:szCs w:val="24"/>
        </w:rPr>
      </w:pPr>
      <w:r w:rsidRPr="00F71B84">
        <w:rPr>
          <w:rFonts w:ascii="Verdana" w:hAnsi="Verdana"/>
          <w:sz w:val="24"/>
          <w:szCs w:val="24"/>
        </w:rPr>
        <w:t>Además</w:t>
      </w:r>
      <w:r>
        <w:rPr>
          <w:rFonts w:ascii="Verdana" w:hAnsi="Verdana"/>
          <w:sz w:val="24"/>
          <w:szCs w:val="24"/>
        </w:rPr>
        <w:t xml:space="preserve">, se </w:t>
      </w:r>
      <w:r w:rsidRPr="00F71B84">
        <w:rPr>
          <w:rFonts w:ascii="Verdana" w:hAnsi="Verdana"/>
          <w:sz w:val="24"/>
          <w:szCs w:val="24"/>
        </w:rPr>
        <w:t>resalta el permanente compromiso de la Alta Dirección a través de la revisión por la dirección, donde genera lineamientos para el SGI; también se cuenta con el apoyo permanente de líderes desde el territorio y por los procesos del sistema que a través de Grupo de Apoyo de acciones Creativas (GAC) realiza permanentemente encuentros para el intercambio de conocimiento en los temas del sistema integrado, el proyecto a destacar para el 2015 es las actualización del modelo de operación con respecto a los lineamientos estratégicos de este nuevo periodo de gobierno.</w:t>
      </w:r>
    </w:p>
    <w:p w:rsidR="00DA252E" w:rsidRDefault="00DA252E" w:rsidP="00DA252E">
      <w:pPr>
        <w:spacing w:after="0" w:line="240" w:lineRule="auto"/>
        <w:jc w:val="both"/>
        <w:rPr>
          <w:rFonts w:ascii="Verdana" w:hAnsi="Verdana"/>
          <w:color w:val="548DD4" w:themeColor="text2" w:themeTint="99"/>
          <w:sz w:val="24"/>
          <w:szCs w:val="24"/>
        </w:rPr>
      </w:pPr>
    </w:p>
    <w:p w:rsidR="000C569D" w:rsidRDefault="000C569D" w:rsidP="00DA252E">
      <w:pPr>
        <w:spacing w:after="0" w:line="240" w:lineRule="auto"/>
        <w:jc w:val="both"/>
        <w:rPr>
          <w:rFonts w:ascii="Verdana" w:hAnsi="Verdana"/>
          <w:b/>
          <w:color w:val="548DD4" w:themeColor="text2" w:themeTint="99"/>
          <w:sz w:val="24"/>
          <w:szCs w:val="24"/>
          <w:u w:val="single"/>
        </w:rPr>
      </w:pPr>
    </w:p>
    <w:p w:rsidR="00DA252E" w:rsidRPr="00AC6E97" w:rsidRDefault="00DA252E" w:rsidP="00DA252E">
      <w:pPr>
        <w:spacing w:after="0" w:line="240" w:lineRule="auto"/>
        <w:jc w:val="both"/>
        <w:rPr>
          <w:rFonts w:ascii="Verdana" w:hAnsi="Verdana"/>
          <w:b/>
          <w:color w:val="548DD4" w:themeColor="text2" w:themeTint="99"/>
          <w:sz w:val="24"/>
          <w:szCs w:val="24"/>
          <w:u w:val="single"/>
        </w:rPr>
      </w:pPr>
      <w:r w:rsidRPr="00AC6E97">
        <w:rPr>
          <w:rFonts w:ascii="Verdana" w:hAnsi="Verdana"/>
          <w:b/>
          <w:color w:val="548DD4" w:themeColor="text2" w:themeTint="99"/>
          <w:sz w:val="24"/>
          <w:szCs w:val="24"/>
          <w:u w:val="single"/>
        </w:rPr>
        <w:t>POLÍTICA DE GESTIÓN MISIONAL Y DE GOBIERNO</w:t>
      </w:r>
    </w:p>
    <w:p w:rsidR="00DA252E" w:rsidRPr="00F71B84" w:rsidRDefault="00DA252E" w:rsidP="00DA252E">
      <w:pPr>
        <w:spacing w:after="0" w:line="240" w:lineRule="auto"/>
        <w:jc w:val="both"/>
        <w:rPr>
          <w:rFonts w:ascii="Verdana" w:hAnsi="Verdana"/>
          <w:b/>
          <w:sz w:val="24"/>
          <w:szCs w:val="24"/>
        </w:rPr>
      </w:pPr>
    </w:p>
    <w:p w:rsidR="00DA252E" w:rsidRPr="003345D8" w:rsidRDefault="00DA252E" w:rsidP="00DA252E">
      <w:pPr>
        <w:spacing w:after="0" w:line="240" w:lineRule="auto"/>
        <w:jc w:val="both"/>
        <w:rPr>
          <w:rFonts w:ascii="Verdana" w:hAnsi="Verdana"/>
          <w:sz w:val="24"/>
          <w:szCs w:val="24"/>
        </w:rPr>
      </w:pPr>
      <w:r w:rsidRPr="003345D8">
        <w:rPr>
          <w:rFonts w:ascii="Verdana" w:hAnsi="Verdana"/>
          <w:sz w:val="24"/>
          <w:szCs w:val="24"/>
        </w:rPr>
        <w:t xml:space="preserve">El DPS, como líder del </w:t>
      </w:r>
      <w:r>
        <w:rPr>
          <w:rFonts w:ascii="Verdana" w:hAnsi="Verdana"/>
          <w:sz w:val="24"/>
          <w:szCs w:val="24"/>
        </w:rPr>
        <w:t>S</w:t>
      </w:r>
      <w:r w:rsidRPr="003345D8">
        <w:rPr>
          <w:rFonts w:ascii="Verdana" w:hAnsi="Verdana"/>
          <w:sz w:val="24"/>
          <w:szCs w:val="24"/>
        </w:rPr>
        <w:t>ector tiene como objetivo estatal el formular, ejecutar y evaluar la política, promoviendo el fortalecimiento de las capacidades institucionales territoriales, garantizando el enfoque diferencial y gestionando las alianzas estratégicas que impulsen el logro de los objetivos y desarrollando procesos de inclusión productiva y sostenibilidad a través de la generación de capacidades y oportunidades y acceso a activos a la población objeto de atención, alineando así lo plasmado en el PND 2010-2014.</w:t>
      </w:r>
    </w:p>
    <w:p w:rsidR="00DA252E" w:rsidRPr="003345D8" w:rsidRDefault="00DA252E" w:rsidP="00DA252E">
      <w:pPr>
        <w:spacing w:after="0" w:line="240" w:lineRule="auto"/>
        <w:jc w:val="both"/>
        <w:rPr>
          <w:rFonts w:ascii="Verdana" w:hAnsi="Verdana"/>
          <w:sz w:val="24"/>
          <w:szCs w:val="24"/>
        </w:rPr>
      </w:pPr>
      <w:r w:rsidRPr="003345D8">
        <w:rPr>
          <w:rFonts w:ascii="Verdana" w:hAnsi="Verdana"/>
          <w:sz w:val="24"/>
          <w:szCs w:val="24"/>
        </w:rPr>
        <w:t xml:space="preserve"> </w:t>
      </w:r>
    </w:p>
    <w:p w:rsidR="00DA252E" w:rsidRDefault="00DA252E" w:rsidP="00DA252E">
      <w:pPr>
        <w:spacing w:after="0" w:line="240" w:lineRule="auto"/>
        <w:jc w:val="both"/>
        <w:rPr>
          <w:rFonts w:ascii="Verdana" w:hAnsi="Verdana"/>
          <w:sz w:val="24"/>
          <w:szCs w:val="24"/>
        </w:rPr>
      </w:pPr>
      <w:r w:rsidRPr="003345D8">
        <w:rPr>
          <w:rFonts w:ascii="Verdana" w:hAnsi="Verdana"/>
          <w:sz w:val="24"/>
          <w:szCs w:val="24"/>
        </w:rPr>
        <w:t>Por lo anterior</w:t>
      </w:r>
      <w:r>
        <w:rPr>
          <w:rFonts w:ascii="Verdana" w:hAnsi="Verdana"/>
          <w:sz w:val="24"/>
          <w:szCs w:val="24"/>
        </w:rPr>
        <w:t>,</w:t>
      </w:r>
      <w:r w:rsidRPr="003345D8">
        <w:rPr>
          <w:rFonts w:ascii="Verdana" w:hAnsi="Verdana"/>
          <w:sz w:val="24"/>
          <w:szCs w:val="24"/>
        </w:rPr>
        <w:t xml:space="preserve"> esta Entidad cuenta con tres direcciones misionales a cargo de la Gestión Misional y que tiene como fin la implementación, la ejecución de los programas sociales a cargo del </w:t>
      </w:r>
      <w:r>
        <w:rPr>
          <w:rFonts w:ascii="Verdana" w:hAnsi="Verdana"/>
          <w:sz w:val="24"/>
          <w:szCs w:val="24"/>
        </w:rPr>
        <w:t>DPS</w:t>
      </w:r>
      <w:r w:rsidRPr="003345D8">
        <w:rPr>
          <w:rFonts w:ascii="Verdana" w:hAnsi="Verdana"/>
          <w:sz w:val="24"/>
          <w:szCs w:val="24"/>
        </w:rPr>
        <w:t xml:space="preserve">, a saber: </w:t>
      </w:r>
      <w:r>
        <w:rPr>
          <w:rFonts w:ascii="Verdana" w:hAnsi="Verdana"/>
          <w:sz w:val="24"/>
          <w:szCs w:val="24"/>
        </w:rPr>
        <w:t>i)</w:t>
      </w:r>
      <w:r w:rsidRPr="003345D8">
        <w:rPr>
          <w:rFonts w:ascii="Verdana" w:hAnsi="Verdana"/>
          <w:sz w:val="24"/>
          <w:szCs w:val="24"/>
        </w:rPr>
        <w:t xml:space="preserve">Dirección de Ingreso Social y la </w:t>
      </w:r>
      <w:r>
        <w:rPr>
          <w:rFonts w:ascii="Verdana" w:hAnsi="Verdana"/>
          <w:sz w:val="24"/>
          <w:szCs w:val="24"/>
        </w:rPr>
        <w:t>ii)</w:t>
      </w:r>
      <w:r w:rsidRPr="003345D8">
        <w:rPr>
          <w:rFonts w:ascii="Verdana" w:hAnsi="Verdana"/>
          <w:sz w:val="24"/>
          <w:szCs w:val="24"/>
        </w:rPr>
        <w:t xml:space="preserve">Dirección de Inclusión Productiva y Sostenibilidad alineadas al cumplimiento del pilar del PND en la Igualdad de oportunidades para la Prosperidad Social, y la </w:t>
      </w:r>
      <w:r>
        <w:rPr>
          <w:rFonts w:ascii="Verdana" w:hAnsi="Verdana"/>
          <w:sz w:val="24"/>
          <w:szCs w:val="24"/>
        </w:rPr>
        <w:t>iii)</w:t>
      </w:r>
      <w:r w:rsidRPr="003345D8">
        <w:rPr>
          <w:rFonts w:ascii="Verdana" w:hAnsi="Verdana"/>
          <w:sz w:val="24"/>
          <w:szCs w:val="24"/>
        </w:rPr>
        <w:t>Dirección de Programas Especiales cumpliendo el pilar de Soporte Trasversales de la Prosperidad Democrática.</w:t>
      </w:r>
    </w:p>
    <w:p w:rsidR="00DA252E" w:rsidRPr="00F71B84" w:rsidRDefault="00DA252E" w:rsidP="00DA252E">
      <w:pPr>
        <w:spacing w:after="0" w:line="240" w:lineRule="auto"/>
        <w:jc w:val="both"/>
        <w:rPr>
          <w:rFonts w:ascii="Verdana" w:hAnsi="Verdana"/>
          <w:b/>
          <w:sz w:val="24"/>
          <w:szCs w:val="24"/>
        </w:rPr>
      </w:pPr>
    </w:p>
    <w:p w:rsidR="00DA252E" w:rsidRDefault="00DA252E" w:rsidP="00DA252E">
      <w:pPr>
        <w:autoSpaceDE w:val="0"/>
        <w:autoSpaceDN w:val="0"/>
        <w:adjustRightInd w:val="0"/>
        <w:spacing w:after="0" w:line="240" w:lineRule="auto"/>
        <w:jc w:val="both"/>
        <w:rPr>
          <w:rFonts w:ascii="Verdana" w:hAnsi="Verdana"/>
          <w:sz w:val="24"/>
          <w:szCs w:val="24"/>
        </w:rPr>
      </w:pPr>
      <w:r w:rsidRPr="00E34EA7">
        <w:rPr>
          <w:rFonts w:ascii="Verdana" w:hAnsi="Verdana"/>
          <w:sz w:val="24"/>
          <w:szCs w:val="24"/>
        </w:rPr>
        <w:lastRenderedPageBreak/>
        <w:t>El DPS  definió un cuadro de mando integral para hacer seguimiento mensual, bimestral y trimestral a las metas e indicadores que miden la gestión de la Entidad, los cuales se agruparon en los siguientes objetivos estratégicos y muestran la ejecución lograda a diciembre de 2014:</w:t>
      </w:r>
    </w:p>
    <w:p w:rsidR="00DA252E" w:rsidRDefault="00DA252E" w:rsidP="00DA252E">
      <w:pPr>
        <w:spacing w:after="0" w:line="240" w:lineRule="auto"/>
        <w:jc w:val="both"/>
        <w:rPr>
          <w:rFonts w:ascii="Verdana" w:hAnsi="Verdana"/>
          <w:b/>
          <w:sz w:val="24"/>
          <w:szCs w:val="24"/>
        </w:rPr>
      </w:pPr>
    </w:p>
    <w:p w:rsidR="00DA252E" w:rsidRDefault="00DA252E" w:rsidP="00FF784D">
      <w:pPr>
        <w:pStyle w:val="Prrafodelista"/>
        <w:numPr>
          <w:ilvl w:val="0"/>
          <w:numId w:val="25"/>
        </w:numPr>
        <w:spacing w:after="0" w:line="240" w:lineRule="auto"/>
        <w:jc w:val="both"/>
        <w:rPr>
          <w:rFonts w:ascii="Verdana" w:hAnsi="Verdana"/>
          <w:i/>
          <w:sz w:val="24"/>
          <w:szCs w:val="24"/>
        </w:rPr>
      </w:pPr>
      <w:r w:rsidRPr="001E7D69">
        <w:rPr>
          <w:rFonts w:ascii="Verdana" w:hAnsi="Verdana"/>
          <w:i/>
          <w:sz w:val="24"/>
          <w:szCs w:val="24"/>
        </w:rPr>
        <w:t xml:space="preserve">Objetivo Estratégico: Ejecutar acciones de inclusión social, reparación y sostenibilidad en la población objeto de atención del </w:t>
      </w:r>
      <w:r>
        <w:rPr>
          <w:rFonts w:ascii="Verdana" w:hAnsi="Verdana"/>
          <w:i/>
          <w:sz w:val="24"/>
          <w:szCs w:val="24"/>
        </w:rPr>
        <w:t>S</w:t>
      </w:r>
      <w:r w:rsidRPr="001E7D69">
        <w:rPr>
          <w:rFonts w:ascii="Verdana" w:hAnsi="Verdana"/>
          <w:i/>
          <w:sz w:val="24"/>
          <w:szCs w:val="24"/>
        </w:rPr>
        <w:t>ector</w:t>
      </w:r>
    </w:p>
    <w:p w:rsidR="00E25DCE" w:rsidRDefault="00E25DCE" w:rsidP="00E25DCE">
      <w:pPr>
        <w:spacing w:after="0" w:line="240" w:lineRule="auto"/>
        <w:jc w:val="both"/>
        <w:rPr>
          <w:rFonts w:ascii="Verdana" w:hAnsi="Verdana"/>
          <w:i/>
          <w:sz w:val="24"/>
          <w:szCs w:val="24"/>
        </w:rPr>
      </w:pP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70" w:type="dxa"/>
          <w:right w:w="70" w:type="dxa"/>
        </w:tblCellMar>
        <w:tblLook w:val="04A0"/>
      </w:tblPr>
      <w:tblGrid>
        <w:gridCol w:w="2934"/>
        <w:gridCol w:w="1330"/>
        <w:gridCol w:w="1331"/>
        <w:gridCol w:w="1076"/>
        <w:gridCol w:w="239"/>
        <w:gridCol w:w="1600"/>
        <w:gridCol w:w="1602"/>
      </w:tblGrid>
      <w:tr w:rsidR="00DA252E" w:rsidRPr="00041405" w:rsidTr="00CB5CC4">
        <w:trPr>
          <w:trHeight w:val="493"/>
        </w:trPr>
        <w:tc>
          <w:tcPr>
            <w:tcW w:w="1451" w:type="pct"/>
            <w:shd w:val="clear" w:color="auto" w:fill="548DD4" w:themeFill="text2" w:themeFillTint="99"/>
            <w:vAlign w:val="center"/>
            <w:hideMark/>
          </w:tcPr>
          <w:p w:rsidR="00DA252E" w:rsidRPr="00041405" w:rsidRDefault="00DA252E" w:rsidP="00DA252E">
            <w:pPr>
              <w:spacing w:after="0" w:line="240" w:lineRule="auto"/>
              <w:jc w:val="center"/>
              <w:rPr>
                <w:rFonts w:ascii="Verdana" w:eastAsia="Times New Roman" w:hAnsi="Verdana"/>
                <w:b/>
                <w:bCs/>
                <w:color w:val="FFFFFF"/>
                <w:sz w:val="20"/>
                <w:szCs w:val="20"/>
                <w:lang w:eastAsia="es-CO"/>
              </w:rPr>
            </w:pPr>
            <w:r w:rsidRPr="00041405">
              <w:rPr>
                <w:rFonts w:ascii="Verdana" w:eastAsia="Times New Roman" w:hAnsi="Verdana"/>
                <w:b/>
                <w:bCs/>
                <w:color w:val="FFFFFF"/>
                <w:sz w:val="20"/>
                <w:szCs w:val="20"/>
                <w:lang w:eastAsia="es-CO"/>
              </w:rPr>
              <w:t>Indicador</w:t>
            </w:r>
          </w:p>
        </w:tc>
        <w:tc>
          <w:tcPr>
            <w:tcW w:w="658" w:type="pct"/>
            <w:shd w:val="clear" w:color="auto" w:fill="548DD4" w:themeFill="text2" w:themeFillTint="99"/>
            <w:vAlign w:val="center"/>
            <w:hideMark/>
          </w:tcPr>
          <w:p w:rsidR="00DA252E" w:rsidRPr="00041405" w:rsidRDefault="00DA252E" w:rsidP="00DA252E">
            <w:pPr>
              <w:spacing w:after="0" w:line="240" w:lineRule="auto"/>
              <w:jc w:val="center"/>
              <w:rPr>
                <w:rFonts w:ascii="Verdana" w:eastAsia="Times New Roman" w:hAnsi="Verdana"/>
                <w:b/>
                <w:bCs/>
                <w:color w:val="FFFFFF"/>
                <w:sz w:val="20"/>
                <w:szCs w:val="20"/>
                <w:lang w:eastAsia="es-CO"/>
              </w:rPr>
            </w:pPr>
            <w:r w:rsidRPr="00041405">
              <w:rPr>
                <w:rFonts w:ascii="Verdana" w:eastAsia="Times New Roman" w:hAnsi="Verdana"/>
                <w:b/>
                <w:bCs/>
                <w:color w:val="FFFFFF"/>
                <w:sz w:val="20"/>
                <w:szCs w:val="20"/>
                <w:lang w:eastAsia="es-CO"/>
              </w:rPr>
              <w:t>Meta 2014</w:t>
            </w:r>
          </w:p>
        </w:tc>
        <w:tc>
          <w:tcPr>
            <w:tcW w:w="658" w:type="pct"/>
            <w:shd w:val="clear" w:color="auto" w:fill="548DD4" w:themeFill="text2" w:themeFillTint="99"/>
            <w:vAlign w:val="center"/>
            <w:hideMark/>
          </w:tcPr>
          <w:p w:rsidR="00DA252E" w:rsidRPr="00041405" w:rsidRDefault="00DA252E" w:rsidP="00DA252E">
            <w:pPr>
              <w:spacing w:after="0" w:line="240" w:lineRule="auto"/>
              <w:jc w:val="center"/>
              <w:rPr>
                <w:rFonts w:ascii="Verdana" w:eastAsia="Times New Roman" w:hAnsi="Verdana"/>
                <w:b/>
                <w:bCs/>
                <w:color w:val="FFFFFF"/>
                <w:sz w:val="20"/>
                <w:szCs w:val="20"/>
                <w:lang w:eastAsia="es-CO"/>
              </w:rPr>
            </w:pPr>
            <w:r w:rsidRPr="00041405">
              <w:rPr>
                <w:rFonts w:ascii="Verdana" w:eastAsia="Times New Roman" w:hAnsi="Verdana"/>
                <w:b/>
                <w:bCs/>
                <w:color w:val="FFFFFF"/>
                <w:sz w:val="20"/>
                <w:szCs w:val="20"/>
                <w:lang w:eastAsia="es-CO"/>
              </w:rPr>
              <w:t>Avance 2014</w:t>
            </w:r>
          </w:p>
        </w:tc>
        <w:tc>
          <w:tcPr>
            <w:tcW w:w="532" w:type="pct"/>
            <w:shd w:val="clear" w:color="auto" w:fill="548DD4" w:themeFill="text2" w:themeFillTint="99"/>
            <w:vAlign w:val="center"/>
            <w:hideMark/>
          </w:tcPr>
          <w:p w:rsidR="00DA252E" w:rsidRPr="00041405" w:rsidRDefault="00DA252E" w:rsidP="00DA252E">
            <w:pPr>
              <w:spacing w:after="0" w:line="240" w:lineRule="auto"/>
              <w:jc w:val="center"/>
              <w:rPr>
                <w:rFonts w:ascii="Verdana" w:eastAsia="Times New Roman" w:hAnsi="Verdana"/>
                <w:b/>
                <w:bCs/>
                <w:color w:val="FFFFFF"/>
                <w:sz w:val="20"/>
                <w:szCs w:val="20"/>
                <w:lang w:eastAsia="es-CO"/>
              </w:rPr>
            </w:pPr>
            <w:r w:rsidRPr="00041405">
              <w:rPr>
                <w:rFonts w:ascii="Verdana" w:eastAsia="Times New Roman" w:hAnsi="Verdana"/>
                <w:b/>
                <w:bCs/>
                <w:color w:val="FFFFFF"/>
                <w:sz w:val="20"/>
                <w:szCs w:val="20"/>
                <w:lang w:eastAsia="es-CO"/>
              </w:rPr>
              <w:t>% Avance</w:t>
            </w:r>
          </w:p>
        </w:tc>
        <w:tc>
          <w:tcPr>
            <w:tcW w:w="118" w:type="pct"/>
            <w:shd w:val="clear" w:color="auto" w:fill="548DD4" w:themeFill="text2" w:themeFillTint="99"/>
            <w:vAlign w:val="center"/>
            <w:hideMark/>
          </w:tcPr>
          <w:p w:rsidR="00DA252E" w:rsidRPr="00041405" w:rsidRDefault="00DA252E" w:rsidP="00DA252E">
            <w:pPr>
              <w:spacing w:after="0" w:line="240" w:lineRule="auto"/>
              <w:jc w:val="center"/>
              <w:rPr>
                <w:rFonts w:ascii="Verdana" w:eastAsia="Times New Roman" w:hAnsi="Verdana"/>
                <w:b/>
                <w:bCs/>
                <w:color w:val="FFFFFF"/>
                <w:sz w:val="20"/>
                <w:szCs w:val="20"/>
                <w:lang w:eastAsia="es-CO"/>
              </w:rPr>
            </w:pPr>
            <w:r w:rsidRPr="00041405">
              <w:rPr>
                <w:rFonts w:ascii="Verdana" w:eastAsia="Times New Roman" w:hAnsi="Verdana"/>
                <w:b/>
                <w:bCs/>
                <w:color w:val="FFFFFF"/>
                <w:sz w:val="20"/>
                <w:szCs w:val="20"/>
                <w:lang w:eastAsia="es-CO"/>
              </w:rPr>
              <w:t> </w:t>
            </w:r>
          </w:p>
        </w:tc>
        <w:tc>
          <w:tcPr>
            <w:tcW w:w="791" w:type="pct"/>
            <w:shd w:val="clear" w:color="auto" w:fill="548DD4" w:themeFill="text2" w:themeFillTint="99"/>
            <w:vAlign w:val="center"/>
            <w:hideMark/>
          </w:tcPr>
          <w:p w:rsidR="00DA252E" w:rsidRPr="00041405" w:rsidRDefault="00DA252E" w:rsidP="00DA252E">
            <w:pPr>
              <w:spacing w:after="0" w:line="240" w:lineRule="auto"/>
              <w:jc w:val="center"/>
              <w:rPr>
                <w:rFonts w:ascii="Verdana" w:eastAsia="Times New Roman" w:hAnsi="Verdana"/>
                <w:b/>
                <w:bCs/>
                <w:color w:val="FFFFFF"/>
                <w:sz w:val="20"/>
                <w:szCs w:val="20"/>
                <w:lang w:eastAsia="es-CO"/>
              </w:rPr>
            </w:pPr>
            <w:r w:rsidRPr="00041405">
              <w:rPr>
                <w:rFonts w:ascii="Verdana" w:eastAsia="Times New Roman" w:hAnsi="Verdana"/>
                <w:b/>
                <w:bCs/>
                <w:color w:val="FFFFFF"/>
                <w:sz w:val="20"/>
                <w:szCs w:val="20"/>
                <w:lang w:eastAsia="es-CO"/>
              </w:rPr>
              <w:t>Meta Cuatrienio</w:t>
            </w:r>
          </w:p>
        </w:tc>
        <w:tc>
          <w:tcPr>
            <w:tcW w:w="792" w:type="pct"/>
            <w:shd w:val="clear" w:color="auto" w:fill="548DD4" w:themeFill="text2" w:themeFillTint="99"/>
            <w:vAlign w:val="center"/>
            <w:hideMark/>
          </w:tcPr>
          <w:p w:rsidR="00DA252E" w:rsidRPr="00041405" w:rsidRDefault="00DA252E" w:rsidP="00DA252E">
            <w:pPr>
              <w:spacing w:after="0" w:line="240" w:lineRule="auto"/>
              <w:jc w:val="center"/>
              <w:rPr>
                <w:rFonts w:ascii="Verdana" w:eastAsia="Times New Roman" w:hAnsi="Verdana"/>
                <w:b/>
                <w:bCs/>
                <w:color w:val="FFFFFF"/>
                <w:sz w:val="20"/>
                <w:szCs w:val="20"/>
                <w:lang w:eastAsia="es-CO"/>
              </w:rPr>
            </w:pPr>
            <w:r w:rsidRPr="00041405">
              <w:rPr>
                <w:rFonts w:ascii="Verdana" w:eastAsia="Times New Roman" w:hAnsi="Verdana"/>
                <w:b/>
                <w:bCs/>
                <w:color w:val="FFFFFF"/>
                <w:sz w:val="20"/>
                <w:szCs w:val="20"/>
                <w:lang w:eastAsia="es-CO"/>
              </w:rPr>
              <w:t>Avance Cuatrienio</w:t>
            </w:r>
          </w:p>
        </w:tc>
      </w:tr>
      <w:tr w:rsidR="00DA252E" w:rsidRPr="00041405" w:rsidTr="00CB5CC4">
        <w:trPr>
          <w:trHeight w:val="718"/>
        </w:trPr>
        <w:tc>
          <w:tcPr>
            <w:tcW w:w="1451" w:type="pct"/>
            <w:shd w:val="clear" w:color="000000" w:fill="D0D8E8"/>
            <w:hideMark/>
          </w:tcPr>
          <w:p w:rsidR="00DA252E" w:rsidRPr="00041405" w:rsidRDefault="00DA252E" w:rsidP="00DA252E">
            <w:pPr>
              <w:spacing w:after="0" w:line="240" w:lineRule="auto"/>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 xml:space="preserve">Familias Beneficiadas con transferencias condicionadas </w:t>
            </w:r>
            <w:r w:rsidR="000C569D">
              <w:rPr>
                <w:rFonts w:ascii="Verdana" w:eastAsia="Times New Roman" w:hAnsi="Verdana"/>
                <w:color w:val="000000"/>
                <w:sz w:val="20"/>
                <w:szCs w:val="20"/>
                <w:lang w:eastAsia="es-CO"/>
              </w:rPr>
              <w:t>–</w:t>
            </w:r>
            <w:r w:rsidRPr="00041405">
              <w:rPr>
                <w:rFonts w:ascii="Verdana" w:eastAsia="Times New Roman" w:hAnsi="Verdana"/>
                <w:color w:val="000000"/>
                <w:sz w:val="20"/>
                <w:szCs w:val="20"/>
                <w:lang w:eastAsia="es-CO"/>
              </w:rPr>
              <w:t xml:space="preserve"> MFA</w:t>
            </w:r>
          </w:p>
        </w:tc>
        <w:tc>
          <w:tcPr>
            <w:tcW w:w="658" w:type="pct"/>
            <w:shd w:val="clear" w:color="000000" w:fill="D0D8E8"/>
            <w:vAlign w:val="center"/>
            <w:hideMark/>
          </w:tcPr>
          <w:p w:rsidR="00DA252E" w:rsidRPr="00041405" w:rsidRDefault="00DA252E" w:rsidP="00DA252E">
            <w:pPr>
              <w:spacing w:after="0" w:line="240" w:lineRule="auto"/>
              <w:jc w:val="center"/>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2</w:t>
            </w:r>
            <w:r>
              <w:rPr>
                <w:rFonts w:ascii="Verdana" w:eastAsia="Times New Roman" w:hAnsi="Verdana"/>
                <w:color w:val="000000"/>
                <w:sz w:val="20"/>
                <w:szCs w:val="20"/>
                <w:lang w:eastAsia="es-CO"/>
              </w:rPr>
              <w:t>.</w:t>
            </w:r>
            <w:r w:rsidRPr="00041405">
              <w:rPr>
                <w:rFonts w:ascii="Verdana" w:eastAsia="Times New Roman" w:hAnsi="Verdana"/>
                <w:color w:val="000000"/>
                <w:sz w:val="20"/>
                <w:szCs w:val="20"/>
                <w:lang w:eastAsia="es-CO"/>
              </w:rPr>
              <w:t>600</w:t>
            </w:r>
            <w:r>
              <w:rPr>
                <w:rFonts w:ascii="Verdana" w:eastAsia="Times New Roman" w:hAnsi="Verdana"/>
                <w:color w:val="000000"/>
                <w:sz w:val="20"/>
                <w:szCs w:val="20"/>
                <w:lang w:eastAsia="es-CO"/>
              </w:rPr>
              <w:t>.</w:t>
            </w:r>
            <w:r w:rsidRPr="00041405">
              <w:rPr>
                <w:rFonts w:ascii="Verdana" w:eastAsia="Times New Roman" w:hAnsi="Verdana"/>
                <w:color w:val="000000"/>
                <w:sz w:val="20"/>
                <w:szCs w:val="20"/>
                <w:lang w:eastAsia="es-CO"/>
              </w:rPr>
              <w:t>000</w:t>
            </w:r>
          </w:p>
        </w:tc>
        <w:tc>
          <w:tcPr>
            <w:tcW w:w="658" w:type="pct"/>
            <w:shd w:val="clear" w:color="000000" w:fill="D0D8E8"/>
            <w:vAlign w:val="center"/>
            <w:hideMark/>
          </w:tcPr>
          <w:p w:rsidR="00DA252E" w:rsidRPr="00041405" w:rsidRDefault="00DA252E" w:rsidP="00DA252E">
            <w:pPr>
              <w:spacing w:after="0" w:line="240" w:lineRule="auto"/>
              <w:jc w:val="center"/>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2</w:t>
            </w:r>
            <w:r>
              <w:rPr>
                <w:rFonts w:ascii="Verdana" w:eastAsia="Times New Roman" w:hAnsi="Verdana"/>
                <w:color w:val="000000"/>
                <w:sz w:val="20"/>
                <w:szCs w:val="20"/>
                <w:lang w:eastAsia="es-CO"/>
              </w:rPr>
              <w:t>.</w:t>
            </w:r>
            <w:r w:rsidRPr="00041405">
              <w:rPr>
                <w:rFonts w:ascii="Verdana" w:eastAsia="Times New Roman" w:hAnsi="Verdana"/>
                <w:color w:val="000000"/>
                <w:sz w:val="20"/>
                <w:szCs w:val="20"/>
                <w:lang w:eastAsia="es-CO"/>
              </w:rPr>
              <w:t>676</w:t>
            </w:r>
            <w:r>
              <w:rPr>
                <w:rFonts w:ascii="Verdana" w:eastAsia="Times New Roman" w:hAnsi="Verdana"/>
                <w:color w:val="000000"/>
                <w:sz w:val="20"/>
                <w:szCs w:val="20"/>
                <w:lang w:eastAsia="es-CO"/>
              </w:rPr>
              <w:t>.</w:t>
            </w:r>
            <w:r w:rsidRPr="00041405">
              <w:rPr>
                <w:rFonts w:ascii="Verdana" w:eastAsia="Times New Roman" w:hAnsi="Verdana"/>
                <w:color w:val="000000"/>
                <w:sz w:val="20"/>
                <w:szCs w:val="20"/>
                <w:lang w:eastAsia="es-CO"/>
              </w:rPr>
              <w:t>386</w:t>
            </w:r>
          </w:p>
        </w:tc>
        <w:tc>
          <w:tcPr>
            <w:tcW w:w="532" w:type="pct"/>
            <w:shd w:val="clear" w:color="000000" w:fill="D0D8E8"/>
            <w:hideMark/>
          </w:tcPr>
          <w:p w:rsidR="00DA252E" w:rsidRDefault="00DA252E" w:rsidP="00DA252E">
            <w:pPr>
              <w:spacing w:after="0" w:line="240" w:lineRule="auto"/>
              <w:jc w:val="center"/>
              <w:rPr>
                <w:rFonts w:ascii="Verdana" w:eastAsia="Times New Roman" w:hAnsi="Verdana"/>
                <w:color w:val="000000"/>
                <w:sz w:val="20"/>
                <w:szCs w:val="20"/>
                <w:lang w:eastAsia="es-CO"/>
              </w:rPr>
            </w:pPr>
          </w:p>
          <w:p w:rsidR="00DA252E" w:rsidRPr="00041405" w:rsidRDefault="00DA252E" w:rsidP="00DA252E">
            <w:pPr>
              <w:spacing w:after="0" w:line="240" w:lineRule="auto"/>
              <w:jc w:val="center"/>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103%</w:t>
            </w:r>
          </w:p>
        </w:tc>
        <w:tc>
          <w:tcPr>
            <w:tcW w:w="118" w:type="pct"/>
            <w:shd w:val="clear" w:color="000000" w:fill="D0D8E8"/>
            <w:hideMark/>
          </w:tcPr>
          <w:p w:rsidR="00DA252E" w:rsidRPr="00041405" w:rsidRDefault="00DA252E" w:rsidP="00DA252E">
            <w:pPr>
              <w:spacing w:after="0" w:line="240" w:lineRule="auto"/>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 </w:t>
            </w:r>
          </w:p>
        </w:tc>
        <w:tc>
          <w:tcPr>
            <w:tcW w:w="791" w:type="pct"/>
            <w:shd w:val="clear" w:color="000000" w:fill="D0D8E8"/>
            <w:vAlign w:val="center"/>
            <w:hideMark/>
          </w:tcPr>
          <w:p w:rsidR="00DA252E" w:rsidRPr="00041405" w:rsidRDefault="00DA252E" w:rsidP="00DA252E">
            <w:pPr>
              <w:spacing w:after="0" w:line="240" w:lineRule="auto"/>
              <w:jc w:val="center"/>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2</w:t>
            </w:r>
            <w:r>
              <w:rPr>
                <w:rFonts w:ascii="Verdana" w:eastAsia="Times New Roman" w:hAnsi="Verdana"/>
                <w:color w:val="000000"/>
                <w:sz w:val="20"/>
                <w:szCs w:val="20"/>
                <w:lang w:eastAsia="es-CO"/>
              </w:rPr>
              <w:t>.</w:t>
            </w:r>
            <w:r w:rsidRPr="00041405">
              <w:rPr>
                <w:rFonts w:ascii="Verdana" w:eastAsia="Times New Roman" w:hAnsi="Verdana"/>
                <w:color w:val="000000"/>
                <w:sz w:val="20"/>
                <w:szCs w:val="20"/>
                <w:lang w:eastAsia="es-CO"/>
              </w:rPr>
              <w:t>600</w:t>
            </w:r>
            <w:r>
              <w:rPr>
                <w:rFonts w:ascii="Verdana" w:eastAsia="Times New Roman" w:hAnsi="Verdana"/>
                <w:color w:val="000000"/>
                <w:sz w:val="20"/>
                <w:szCs w:val="20"/>
                <w:lang w:eastAsia="es-CO"/>
              </w:rPr>
              <w:t>.</w:t>
            </w:r>
            <w:r w:rsidRPr="00041405">
              <w:rPr>
                <w:rFonts w:ascii="Verdana" w:eastAsia="Times New Roman" w:hAnsi="Verdana"/>
                <w:color w:val="000000"/>
                <w:sz w:val="20"/>
                <w:szCs w:val="20"/>
                <w:lang w:eastAsia="es-CO"/>
              </w:rPr>
              <w:t>000</w:t>
            </w:r>
          </w:p>
        </w:tc>
        <w:tc>
          <w:tcPr>
            <w:tcW w:w="792" w:type="pct"/>
            <w:shd w:val="clear" w:color="000000" w:fill="D0D8E8"/>
            <w:vAlign w:val="center"/>
            <w:hideMark/>
          </w:tcPr>
          <w:p w:rsidR="00DA252E" w:rsidRPr="00041405" w:rsidRDefault="00DA252E" w:rsidP="00DA252E">
            <w:pPr>
              <w:spacing w:after="0" w:line="240" w:lineRule="auto"/>
              <w:jc w:val="center"/>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2</w:t>
            </w:r>
            <w:r>
              <w:rPr>
                <w:rFonts w:ascii="Verdana" w:eastAsia="Times New Roman" w:hAnsi="Verdana"/>
                <w:color w:val="000000"/>
                <w:sz w:val="20"/>
                <w:szCs w:val="20"/>
                <w:lang w:eastAsia="es-CO"/>
              </w:rPr>
              <w:t>.</w:t>
            </w:r>
            <w:r w:rsidRPr="00041405">
              <w:rPr>
                <w:rFonts w:ascii="Verdana" w:eastAsia="Times New Roman" w:hAnsi="Verdana"/>
                <w:color w:val="000000"/>
                <w:sz w:val="20"/>
                <w:szCs w:val="20"/>
                <w:lang w:eastAsia="es-CO"/>
              </w:rPr>
              <w:t>676</w:t>
            </w:r>
            <w:r>
              <w:rPr>
                <w:rFonts w:ascii="Verdana" w:eastAsia="Times New Roman" w:hAnsi="Verdana"/>
                <w:color w:val="000000"/>
                <w:sz w:val="20"/>
                <w:szCs w:val="20"/>
                <w:lang w:eastAsia="es-CO"/>
              </w:rPr>
              <w:t>.</w:t>
            </w:r>
            <w:r w:rsidRPr="00041405">
              <w:rPr>
                <w:rFonts w:ascii="Verdana" w:eastAsia="Times New Roman" w:hAnsi="Verdana"/>
                <w:color w:val="000000"/>
                <w:sz w:val="20"/>
                <w:szCs w:val="20"/>
                <w:lang w:eastAsia="es-CO"/>
              </w:rPr>
              <w:t>386</w:t>
            </w:r>
          </w:p>
        </w:tc>
      </w:tr>
      <w:tr w:rsidR="00DA252E" w:rsidRPr="00041405" w:rsidTr="00CB5CC4">
        <w:trPr>
          <w:trHeight w:val="718"/>
        </w:trPr>
        <w:tc>
          <w:tcPr>
            <w:tcW w:w="1451" w:type="pct"/>
            <w:shd w:val="clear" w:color="000000" w:fill="E9EDF4"/>
            <w:hideMark/>
          </w:tcPr>
          <w:p w:rsidR="00DA252E" w:rsidRPr="00041405" w:rsidRDefault="00DA252E" w:rsidP="00DA252E">
            <w:pPr>
              <w:spacing w:after="0" w:line="240" w:lineRule="auto"/>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 xml:space="preserve">Menores Beneficiados con Transferencias Condicionadas </w:t>
            </w:r>
            <w:r w:rsidR="000C569D">
              <w:rPr>
                <w:rFonts w:ascii="Verdana" w:eastAsia="Times New Roman" w:hAnsi="Verdana"/>
                <w:color w:val="000000"/>
                <w:sz w:val="20"/>
                <w:szCs w:val="20"/>
                <w:lang w:eastAsia="es-CO"/>
              </w:rPr>
              <w:t>–</w:t>
            </w:r>
            <w:r w:rsidRPr="00041405">
              <w:rPr>
                <w:rFonts w:ascii="Verdana" w:eastAsia="Times New Roman" w:hAnsi="Verdana"/>
                <w:color w:val="000000"/>
                <w:sz w:val="20"/>
                <w:szCs w:val="20"/>
                <w:lang w:eastAsia="es-CO"/>
              </w:rPr>
              <w:t xml:space="preserve"> MFA</w:t>
            </w:r>
          </w:p>
        </w:tc>
        <w:tc>
          <w:tcPr>
            <w:tcW w:w="658" w:type="pct"/>
            <w:shd w:val="clear" w:color="000000" w:fill="E9EDF4"/>
            <w:vAlign w:val="center"/>
            <w:hideMark/>
          </w:tcPr>
          <w:p w:rsidR="00DA252E" w:rsidRPr="00041405" w:rsidRDefault="00DA252E" w:rsidP="00DA252E">
            <w:pPr>
              <w:spacing w:after="0" w:line="240" w:lineRule="auto"/>
              <w:jc w:val="center"/>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4</w:t>
            </w:r>
            <w:r>
              <w:rPr>
                <w:rFonts w:ascii="Verdana" w:eastAsia="Times New Roman" w:hAnsi="Verdana"/>
                <w:color w:val="000000"/>
                <w:sz w:val="20"/>
                <w:szCs w:val="20"/>
                <w:lang w:eastAsia="es-CO"/>
              </w:rPr>
              <w:t>.</w:t>
            </w:r>
            <w:r w:rsidRPr="00041405">
              <w:rPr>
                <w:rFonts w:ascii="Verdana" w:eastAsia="Times New Roman" w:hAnsi="Verdana"/>
                <w:color w:val="000000"/>
                <w:sz w:val="20"/>
                <w:szCs w:val="20"/>
                <w:lang w:eastAsia="es-CO"/>
              </w:rPr>
              <w:t>880</w:t>
            </w:r>
            <w:r>
              <w:rPr>
                <w:rFonts w:ascii="Verdana" w:eastAsia="Times New Roman" w:hAnsi="Verdana"/>
                <w:color w:val="000000"/>
                <w:sz w:val="20"/>
                <w:szCs w:val="20"/>
                <w:lang w:eastAsia="es-CO"/>
              </w:rPr>
              <w:t>.</w:t>
            </w:r>
            <w:r w:rsidRPr="00041405">
              <w:rPr>
                <w:rFonts w:ascii="Verdana" w:eastAsia="Times New Roman" w:hAnsi="Verdana"/>
                <w:color w:val="000000"/>
                <w:sz w:val="20"/>
                <w:szCs w:val="20"/>
                <w:lang w:eastAsia="es-CO"/>
              </w:rPr>
              <w:t>000</w:t>
            </w:r>
          </w:p>
        </w:tc>
        <w:tc>
          <w:tcPr>
            <w:tcW w:w="658" w:type="pct"/>
            <w:shd w:val="clear" w:color="000000" w:fill="E9EDF4"/>
            <w:vAlign w:val="center"/>
            <w:hideMark/>
          </w:tcPr>
          <w:p w:rsidR="00DA252E" w:rsidRPr="00041405" w:rsidRDefault="00DA252E" w:rsidP="00DA252E">
            <w:pPr>
              <w:spacing w:after="0" w:line="240" w:lineRule="auto"/>
              <w:jc w:val="center"/>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4</w:t>
            </w:r>
            <w:r>
              <w:rPr>
                <w:rFonts w:ascii="Verdana" w:eastAsia="Times New Roman" w:hAnsi="Verdana"/>
                <w:color w:val="000000"/>
                <w:sz w:val="20"/>
                <w:szCs w:val="20"/>
                <w:lang w:eastAsia="es-CO"/>
              </w:rPr>
              <w:t>.</w:t>
            </w:r>
            <w:r w:rsidRPr="00041405">
              <w:rPr>
                <w:rFonts w:ascii="Verdana" w:eastAsia="Times New Roman" w:hAnsi="Verdana"/>
                <w:color w:val="000000"/>
                <w:sz w:val="20"/>
                <w:szCs w:val="20"/>
                <w:lang w:eastAsia="es-CO"/>
              </w:rPr>
              <w:t>807</w:t>
            </w:r>
            <w:r>
              <w:rPr>
                <w:rFonts w:ascii="Verdana" w:eastAsia="Times New Roman" w:hAnsi="Verdana"/>
                <w:color w:val="000000"/>
                <w:sz w:val="20"/>
                <w:szCs w:val="20"/>
                <w:lang w:eastAsia="es-CO"/>
              </w:rPr>
              <w:t>.</w:t>
            </w:r>
            <w:r w:rsidRPr="00041405">
              <w:rPr>
                <w:rFonts w:ascii="Verdana" w:eastAsia="Times New Roman" w:hAnsi="Verdana"/>
                <w:color w:val="000000"/>
                <w:sz w:val="20"/>
                <w:szCs w:val="20"/>
                <w:lang w:eastAsia="es-CO"/>
              </w:rPr>
              <w:t>772</w:t>
            </w:r>
          </w:p>
        </w:tc>
        <w:tc>
          <w:tcPr>
            <w:tcW w:w="532" w:type="pct"/>
            <w:shd w:val="clear" w:color="000000" w:fill="E9EDF4"/>
            <w:hideMark/>
          </w:tcPr>
          <w:p w:rsidR="00DA252E" w:rsidRDefault="00DA252E" w:rsidP="00DA252E">
            <w:pPr>
              <w:spacing w:after="0" w:line="240" w:lineRule="auto"/>
              <w:jc w:val="center"/>
              <w:rPr>
                <w:rFonts w:ascii="Verdana" w:eastAsia="Times New Roman" w:hAnsi="Verdana"/>
                <w:color w:val="000000"/>
                <w:sz w:val="20"/>
                <w:szCs w:val="20"/>
                <w:lang w:eastAsia="es-CO"/>
              </w:rPr>
            </w:pPr>
          </w:p>
          <w:p w:rsidR="00DA252E" w:rsidRPr="00041405" w:rsidRDefault="00DA252E" w:rsidP="00DA252E">
            <w:pPr>
              <w:spacing w:after="0" w:line="240" w:lineRule="auto"/>
              <w:jc w:val="center"/>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99%</w:t>
            </w:r>
          </w:p>
        </w:tc>
        <w:tc>
          <w:tcPr>
            <w:tcW w:w="118" w:type="pct"/>
            <w:shd w:val="clear" w:color="000000" w:fill="E9EDF4"/>
            <w:hideMark/>
          </w:tcPr>
          <w:p w:rsidR="00DA252E" w:rsidRPr="00041405" w:rsidRDefault="00DA252E" w:rsidP="00DA252E">
            <w:pPr>
              <w:spacing w:after="0" w:line="240" w:lineRule="auto"/>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 </w:t>
            </w:r>
          </w:p>
        </w:tc>
        <w:tc>
          <w:tcPr>
            <w:tcW w:w="791" w:type="pct"/>
            <w:shd w:val="clear" w:color="000000" w:fill="E9EDF4"/>
            <w:vAlign w:val="center"/>
            <w:hideMark/>
          </w:tcPr>
          <w:p w:rsidR="00DA252E" w:rsidRPr="00041405" w:rsidRDefault="00DA252E" w:rsidP="00DA252E">
            <w:pPr>
              <w:spacing w:after="0" w:line="240" w:lineRule="auto"/>
              <w:jc w:val="center"/>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4</w:t>
            </w:r>
            <w:r>
              <w:rPr>
                <w:rFonts w:ascii="Verdana" w:eastAsia="Times New Roman" w:hAnsi="Verdana"/>
                <w:color w:val="000000"/>
                <w:sz w:val="20"/>
                <w:szCs w:val="20"/>
                <w:lang w:eastAsia="es-CO"/>
              </w:rPr>
              <w:t>.</w:t>
            </w:r>
            <w:r w:rsidRPr="00041405">
              <w:rPr>
                <w:rFonts w:ascii="Verdana" w:eastAsia="Times New Roman" w:hAnsi="Verdana"/>
                <w:color w:val="000000"/>
                <w:sz w:val="20"/>
                <w:szCs w:val="20"/>
                <w:lang w:eastAsia="es-CO"/>
              </w:rPr>
              <w:t>880</w:t>
            </w:r>
            <w:r>
              <w:rPr>
                <w:rFonts w:ascii="Verdana" w:eastAsia="Times New Roman" w:hAnsi="Verdana"/>
                <w:color w:val="000000"/>
                <w:sz w:val="20"/>
                <w:szCs w:val="20"/>
                <w:lang w:eastAsia="es-CO"/>
              </w:rPr>
              <w:t>.</w:t>
            </w:r>
            <w:r w:rsidRPr="00041405">
              <w:rPr>
                <w:rFonts w:ascii="Verdana" w:eastAsia="Times New Roman" w:hAnsi="Verdana"/>
                <w:color w:val="000000"/>
                <w:sz w:val="20"/>
                <w:szCs w:val="20"/>
                <w:lang w:eastAsia="es-CO"/>
              </w:rPr>
              <w:t>000</w:t>
            </w:r>
          </w:p>
        </w:tc>
        <w:tc>
          <w:tcPr>
            <w:tcW w:w="792" w:type="pct"/>
            <w:shd w:val="clear" w:color="000000" w:fill="E9EDF4"/>
            <w:vAlign w:val="center"/>
            <w:hideMark/>
          </w:tcPr>
          <w:p w:rsidR="00DA252E" w:rsidRPr="00041405" w:rsidRDefault="00DA252E" w:rsidP="00DA252E">
            <w:pPr>
              <w:spacing w:after="0" w:line="240" w:lineRule="auto"/>
              <w:jc w:val="center"/>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4</w:t>
            </w:r>
            <w:r>
              <w:rPr>
                <w:rFonts w:ascii="Verdana" w:eastAsia="Times New Roman" w:hAnsi="Verdana"/>
                <w:color w:val="000000"/>
                <w:sz w:val="20"/>
                <w:szCs w:val="20"/>
                <w:lang w:eastAsia="es-CO"/>
              </w:rPr>
              <w:t>.</w:t>
            </w:r>
            <w:r w:rsidRPr="00041405">
              <w:rPr>
                <w:rFonts w:ascii="Verdana" w:eastAsia="Times New Roman" w:hAnsi="Verdana"/>
                <w:color w:val="000000"/>
                <w:sz w:val="20"/>
                <w:szCs w:val="20"/>
                <w:lang w:eastAsia="es-CO"/>
              </w:rPr>
              <w:t>807</w:t>
            </w:r>
            <w:r>
              <w:rPr>
                <w:rFonts w:ascii="Verdana" w:eastAsia="Times New Roman" w:hAnsi="Verdana"/>
                <w:color w:val="000000"/>
                <w:sz w:val="20"/>
                <w:szCs w:val="20"/>
                <w:lang w:eastAsia="es-CO"/>
              </w:rPr>
              <w:t>.</w:t>
            </w:r>
            <w:r w:rsidRPr="00041405">
              <w:rPr>
                <w:rFonts w:ascii="Verdana" w:eastAsia="Times New Roman" w:hAnsi="Verdana"/>
                <w:color w:val="000000"/>
                <w:sz w:val="20"/>
                <w:szCs w:val="20"/>
                <w:lang w:eastAsia="es-CO"/>
              </w:rPr>
              <w:t>772</w:t>
            </w:r>
          </w:p>
        </w:tc>
      </w:tr>
      <w:tr w:rsidR="00DA252E" w:rsidRPr="00041405" w:rsidTr="00CB5CC4">
        <w:trPr>
          <w:trHeight w:val="718"/>
        </w:trPr>
        <w:tc>
          <w:tcPr>
            <w:tcW w:w="1451" w:type="pct"/>
            <w:shd w:val="clear" w:color="000000" w:fill="E9EDF4"/>
          </w:tcPr>
          <w:p w:rsidR="00DA252E" w:rsidRPr="00041405" w:rsidRDefault="00DA252E" w:rsidP="00DA252E">
            <w:pPr>
              <w:spacing w:after="0" w:line="240" w:lineRule="auto"/>
              <w:rPr>
                <w:rFonts w:ascii="Verdana" w:eastAsia="Times New Roman" w:hAnsi="Verdana"/>
                <w:color w:val="000000"/>
                <w:sz w:val="20"/>
                <w:szCs w:val="20"/>
                <w:lang w:eastAsia="es-CO"/>
              </w:rPr>
            </w:pPr>
            <w:r>
              <w:rPr>
                <w:rFonts w:ascii="Verdana" w:eastAsia="Times New Roman" w:hAnsi="Verdana"/>
                <w:color w:val="000000"/>
                <w:sz w:val="20"/>
                <w:szCs w:val="20"/>
                <w:lang w:eastAsia="es-CO"/>
              </w:rPr>
              <w:t xml:space="preserve">Familias vinculadas al programa ReSA® </w:t>
            </w:r>
          </w:p>
        </w:tc>
        <w:tc>
          <w:tcPr>
            <w:tcW w:w="658" w:type="pct"/>
            <w:shd w:val="clear" w:color="000000" w:fill="E9EDF4"/>
            <w:vAlign w:val="center"/>
          </w:tcPr>
          <w:p w:rsidR="00DA252E" w:rsidRPr="00041405" w:rsidRDefault="00DA252E" w:rsidP="00DA252E">
            <w:pPr>
              <w:spacing w:after="0" w:line="240" w:lineRule="auto"/>
              <w:jc w:val="center"/>
              <w:rPr>
                <w:rFonts w:ascii="Verdana" w:eastAsia="Times New Roman" w:hAnsi="Verdana"/>
                <w:color w:val="000000"/>
                <w:sz w:val="20"/>
                <w:szCs w:val="20"/>
                <w:lang w:eastAsia="es-CO"/>
              </w:rPr>
            </w:pPr>
            <w:r>
              <w:rPr>
                <w:rFonts w:ascii="Verdana" w:eastAsia="Times New Roman" w:hAnsi="Verdana"/>
                <w:color w:val="000000"/>
                <w:sz w:val="20"/>
                <w:szCs w:val="20"/>
                <w:lang w:eastAsia="es-CO"/>
              </w:rPr>
              <w:t>60.000</w:t>
            </w:r>
          </w:p>
        </w:tc>
        <w:tc>
          <w:tcPr>
            <w:tcW w:w="658" w:type="pct"/>
            <w:shd w:val="clear" w:color="000000" w:fill="E9EDF4"/>
            <w:vAlign w:val="center"/>
          </w:tcPr>
          <w:p w:rsidR="00DA252E" w:rsidRPr="00041405" w:rsidRDefault="00DA252E" w:rsidP="00DA252E">
            <w:pPr>
              <w:spacing w:after="0" w:line="240" w:lineRule="auto"/>
              <w:jc w:val="center"/>
              <w:rPr>
                <w:rFonts w:ascii="Verdana" w:eastAsia="Times New Roman" w:hAnsi="Verdana"/>
                <w:color w:val="000000"/>
                <w:sz w:val="20"/>
                <w:szCs w:val="20"/>
                <w:lang w:eastAsia="es-CO"/>
              </w:rPr>
            </w:pPr>
            <w:r>
              <w:rPr>
                <w:rFonts w:ascii="Verdana" w:eastAsia="Times New Roman" w:hAnsi="Verdana"/>
                <w:color w:val="000000"/>
                <w:sz w:val="20"/>
                <w:szCs w:val="20"/>
                <w:lang w:eastAsia="es-CO"/>
              </w:rPr>
              <w:t>69.372</w:t>
            </w:r>
          </w:p>
        </w:tc>
        <w:tc>
          <w:tcPr>
            <w:tcW w:w="532" w:type="pct"/>
            <w:shd w:val="clear" w:color="000000" w:fill="E9EDF4"/>
          </w:tcPr>
          <w:p w:rsidR="00DA252E" w:rsidRDefault="00DA252E" w:rsidP="00DA252E">
            <w:pPr>
              <w:spacing w:after="0" w:line="240" w:lineRule="auto"/>
              <w:jc w:val="center"/>
              <w:rPr>
                <w:rFonts w:ascii="Verdana" w:eastAsia="Times New Roman" w:hAnsi="Verdana"/>
                <w:color w:val="000000"/>
                <w:sz w:val="20"/>
                <w:szCs w:val="20"/>
                <w:lang w:eastAsia="es-CO"/>
              </w:rPr>
            </w:pPr>
          </w:p>
          <w:p w:rsidR="00DA252E" w:rsidRDefault="00DA252E" w:rsidP="00DA252E">
            <w:pPr>
              <w:spacing w:after="0" w:line="240" w:lineRule="auto"/>
              <w:jc w:val="center"/>
              <w:rPr>
                <w:rFonts w:ascii="Verdana" w:eastAsia="Times New Roman" w:hAnsi="Verdana"/>
                <w:color w:val="000000"/>
                <w:sz w:val="20"/>
                <w:szCs w:val="20"/>
                <w:lang w:eastAsia="es-CO"/>
              </w:rPr>
            </w:pPr>
            <w:r>
              <w:rPr>
                <w:rFonts w:ascii="Verdana" w:eastAsia="Times New Roman" w:hAnsi="Verdana"/>
                <w:color w:val="000000"/>
                <w:sz w:val="20"/>
                <w:szCs w:val="20"/>
                <w:lang w:eastAsia="es-CO"/>
              </w:rPr>
              <w:t>116%</w:t>
            </w:r>
          </w:p>
        </w:tc>
        <w:tc>
          <w:tcPr>
            <w:tcW w:w="118" w:type="pct"/>
            <w:shd w:val="clear" w:color="000000" w:fill="E9EDF4"/>
          </w:tcPr>
          <w:p w:rsidR="00DA252E" w:rsidRPr="00041405" w:rsidRDefault="00DA252E" w:rsidP="00DA252E">
            <w:pPr>
              <w:spacing w:after="0" w:line="240" w:lineRule="auto"/>
              <w:rPr>
                <w:rFonts w:ascii="Verdana" w:eastAsia="Times New Roman" w:hAnsi="Verdana"/>
                <w:color w:val="000000"/>
                <w:sz w:val="20"/>
                <w:szCs w:val="20"/>
                <w:lang w:eastAsia="es-CO"/>
              </w:rPr>
            </w:pPr>
          </w:p>
        </w:tc>
        <w:tc>
          <w:tcPr>
            <w:tcW w:w="791" w:type="pct"/>
            <w:shd w:val="clear" w:color="000000" w:fill="E9EDF4"/>
            <w:vAlign w:val="center"/>
          </w:tcPr>
          <w:p w:rsidR="00DA252E" w:rsidRPr="00041405" w:rsidRDefault="00DA252E" w:rsidP="00DA252E">
            <w:pPr>
              <w:spacing w:after="0" w:line="240" w:lineRule="auto"/>
              <w:jc w:val="center"/>
              <w:rPr>
                <w:rFonts w:ascii="Verdana" w:eastAsia="Times New Roman" w:hAnsi="Verdana"/>
                <w:color w:val="000000"/>
                <w:sz w:val="20"/>
                <w:szCs w:val="20"/>
                <w:lang w:eastAsia="es-CO"/>
              </w:rPr>
            </w:pPr>
            <w:r>
              <w:rPr>
                <w:rFonts w:ascii="Verdana" w:eastAsia="Times New Roman" w:hAnsi="Verdana"/>
                <w:color w:val="000000"/>
                <w:sz w:val="20"/>
                <w:szCs w:val="20"/>
                <w:lang w:eastAsia="es-CO"/>
              </w:rPr>
              <w:t>234.354</w:t>
            </w:r>
          </w:p>
        </w:tc>
        <w:tc>
          <w:tcPr>
            <w:tcW w:w="792" w:type="pct"/>
            <w:shd w:val="clear" w:color="000000" w:fill="E9EDF4"/>
            <w:vAlign w:val="center"/>
          </w:tcPr>
          <w:p w:rsidR="00DA252E" w:rsidRPr="00041405" w:rsidRDefault="00DA252E" w:rsidP="00DA252E">
            <w:pPr>
              <w:spacing w:after="0" w:line="240" w:lineRule="auto"/>
              <w:jc w:val="center"/>
              <w:rPr>
                <w:rFonts w:ascii="Verdana" w:eastAsia="Times New Roman" w:hAnsi="Verdana"/>
                <w:color w:val="000000"/>
                <w:sz w:val="20"/>
                <w:szCs w:val="20"/>
                <w:lang w:eastAsia="es-CO"/>
              </w:rPr>
            </w:pPr>
            <w:r>
              <w:rPr>
                <w:rFonts w:ascii="Verdana" w:eastAsia="Times New Roman" w:hAnsi="Verdana"/>
                <w:color w:val="000000"/>
                <w:sz w:val="20"/>
                <w:szCs w:val="20"/>
                <w:lang w:eastAsia="es-CO"/>
              </w:rPr>
              <w:t>261.131</w:t>
            </w:r>
          </w:p>
        </w:tc>
      </w:tr>
      <w:tr w:rsidR="00DA252E" w:rsidRPr="00041405" w:rsidTr="00CB5CC4">
        <w:trPr>
          <w:trHeight w:val="634"/>
        </w:trPr>
        <w:tc>
          <w:tcPr>
            <w:tcW w:w="1451" w:type="pct"/>
            <w:shd w:val="clear" w:color="000000" w:fill="D0D8E8"/>
            <w:hideMark/>
          </w:tcPr>
          <w:p w:rsidR="00DA252E" w:rsidRPr="00041405" w:rsidRDefault="00DA252E" w:rsidP="00DA252E">
            <w:pPr>
              <w:spacing w:after="0" w:line="240" w:lineRule="auto"/>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Personas atendidas con el componente Empleo temporal</w:t>
            </w:r>
          </w:p>
        </w:tc>
        <w:tc>
          <w:tcPr>
            <w:tcW w:w="658" w:type="pct"/>
            <w:shd w:val="clear" w:color="000000" w:fill="D0D8E8"/>
            <w:vAlign w:val="center"/>
            <w:hideMark/>
          </w:tcPr>
          <w:p w:rsidR="00DA252E" w:rsidRPr="00041405" w:rsidRDefault="00DA252E" w:rsidP="00DA252E">
            <w:pPr>
              <w:spacing w:after="0" w:line="240" w:lineRule="auto"/>
              <w:jc w:val="center"/>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7</w:t>
            </w:r>
            <w:r>
              <w:rPr>
                <w:rFonts w:ascii="Verdana" w:eastAsia="Times New Roman" w:hAnsi="Verdana"/>
                <w:color w:val="000000"/>
                <w:sz w:val="20"/>
                <w:szCs w:val="20"/>
                <w:lang w:eastAsia="es-CO"/>
              </w:rPr>
              <w:t>.</w:t>
            </w:r>
            <w:r w:rsidRPr="00041405">
              <w:rPr>
                <w:rFonts w:ascii="Verdana" w:eastAsia="Times New Roman" w:hAnsi="Verdana"/>
                <w:color w:val="000000"/>
                <w:sz w:val="20"/>
                <w:szCs w:val="20"/>
                <w:lang w:eastAsia="es-CO"/>
              </w:rPr>
              <w:t>757</w:t>
            </w:r>
          </w:p>
        </w:tc>
        <w:tc>
          <w:tcPr>
            <w:tcW w:w="658" w:type="pct"/>
            <w:shd w:val="clear" w:color="000000" w:fill="D0D8E8"/>
            <w:vAlign w:val="center"/>
            <w:hideMark/>
          </w:tcPr>
          <w:p w:rsidR="00DA252E" w:rsidRPr="00041405" w:rsidRDefault="00DA252E" w:rsidP="00DA252E">
            <w:pPr>
              <w:spacing w:after="0" w:line="240" w:lineRule="auto"/>
              <w:jc w:val="center"/>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11</w:t>
            </w:r>
            <w:r>
              <w:rPr>
                <w:rFonts w:ascii="Verdana" w:eastAsia="Times New Roman" w:hAnsi="Verdana"/>
                <w:color w:val="000000"/>
                <w:sz w:val="20"/>
                <w:szCs w:val="20"/>
                <w:lang w:eastAsia="es-CO"/>
              </w:rPr>
              <w:t>.</w:t>
            </w:r>
            <w:r w:rsidRPr="00041405">
              <w:rPr>
                <w:rFonts w:ascii="Verdana" w:eastAsia="Times New Roman" w:hAnsi="Verdana"/>
                <w:color w:val="000000"/>
                <w:sz w:val="20"/>
                <w:szCs w:val="20"/>
                <w:lang w:eastAsia="es-CO"/>
              </w:rPr>
              <w:t>325</w:t>
            </w:r>
          </w:p>
        </w:tc>
        <w:tc>
          <w:tcPr>
            <w:tcW w:w="532" w:type="pct"/>
            <w:shd w:val="clear" w:color="000000" w:fill="D0D8E8"/>
            <w:hideMark/>
          </w:tcPr>
          <w:p w:rsidR="00DA252E" w:rsidRDefault="00DA252E" w:rsidP="00DA252E">
            <w:pPr>
              <w:spacing w:after="0" w:line="240" w:lineRule="auto"/>
              <w:jc w:val="center"/>
              <w:rPr>
                <w:rFonts w:ascii="Verdana" w:eastAsia="Times New Roman" w:hAnsi="Verdana"/>
                <w:color w:val="000000"/>
                <w:sz w:val="20"/>
                <w:szCs w:val="20"/>
                <w:lang w:eastAsia="es-CO"/>
              </w:rPr>
            </w:pPr>
          </w:p>
          <w:p w:rsidR="00DA252E" w:rsidRPr="00041405" w:rsidRDefault="00DA252E" w:rsidP="00DA252E">
            <w:pPr>
              <w:spacing w:after="0" w:line="240" w:lineRule="auto"/>
              <w:jc w:val="center"/>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146%</w:t>
            </w:r>
          </w:p>
        </w:tc>
        <w:tc>
          <w:tcPr>
            <w:tcW w:w="118" w:type="pct"/>
            <w:shd w:val="clear" w:color="000000" w:fill="D0D8E8"/>
            <w:hideMark/>
          </w:tcPr>
          <w:p w:rsidR="00DA252E" w:rsidRPr="00041405" w:rsidRDefault="00DA252E" w:rsidP="00DA252E">
            <w:pPr>
              <w:spacing w:after="0" w:line="240" w:lineRule="auto"/>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 </w:t>
            </w:r>
          </w:p>
        </w:tc>
        <w:tc>
          <w:tcPr>
            <w:tcW w:w="791" w:type="pct"/>
            <w:shd w:val="clear" w:color="000000" w:fill="D0D8E8"/>
            <w:vAlign w:val="center"/>
            <w:hideMark/>
          </w:tcPr>
          <w:p w:rsidR="00DA252E" w:rsidRPr="00041405" w:rsidRDefault="00DA252E" w:rsidP="00DA252E">
            <w:pPr>
              <w:spacing w:after="0" w:line="240" w:lineRule="auto"/>
              <w:jc w:val="center"/>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N.A</w:t>
            </w:r>
          </w:p>
        </w:tc>
        <w:tc>
          <w:tcPr>
            <w:tcW w:w="792" w:type="pct"/>
            <w:shd w:val="clear" w:color="000000" w:fill="D0D8E8"/>
            <w:vAlign w:val="center"/>
            <w:hideMark/>
          </w:tcPr>
          <w:p w:rsidR="00DA252E" w:rsidRPr="00041405" w:rsidRDefault="00DA252E" w:rsidP="00DA252E">
            <w:pPr>
              <w:spacing w:after="0" w:line="240" w:lineRule="auto"/>
              <w:jc w:val="center"/>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 </w:t>
            </w:r>
          </w:p>
        </w:tc>
      </w:tr>
      <w:tr w:rsidR="00DA252E" w:rsidRPr="00041405" w:rsidTr="00CB5CC4">
        <w:trPr>
          <w:trHeight w:val="1028"/>
        </w:trPr>
        <w:tc>
          <w:tcPr>
            <w:tcW w:w="1451" w:type="pct"/>
            <w:shd w:val="clear" w:color="000000" w:fill="E9EDF4"/>
            <w:hideMark/>
          </w:tcPr>
          <w:p w:rsidR="00DA252E" w:rsidRPr="00041405" w:rsidRDefault="00DA252E" w:rsidP="00DA252E">
            <w:pPr>
              <w:spacing w:after="0" w:line="240" w:lineRule="auto"/>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Personas vinculadas en programas de generación de ingresos que mejoran su potencial productivo</w:t>
            </w:r>
          </w:p>
        </w:tc>
        <w:tc>
          <w:tcPr>
            <w:tcW w:w="658" w:type="pct"/>
            <w:shd w:val="clear" w:color="000000" w:fill="E9EDF4"/>
            <w:vAlign w:val="center"/>
            <w:hideMark/>
          </w:tcPr>
          <w:p w:rsidR="00DA252E" w:rsidRPr="00041405" w:rsidRDefault="00DA252E" w:rsidP="00DA252E">
            <w:pPr>
              <w:spacing w:after="0" w:line="240" w:lineRule="auto"/>
              <w:jc w:val="center"/>
              <w:rPr>
                <w:rFonts w:ascii="Verdana" w:eastAsia="Times New Roman" w:hAnsi="Verdana"/>
                <w:color w:val="000000"/>
                <w:sz w:val="20"/>
                <w:szCs w:val="20"/>
                <w:lang w:eastAsia="es-CO"/>
              </w:rPr>
            </w:pPr>
            <w:r>
              <w:rPr>
                <w:rFonts w:ascii="Verdana" w:eastAsia="Times New Roman" w:hAnsi="Verdana"/>
                <w:color w:val="000000"/>
                <w:sz w:val="20"/>
                <w:szCs w:val="20"/>
                <w:lang w:eastAsia="es-CO"/>
              </w:rPr>
              <w:t>50.650</w:t>
            </w:r>
          </w:p>
        </w:tc>
        <w:tc>
          <w:tcPr>
            <w:tcW w:w="658" w:type="pct"/>
            <w:shd w:val="clear" w:color="000000" w:fill="E9EDF4"/>
            <w:vAlign w:val="center"/>
            <w:hideMark/>
          </w:tcPr>
          <w:p w:rsidR="00DA252E" w:rsidRPr="00041405" w:rsidRDefault="00DA252E" w:rsidP="00DA252E">
            <w:pPr>
              <w:spacing w:after="0" w:line="240" w:lineRule="auto"/>
              <w:jc w:val="center"/>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49</w:t>
            </w:r>
            <w:r>
              <w:rPr>
                <w:rFonts w:ascii="Verdana" w:eastAsia="Times New Roman" w:hAnsi="Verdana"/>
                <w:color w:val="000000"/>
                <w:sz w:val="20"/>
                <w:szCs w:val="20"/>
                <w:lang w:eastAsia="es-CO"/>
              </w:rPr>
              <w:t>.</w:t>
            </w:r>
            <w:r w:rsidRPr="00041405">
              <w:rPr>
                <w:rFonts w:ascii="Verdana" w:eastAsia="Times New Roman" w:hAnsi="Verdana"/>
                <w:color w:val="000000"/>
                <w:sz w:val="20"/>
                <w:szCs w:val="20"/>
                <w:lang w:eastAsia="es-CO"/>
              </w:rPr>
              <w:t>601</w:t>
            </w:r>
          </w:p>
        </w:tc>
        <w:tc>
          <w:tcPr>
            <w:tcW w:w="532" w:type="pct"/>
            <w:shd w:val="clear" w:color="000000" w:fill="E9EDF4"/>
            <w:hideMark/>
          </w:tcPr>
          <w:p w:rsidR="00DA252E" w:rsidRDefault="00DA252E" w:rsidP="00DA252E">
            <w:pPr>
              <w:spacing w:after="0" w:line="240" w:lineRule="auto"/>
              <w:jc w:val="center"/>
              <w:rPr>
                <w:rFonts w:ascii="Verdana" w:eastAsia="Times New Roman" w:hAnsi="Verdana"/>
                <w:color w:val="000000"/>
                <w:sz w:val="20"/>
                <w:szCs w:val="20"/>
                <w:lang w:eastAsia="es-CO"/>
              </w:rPr>
            </w:pPr>
          </w:p>
          <w:p w:rsidR="00DA252E" w:rsidRDefault="00DA252E" w:rsidP="00DA252E">
            <w:pPr>
              <w:spacing w:after="0" w:line="240" w:lineRule="auto"/>
              <w:jc w:val="center"/>
              <w:rPr>
                <w:rFonts w:ascii="Verdana" w:eastAsia="Times New Roman" w:hAnsi="Verdana"/>
                <w:color w:val="000000"/>
                <w:sz w:val="20"/>
                <w:szCs w:val="20"/>
                <w:lang w:eastAsia="es-CO"/>
              </w:rPr>
            </w:pPr>
          </w:p>
          <w:p w:rsidR="00DA252E" w:rsidRPr="00041405" w:rsidRDefault="00DA252E" w:rsidP="00DA252E">
            <w:pPr>
              <w:spacing w:after="0" w:line="240" w:lineRule="auto"/>
              <w:jc w:val="center"/>
              <w:rPr>
                <w:rFonts w:ascii="Verdana" w:eastAsia="Times New Roman" w:hAnsi="Verdana"/>
                <w:color w:val="000000"/>
                <w:sz w:val="20"/>
                <w:szCs w:val="20"/>
                <w:lang w:eastAsia="es-CO"/>
              </w:rPr>
            </w:pPr>
            <w:r>
              <w:rPr>
                <w:rFonts w:ascii="Verdana" w:eastAsia="Times New Roman" w:hAnsi="Verdana"/>
                <w:color w:val="000000"/>
                <w:sz w:val="20"/>
                <w:szCs w:val="20"/>
                <w:lang w:eastAsia="es-CO"/>
              </w:rPr>
              <w:t>98</w:t>
            </w:r>
            <w:r w:rsidRPr="00041405">
              <w:rPr>
                <w:rFonts w:ascii="Verdana" w:eastAsia="Times New Roman" w:hAnsi="Verdana"/>
                <w:color w:val="000000"/>
                <w:sz w:val="20"/>
                <w:szCs w:val="20"/>
                <w:lang w:eastAsia="es-CO"/>
              </w:rPr>
              <w:t>%</w:t>
            </w:r>
          </w:p>
        </w:tc>
        <w:tc>
          <w:tcPr>
            <w:tcW w:w="118" w:type="pct"/>
            <w:shd w:val="clear" w:color="000000" w:fill="E9EDF4"/>
            <w:hideMark/>
          </w:tcPr>
          <w:p w:rsidR="00DA252E" w:rsidRPr="00041405" w:rsidRDefault="00DA252E" w:rsidP="00DA252E">
            <w:pPr>
              <w:spacing w:after="0" w:line="240" w:lineRule="auto"/>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 </w:t>
            </w:r>
          </w:p>
        </w:tc>
        <w:tc>
          <w:tcPr>
            <w:tcW w:w="791" w:type="pct"/>
            <w:shd w:val="clear" w:color="000000" w:fill="E9EDF4"/>
            <w:vAlign w:val="center"/>
            <w:hideMark/>
          </w:tcPr>
          <w:p w:rsidR="00DA252E" w:rsidRPr="00041405" w:rsidRDefault="00DA252E" w:rsidP="00DA252E">
            <w:pPr>
              <w:spacing w:after="0" w:line="240" w:lineRule="auto"/>
              <w:jc w:val="center"/>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174</w:t>
            </w:r>
            <w:r>
              <w:rPr>
                <w:rFonts w:ascii="Verdana" w:eastAsia="Times New Roman" w:hAnsi="Verdana"/>
                <w:color w:val="000000"/>
                <w:sz w:val="20"/>
                <w:szCs w:val="20"/>
                <w:lang w:eastAsia="es-CO"/>
              </w:rPr>
              <w:t>.</w:t>
            </w:r>
            <w:r w:rsidRPr="00041405">
              <w:rPr>
                <w:rFonts w:ascii="Verdana" w:eastAsia="Times New Roman" w:hAnsi="Verdana"/>
                <w:color w:val="000000"/>
                <w:sz w:val="20"/>
                <w:szCs w:val="20"/>
                <w:lang w:eastAsia="es-CO"/>
              </w:rPr>
              <w:t>500</w:t>
            </w:r>
          </w:p>
        </w:tc>
        <w:tc>
          <w:tcPr>
            <w:tcW w:w="792" w:type="pct"/>
            <w:shd w:val="clear" w:color="000000" w:fill="E9EDF4"/>
            <w:vAlign w:val="center"/>
            <w:hideMark/>
          </w:tcPr>
          <w:p w:rsidR="00DA252E" w:rsidRPr="00041405" w:rsidRDefault="00DA252E" w:rsidP="00DA252E">
            <w:pPr>
              <w:spacing w:after="0" w:line="240" w:lineRule="auto"/>
              <w:jc w:val="center"/>
              <w:rPr>
                <w:rFonts w:ascii="Verdana" w:eastAsia="Times New Roman" w:hAnsi="Verdana"/>
                <w:color w:val="000000"/>
                <w:sz w:val="20"/>
                <w:szCs w:val="20"/>
                <w:lang w:eastAsia="es-CO"/>
              </w:rPr>
            </w:pPr>
            <w:r>
              <w:rPr>
                <w:rFonts w:ascii="Verdana" w:eastAsia="Times New Roman" w:hAnsi="Verdana"/>
                <w:color w:val="000000"/>
                <w:sz w:val="20"/>
                <w:szCs w:val="20"/>
                <w:lang w:eastAsia="es-CO"/>
              </w:rPr>
              <w:t>214.</w:t>
            </w:r>
            <w:r w:rsidRPr="00041405">
              <w:rPr>
                <w:rFonts w:ascii="Verdana" w:eastAsia="Times New Roman" w:hAnsi="Verdana"/>
                <w:color w:val="000000"/>
                <w:sz w:val="20"/>
                <w:szCs w:val="20"/>
                <w:lang w:eastAsia="es-CO"/>
              </w:rPr>
              <w:t>3</w:t>
            </w:r>
            <w:r>
              <w:rPr>
                <w:rFonts w:ascii="Verdana" w:eastAsia="Times New Roman" w:hAnsi="Verdana"/>
                <w:color w:val="000000"/>
                <w:sz w:val="20"/>
                <w:szCs w:val="20"/>
                <w:lang w:eastAsia="es-CO"/>
              </w:rPr>
              <w:t>3</w:t>
            </w:r>
            <w:r w:rsidRPr="00041405">
              <w:rPr>
                <w:rFonts w:ascii="Verdana" w:eastAsia="Times New Roman" w:hAnsi="Verdana"/>
                <w:color w:val="000000"/>
                <w:sz w:val="20"/>
                <w:szCs w:val="20"/>
                <w:lang w:eastAsia="es-CO"/>
              </w:rPr>
              <w:t>4</w:t>
            </w:r>
          </w:p>
        </w:tc>
      </w:tr>
      <w:tr w:rsidR="00DA252E" w:rsidRPr="00041405" w:rsidTr="00CB5CC4">
        <w:trPr>
          <w:trHeight w:val="535"/>
        </w:trPr>
        <w:tc>
          <w:tcPr>
            <w:tcW w:w="1451" w:type="pct"/>
            <w:shd w:val="clear" w:color="000000" w:fill="D0D8E8"/>
            <w:hideMark/>
          </w:tcPr>
          <w:p w:rsidR="00DA252E" w:rsidRPr="00041405" w:rsidRDefault="00DA252E" w:rsidP="00DA252E">
            <w:pPr>
              <w:spacing w:after="0" w:line="240" w:lineRule="auto"/>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Mujeres Ahorradoras Vinculadas</w:t>
            </w:r>
          </w:p>
        </w:tc>
        <w:tc>
          <w:tcPr>
            <w:tcW w:w="658" w:type="pct"/>
            <w:shd w:val="clear" w:color="000000" w:fill="D0D8E8"/>
            <w:vAlign w:val="center"/>
            <w:hideMark/>
          </w:tcPr>
          <w:p w:rsidR="00DA252E" w:rsidRPr="00041405" w:rsidRDefault="00DA252E" w:rsidP="00DA252E">
            <w:pPr>
              <w:spacing w:after="0" w:line="240" w:lineRule="auto"/>
              <w:jc w:val="center"/>
              <w:rPr>
                <w:rFonts w:ascii="Verdana" w:eastAsia="Times New Roman" w:hAnsi="Verdana"/>
                <w:color w:val="000000"/>
                <w:sz w:val="20"/>
                <w:szCs w:val="20"/>
                <w:lang w:eastAsia="es-CO"/>
              </w:rPr>
            </w:pPr>
            <w:r>
              <w:rPr>
                <w:rFonts w:ascii="Verdana" w:eastAsia="Times New Roman" w:hAnsi="Verdana"/>
                <w:color w:val="000000"/>
                <w:sz w:val="20"/>
                <w:szCs w:val="20"/>
                <w:lang w:eastAsia="es-CO"/>
              </w:rPr>
              <w:t>54.55</w:t>
            </w:r>
            <w:r w:rsidRPr="00041405">
              <w:rPr>
                <w:rFonts w:ascii="Verdana" w:eastAsia="Times New Roman" w:hAnsi="Verdana"/>
                <w:color w:val="000000"/>
                <w:sz w:val="20"/>
                <w:szCs w:val="20"/>
                <w:lang w:eastAsia="es-CO"/>
              </w:rPr>
              <w:t>0</w:t>
            </w:r>
          </w:p>
        </w:tc>
        <w:tc>
          <w:tcPr>
            <w:tcW w:w="658" w:type="pct"/>
            <w:shd w:val="clear" w:color="000000" w:fill="D0D8E8"/>
            <w:vAlign w:val="center"/>
            <w:hideMark/>
          </w:tcPr>
          <w:p w:rsidR="00DA252E" w:rsidRPr="00041405" w:rsidRDefault="00DA252E" w:rsidP="00DA252E">
            <w:pPr>
              <w:spacing w:after="0" w:line="240" w:lineRule="auto"/>
              <w:jc w:val="center"/>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47</w:t>
            </w:r>
            <w:r>
              <w:rPr>
                <w:rFonts w:ascii="Verdana" w:eastAsia="Times New Roman" w:hAnsi="Verdana"/>
                <w:color w:val="000000"/>
                <w:sz w:val="20"/>
                <w:szCs w:val="20"/>
                <w:lang w:eastAsia="es-CO"/>
              </w:rPr>
              <w:t>.</w:t>
            </w:r>
            <w:r w:rsidRPr="00041405">
              <w:rPr>
                <w:rFonts w:ascii="Verdana" w:eastAsia="Times New Roman" w:hAnsi="Verdana"/>
                <w:color w:val="000000"/>
                <w:sz w:val="20"/>
                <w:szCs w:val="20"/>
                <w:lang w:eastAsia="es-CO"/>
              </w:rPr>
              <w:t>043</w:t>
            </w:r>
          </w:p>
        </w:tc>
        <w:tc>
          <w:tcPr>
            <w:tcW w:w="532" w:type="pct"/>
            <w:shd w:val="clear" w:color="000000" w:fill="D0D8E8"/>
            <w:hideMark/>
          </w:tcPr>
          <w:p w:rsidR="00DA252E" w:rsidRDefault="00DA252E" w:rsidP="00DA252E">
            <w:pPr>
              <w:spacing w:after="0" w:line="240" w:lineRule="auto"/>
              <w:jc w:val="center"/>
              <w:rPr>
                <w:rFonts w:ascii="Verdana" w:eastAsia="Times New Roman" w:hAnsi="Verdana"/>
                <w:color w:val="000000"/>
                <w:sz w:val="20"/>
                <w:szCs w:val="20"/>
                <w:lang w:eastAsia="es-CO"/>
              </w:rPr>
            </w:pPr>
          </w:p>
          <w:p w:rsidR="00DA252E" w:rsidRPr="00041405" w:rsidRDefault="00DA252E" w:rsidP="00DA252E">
            <w:pPr>
              <w:spacing w:after="0" w:line="240" w:lineRule="auto"/>
              <w:jc w:val="center"/>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8</w:t>
            </w:r>
            <w:r>
              <w:rPr>
                <w:rFonts w:ascii="Verdana" w:eastAsia="Times New Roman" w:hAnsi="Verdana"/>
                <w:color w:val="000000"/>
                <w:sz w:val="20"/>
                <w:szCs w:val="20"/>
                <w:lang w:eastAsia="es-CO"/>
              </w:rPr>
              <w:t>6</w:t>
            </w:r>
            <w:r w:rsidRPr="00041405">
              <w:rPr>
                <w:rFonts w:ascii="Verdana" w:eastAsia="Times New Roman" w:hAnsi="Verdana"/>
                <w:color w:val="000000"/>
                <w:sz w:val="20"/>
                <w:szCs w:val="20"/>
                <w:lang w:eastAsia="es-CO"/>
              </w:rPr>
              <w:t>%</w:t>
            </w:r>
          </w:p>
        </w:tc>
        <w:tc>
          <w:tcPr>
            <w:tcW w:w="118" w:type="pct"/>
            <w:shd w:val="clear" w:color="000000" w:fill="D0D8E8"/>
            <w:hideMark/>
          </w:tcPr>
          <w:p w:rsidR="00DA252E" w:rsidRPr="00041405" w:rsidRDefault="00DA252E" w:rsidP="00DA252E">
            <w:pPr>
              <w:spacing w:after="0" w:line="240" w:lineRule="auto"/>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 </w:t>
            </w:r>
          </w:p>
        </w:tc>
        <w:tc>
          <w:tcPr>
            <w:tcW w:w="791" w:type="pct"/>
            <w:shd w:val="clear" w:color="000000" w:fill="D0D8E8"/>
            <w:vAlign w:val="center"/>
            <w:hideMark/>
          </w:tcPr>
          <w:p w:rsidR="00DA252E" w:rsidRPr="00041405" w:rsidRDefault="00DA252E" w:rsidP="00DA252E">
            <w:pPr>
              <w:spacing w:after="0" w:line="240" w:lineRule="auto"/>
              <w:jc w:val="center"/>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319</w:t>
            </w:r>
            <w:r>
              <w:rPr>
                <w:rFonts w:ascii="Verdana" w:eastAsia="Times New Roman" w:hAnsi="Verdana"/>
                <w:color w:val="000000"/>
                <w:sz w:val="20"/>
                <w:szCs w:val="20"/>
                <w:lang w:eastAsia="es-CO"/>
              </w:rPr>
              <w:t>.</w:t>
            </w:r>
            <w:r w:rsidRPr="00041405">
              <w:rPr>
                <w:rFonts w:ascii="Verdana" w:eastAsia="Times New Roman" w:hAnsi="Verdana"/>
                <w:color w:val="000000"/>
                <w:sz w:val="20"/>
                <w:szCs w:val="20"/>
                <w:lang w:eastAsia="es-CO"/>
              </w:rPr>
              <w:t>950</w:t>
            </w:r>
          </w:p>
        </w:tc>
        <w:tc>
          <w:tcPr>
            <w:tcW w:w="792" w:type="pct"/>
            <w:shd w:val="clear" w:color="000000" w:fill="D0D8E8"/>
            <w:vAlign w:val="center"/>
            <w:hideMark/>
          </w:tcPr>
          <w:p w:rsidR="00DA252E" w:rsidRPr="00041405" w:rsidRDefault="00DA252E" w:rsidP="00DA252E">
            <w:pPr>
              <w:spacing w:after="0" w:line="240" w:lineRule="auto"/>
              <w:jc w:val="center"/>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2</w:t>
            </w:r>
            <w:r>
              <w:rPr>
                <w:rFonts w:ascii="Verdana" w:eastAsia="Times New Roman" w:hAnsi="Verdana"/>
                <w:color w:val="000000"/>
                <w:sz w:val="20"/>
                <w:szCs w:val="20"/>
                <w:lang w:eastAsia="es-CO"/>
              </w:rPr>
              <w:t>44.733</w:t>
            </w:r>
          </w:p>
        </w:tc>
      </w:tr>
      <w:tr w:rsidR="00DA252E" w:rsidRPr="00041405" w:rsidTr="00CB5CC4">
        <w:trPr>
          <w:trHeight w:val="620"/>
        </w:trPr>
        <w:tc>
          <w:tcPr>
            <w:tcW w:w="1451" w:type="pct"/>
            <w:shd w:val="clear" w:color="000000" w:fill="E9EDF4"/>
            <w:hideMark/>
          </w:tcPr>
          <w:p w:rsidR="00DA252E" w:rsidRDefault="00DA252E" w:rsidP="00DA252E">
            <w:pPr>
              <w:spacing w:after="0" w:line="240" w:lineRule="auto"/>
              <w:rPr>
                <w:rFonts w:ascii="Verdana" w:eastAsia="Times New Roman" w:hAnsi="Verdana"/>
                <w:color w:val="000000"/>
                <w:sz w:val="20"/>
                <w:szCs w:val="20"/>
                <w:lang w:eastAsia="es-CO"/>
              </w:rPr>
            </w:pPr>
          </w:p>
          <w:p w:rsidR="00DA252E" w:rsidRPr="00041405" w:rsidRDefault="00DA252E" w:rsidP="00DA252E">
            <w:pPr>
              <w:spacing w:after="0" w:line="240" w:lineRule="auto"/>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Obras entregadas</w:t>
            </w:r>
          </w:p>
        </w:tc>
        <w:tc>
          <w:tcPr>
            <w:tcW w:w="658" w:type="pct"/>
            <w:shd w:val="clear" w:color="000000" w:fill="E9EDF4"/>
            <w:vAlign w:val="center"/>
            <w:hideMark/>
          </w:tcPr>
          <w:p w:rsidR="00DA252E" w:rsidRPr="00041405" w:rsidRDefault="00DA252E" w:rsidP="00DA252E">
            <w:pPr>
              <w:spacing w:after="0" w:line="240" w:lineRule="auto"/>
              <w:jc w:val="center"/>
              <w:rPr>
                <w:rFonts w:ascii="Verdana" w:eastAsia="Times New Roman" w:hAnsi="Verdana"/>
                <w:color w:val="000000"/>
                <w:sz w:val="20"/>
                <w:szCs w:val="20"/>
                <w:lang w:eastAsia="es-CO"/>
              </w:rPr>
            </w:pPr>
            <w:r>
              <w:rPr>
                <w:rFonts w:ascii="Verdana" w:eastAsia="Times New Roman" w:hAnsi="Verdana"/>
                <w:color w:val="000000"/>
                <w:sz w:val="20"/>
                <w:szCs w:val="20"/>
                <w:lang w:eastAsia="es-CO"/>
              </w:rPr>
              <w:t>126</w:t>
            </w:r>
          </w:p>
        </w:tc>
        <w:tc>
          <w:tcPr>
            <w:tcW w:w="658" w:type="pct"/>
            <w:shd w:val="clear" w:color="000000" w:fill="E9EDF4"/>
            <w:vAlign w:val="center"/>
            <w:hideMark/>
          </w:tcPr>
          <w:p w:rsidR="00DA252E" w:rsidRPr="00041405" w:rsidRDefault="00DA252E" w:rsidP="00DA252E">
            <w:pPr>
              <w:spacing w:after="0" w:line="240" w:lineRule="auto"/>
              <w:jc w:val="center"/>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115</w:t>
            </w:r>
          </w:p>
        </w:tc>
        <w:tc>
          <w:tcPr>
            <w:tcW w:w="532" w:type="pct"/>
            <w:shd w:val="clear" w:color="000000" w:fill="E9EDF4"/>
            <w:hideMark/>
          </w:tcPr>
          <w:p w:rsidR="00DA252E" w:rsidRDefault="00DA252E" w:rsidP="00DA252E">
            <w:pPr>
              <w:spacing w:after="0" w:line="240" w:lineRule="auto"/>
              <w:jc w:val="center"/>
              <w:rPr>
                <w:rFonts w:ascii="Verdana" w:eastAsia="Times New Roman" w:hAnsi="Verdana"/>
                <w:color w:val="000000"/>
                <w:sz w:val="20"/>
                <w:szCs w:val="20"/>
                <w:lang w:eastAsia="es-CO"/>
              </w:rPr>
            </w:pPr>
          </w:p>
          <w:p w:rsidR="00DA252E" w:rsidRPr="00041405" w:rsidRDefault="00DA252E" w:rsidP="00DA252E">
            <w:pPr>
              <w:spacing w:after="0" w:line="240" w:lineRule="auto"/>
              <w:jc w:val="center"/>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9</w:t>
            </w:r>
            <w:r>
              <w:rPr>
                <w:rFonts w:ascii="Verdana" w:eastAsia="Times New Roman" w:hAnsi="Verdana"/>
                <w:color w:val="000000"/>
                <w:sz w:val="20"/>
                <w:szCs w:val="20"/>
                <w:lang w:eastAsia="es-CO"/>
              </w:rPr>
              <w:t>1</w:t>
            </w:r>
            <w:r w:rsidRPr="00041405">
              <w:rPr>
                <w:rFonts w:ascii="Verdana" w:eastAsia="Times New Roman" w:hAnsi="Verdana"/>
                <w:color w:val="000000"/>
                <w:sz w:val="20"/>
                <w:szCs w:val="20"/>
                <w:lang w:eastAsia="es-CO"/>
              </w:rPr>
              <w:t>%</w:t>
            </w:r>
          </w:p>
        </w:tc>
        <w:tc>
          <w:tcPr>
            <w:tcW w:w="118" w:type="pct"/>
            <w:shd w:val="clear" w:color="000000" w:fill="E9EDF4"/>
            <w:hideMark/>
          </w:tcPr>
          <w:p w:rsidR="00DA252E" w:rsidRPr="00041405" w:rsidRDefault="00DA252E" w:rsidP="00DA252E">
            <w:pPr>
              <w:spacing w:after="0" w:line="240" w:lineRule="auto"/>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 </w:t>
            </w:r>
          </w:p>
        </w:tc>
        <w:tc>
          <w:tcPr>
            <w:tcW w:w="791" w:type="pct"/>
            <w:shd w:val="clear" w:color="000000" w:fill="E9EDF4"/>
            <w:vAlign w:val="center"/>
            <w:hideMark/>
          </w:tcPr>
          <w:p w:rsidR="00DA252E" w:rsidRPr="00041405" w:rsidRDefault="00DA252E" w:rsidP="00DA252E">
            <w:pPr>
              <w:spacing w:after="0" w:line="240" w:lineRule="auto"/>
              <w:jc w:val="center"/>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N.A</w:t>
            </w:r>
          </w:p>
        </w:tc>
        <w:tc>
          <w:tcPr>
            <w:tcW w:w="792" w:type="pct"/>
            <w:shd w:val="clear" w:color="000000" w:fill="E9EDF4"/>
            <w:vAlign w:val="center"/>
            <w:hideMark/>
          </w:tcPr>
          <w:p w:rsidR="00DA252E" w:rsidRPr="00041405" w:rsidRDefault="00DA252E" w:rsidP="00DA252E">
            <w:pPr>
              <w:spacing w:after="0" w:line="240" w:lineRule="auto"/>
              <w:jc w:val="center"/>
              <w:rPr>
                <w:rFonts w:ascii="Verdana" w:eastAsia="Times New Roman" w:hAnsi="Verdana"/>
                <w:color w:val="000000"/>
                <w:sz w:val="20"/>
                <w:szCs w:val="20"/>
                <w:lang w:eastAsia="es-CO"/>
              </w:rPr>
            </w:pPr>
            <w:r w:rsidRPr="00041405">
              <w:rPr>
                <w:rFonts w:ascii="Verdana" w:eastAsia="Times New Roman" w:hAnsi="Verdana"/>
                <w:color w:val="000000"/>
                <w:sz w:val="20"/>
                <w:szCs w:val="20"/>
                <w:lang w:eastAsia="es-CO"/>
              </w:rPr>
              <w:t> </w:t>
            </w:r>
          </w:p>
        </w:tc>
      </w:tr>
    </w:tbl>
    <w:p w:rsidR="00DA252E" w:rsidRDefault="00DA252E" w:rsidP="00DA252E">
      <w:pPr>
        <w:spacing w:after="0" w:line="240" w:lineRule="auto"/>
        <w:rPr>
          <w:rFonts w:ascii="Verdana" w:hAnsi="Verdana"/>
          <w:sz w:val="24"/>
          <w:szCs w:val="24"/>
        </w:rPr>
      </w:pPr>
    </w:p>
    <w:p w:rsidR="00DA252E" w:rsidRPr="001E7D69" w:rsidRDefault="00DA252E" w:rsidP="00FF784D">
      <w:pPr>
        <w:pStyle w:val="Prrafodelista"/>
        <w:numPr>
          <w:ilvl w:val="0"/>
          <w:numId w:val="25"/>
        </w:numPr>
        <w:spacing w:after="0" w:line="240" w:lineRule="auto"/>
        <w:jc w:val="both"/>
        <w:rPr>
          <w:rFonts w:ascii="Verdana" w:hAnsi="Verdana"/>
          <w:i/>
          <w:sz w:val="24"/>
          <w:szCs w:val="24"/>
        </w:rPr>
      </w:pPr>
      <w:r w:rsidRPr="001E7D69">
        <w:rPr>
          <w:rFonts w:ascii="Verdana" w:hAnsi="Verdana"/>
          <w:i/>
          <w:sz w:val="24"/>
          <w:szCs w:val="24"/>
        </w:rPr>
        <w:t>Objetivo estratégico: Coordinar y ejecutar acciones para generación de capacidades, oportunidades y acceso a activos de la población pobre y pobre extrema</w:t>
      </w:r>
      <w:r>
        <w:rPr>
          <w:rFonts w:ascii="Verdana" w:hAnsi="Verdana"/>
          <w:i/>
          <w:sz w:val="24"/>
          <w:szCs w:val="24"/>
        </w:rPr>
        <w:t>.</w:t>
      </w:r>
    </w:p>
    <w:p w:rsidR="00DA252E" w:rsidRDefault="00DA252E" w:rsidP="00DA252E">
      <w:pPr>
        <w:spacing w:after="0" w:line="240" w:lineRule="auto"/>
        <w:rPr>
          <w:rFonts w:ascii="Verdana" w:hAnsi="Verdana"/>
          <w:sz w:val="24"/>
          <w:szCs w:val="24"/>
        </w:rPr>
      </w:pP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70" w:type="dxa"/>
          <w:right w:w="70" w:type="dxa"/>
        </w:tblCellMar>
        <w:tblLook w:val="04A0"/>
      </w:tblPr>
      <w:tblGrid>
        <w:gridCol w:w="2898"/>
        <w:gridCol w:w="1444"/>
        <w:gridCol w:w="1282"/>
        <w:gridCol w:w="1122"/>
        <w:gridCol w:w="239"/>
        <w:gridCol w:w="1525"/>
        <w:gridCol w:w="1602"/>
      </w:tblGrid>
      <w:tr w:rsidR="000C569D" w:rsidRPr="00FD0151" w:rsidTr="00CB5CC4">
        <w:trPr>
          <w:trHeight w:val="524"/>
        </w:trPr>
        <w:tc>
          <w:tcPr>
            <w:tcW w:w="1433" w:type="pct"/>
            <w:shd w:val="clear" w:color="auto" w:fill="548DD4" w:themeFill="text2" w:themeFillTint="99"/>
            <w:vAlign w:val="center"/>
            <w:hideMark/>
          </w:tcPr>
          <w:p w:rsidR="00DA252E" w:rsidRPr="00FD0151" w:rsidRDefault="00DA252E" w:rsidP="00DA252E">
            <w:pPr>
              <w:spacing w:after="0" w:line="240" w:lineRule="auto"/>
              <w:jc w:val="center"/>
              <w:rPr>
                <w:rFonts w:ascii="Verdana" w:eastAsia="Times New Roman" w:hAnsi="Verdana"/>
                <w:b/>
                <w:bCs/>
                <w:color w:val="FFFFFF"/>
                <w:sz w:val="20"/>
                <w:szCs w:val="20"/>
                <w:lang w:eastAsia="es-CO"/>
              </w:rPr>
            </w:pPr>
            <w:r w:rsidRPr="00FD0151">
              <w:rPr>
                <w:rFonts w:ascii="Verdana" w:eastAsia="Times New Roman" w:hAnsi="Verdana"/>
                <w:b/>
                <w:bCs/>
                <w:color w:val="FFFFFF"/>
                <w:sz w:val="20"/>
                <w:szCs w:val="20"/>
                <w:lang w:eastAsia="es-CO"/>
              </w:rPr>
              <w:t>Indicador</w:t>
            </w:r>
          </w:p>
        </w:tc>
        <w:tc>
          <w:tcPr>
            <w:tcW w:w="714" w:type="pct"/>
            <w:shd w:val="clear" w:color="auto" w:fill="548DD4" w:themeFill="text2" w:themeFillTint="99"/>
            <w:vAlign w:val="center"/>
            <w:hideMark/>
          </w:tcPr>
          <w:p w:rsidR="00DA252E" w:rsidRPr="00FD0151" w:rsidRDefault="00DA252E" w:rsidP="00DA252E">
            <w:pPr>
              <w:spacing w:after="0" w:line="240" w:lineRule="auto"/>
              <w:jc w:val="center"/>
              <w:rPr>
                <w:rFonts w:ascii="Verdana" w:eastAsia="Times New Roman" w:hAnsi="Verdana"/>
                <w:b/>
                <w:bCs/>
                <w:color w:val="FFFFFF"/>
                <w:sz w:val="20"/>
                <w:szCs w:val="20"/>
                <w:lang w:eastAsia="es-CO"/>
              </w:rPr>
            </w:pPr>
            <w:r w:rsidRPr="00FD0151">
              <w:rPr>
                <w:rFonts w:ascii="Verdana" w:eastAsia="Times New Roman" w:hAnsi="Verdana"/>
                <w:b/>
                <w:bCs/>
                <w:color w:val="FFFFFF"/>
                <w:sz w:val="20"/>
                <w:szCs w:val="20"/>
                <w:lang w:eastAsia="es-CO"/>
              </w:rPr>
              <w:t>Meta 2014</w:t>
            </w:r>
          </w:p>
        </w:tc>
        <w:tc>
          <w:tcPr>
            <w:tcW w:w="634" w:type="pct"/>
            <w:shd w:val="clear" w:color="auto" w:fill="548DD4" w:themeFill="text2" w:themeFillTint="99"/>
            <w:vAlign w:val="center"/>
            <w:hideMark/>
          </w:tcPr>
          <w:p w:rsidR="00DA252E" w:rsidRPr="00FD0151" w:rsidRDefault="00DA252E" w:rsidP="00DA252E">
            <w:pPr>
              <w:spacing w:after="0" w:line="240" w:lineRule="auto"/>
              <w:jc w:val="center"/>
              <w:rPr>
                <w:rFonts w:ascii="Verdana" w:eastAsia="Times New Roman" w:hAnsi="Verdana"/>
                <w:b/>
                <w:bCs/>
                <w:color w:val="FFFFFF"/>
                <w:sz w:val="20"/>
                <w:szCs w:val="20"/>
                <w:lang w:eastAsia="es-CO"/>
              </w:rPr>
            </w:pPr>
            <w:r w:rsidRPr="00FD0151">
              <w:rPr>
                <w:rFonts w:ascii="Verdana" w:eastAsia="Times New Roman" w:hAnsi="Verdana"/>
                <w:b/>
                <w:bCs/>
                <w:color w:val="FFFFFF"/>
                <w:sz w:val="20"/>
                <w:szCs w:val="20"/>
                <w:lang w:eastAsia="es-CO"/>
              </w:rPr>
              <w:t>Avance 2014</w:t>
            </w:r>
          </w:p>
        </w:tc>
        <w:tc>
          <w:tcPr>
            <w:tcW w:w="555" w:type="pct"/>
            <w:shd w:val="clear" w:color="auto" w:fill="548DD4" w:themeFill="text2" w:themeFillTint="99"/>
            <w:vAlign w:val="center"/>
            <w:hideMark/>
          </w:tcPr>
          <w:p w:rsidR="00DA252E" w:rsidRPr="00FD0151" w:rsidRDefault="00DA252E" w:rsidP="00DA252E">
            <w:pPr>
              <w:spacing w:after="0" w:line="240" w:lineRule="auto"/>
              <w:jc w:val="center"/>
              <w:rPr>
                <w:rFonts w:ascii="Verdana" w:eastAsia="Times New Roman" w:hAnsi="Verdana"/>
                <w:b/>
                <w:bCs/>
                <w:color w:val="FFFFFF"/>
                <w:sz w:val="20"/>
                <w:szCs w:val="20"/>
                <w:lang w:eastAsia="es-CO"/>
              </w:rPr>
            </w:pPr>
            <w:r w:rsidRPr="00FD0151">
              <w:rPr>
                <w:rFonts w:ascii="Verdana" w:eastAsia="Times New Roman" w:hAnsi="Verdana"/>
                <w:b/>
                <w:bCs/>
                <w:color w:val="FFFFFF"/>
                <w:sz w:val="20"/>
                <w:szCs w:val="20"/>
                <w:lang w:eastAsia="es-CO"/>
              </w:rPr>
              <w:t>% Avance</w:t>
            </w:r>
          </w:p>
        </w:tc>
        <w:tc>
          <w:tcPr>
            <w:tcW w:w="118" w:type="pct"/>
            <w:shd w:val="clear" w:color="auto" w:fill="548DD4" w:themeFill="text2" w:themeFillTint="99"/>
            <w:vAlign w:val="center"/>
            <w:hideMark/>
          </w:tcPr>
          <w:p w:rsidR="00DA252E" w:rsidRPr="00FD0151" w:rsidRDefault="00DA252E" w:rsidP="00DA252E">
            <w:pPr>
              <w:spacing w:after="0" w:line="240" w:lineRule="auto"/>
              <w:jc w:val="center"/>
              <w:rPr>
                <w:rFonts w:ascii="Verdana" w:eastAsia="Times New Roman" w:hAnsi="Verdana"/>
                <w:b/>
                <w:bCs/>
                <w:color w:val="FFFFFF"/>
                <w:sz w:val="20"/>
                <w:szCs w:val="20"/>
                <w:lang w:eastAsia="es-CO"/>
              </w:rPr>
            </w:pPr>
            <w:r w:rsidRPr="00FD0151">
              <w:rPr>
                <w:rFonts w:ascii="Verdana" w:eastAsia="Times New Roman" w:hAnsi="Verdana"/>
                <w:b/>
                <w:bCs/>
                <w:color w:val="FFFFFF"/>
                <w:sz w:val="20"/>
                <w:szCs w:val="20"/>
                <w:lang w:eastAsia="es-CO"/>
              </w:rPr>
              <w:t> </w:t>
            </w:r>
          </w:p>
        </w:tc>
        <w:tc>
          <w:tcPr>
            <w:tcW w:w="754" w:type="pct"/>
            <w:shd w:val="clear" w:color="auto" w:fill="548DD4" w:themeFill="text2" w:themeFillTint="99"/>
            <w:vAlign w:val="center"/>
            <w:hideMark/>
          </w:tcPr>
          <w:p w:rsidR="00DA252E" w:rsidRPr="00FD0151" w:rsidRDefault="00DA252E" w:rsidP="00DA252E">
            <w:pPr>
              <w:spacing w:after="0" w:line="240" w:lineRule="auto"/>
              <w:jc w:val="center"/>
              <w:rPr>
                <w:rFonts w:ascii="Verdana" w:eastAsia="Times New Roman" w:hAnsi="Verdana"/>
                <w:b/>
                <w:bCs/>
                <w:color w:val="FFFFFF"/>
                <w:sz w:val="20"/>
                <w:szCs w:val="20"/>
                <w:lang w:eastAsia="es-CO"/>
              </w:rPr>
            </w:pPr>
            <w:r w:rsidRPr="00FD0151">
              <w:rPr>
                <w:rFonts w:ascii="Verdana" w:eastAsia="Times New Roman" w:hAnsi="Verdana"/>
                <w:b/>
                <w:bCs/>
                <w:color w:val="FFFFFF"/>
                <w:sz w:val="20"/>
                <w:szCs w:val="20"/>
                <w:lang w:eastAsia="es-CO"/>
              </w:rPr>
              <w:t>Meta Cuatrienio</w:t>
            </w:r>
          </w:p>
        </w:tc>
        <w:tc>
          <w:tcPr>
            <w:tcW w:w="793" w:type="pct"/>
            <w:shd w:val="clear" w:color="auto" w:fill="548DD4" w:themeFill="text2" w:themeFillTint="99"/>
            <w:vAlign w:val="center"/>
            <w:hideMark/>
          </w:tcPr>
          <w:p w:rsidR="00DA252E" w:rsidRPr="00FD0151" w:rsidRDefault="00DA252E" w:rsidP="00DA252E">
            <w:pPr>
              <w:spacing w:after="0" w:line="240" w:lineRule="auto"/>
              <w:jc w:val="center"/>
              <w:rPr>
                <w:rFonts w:ascii="Verdana" w:eastAsia="Times New Roman" w:hAnsi="Verdana"/>
                <w:b/>
                <w:bCs/>
                <w:color w:val="FFFFFF"/>
                <w:sz w:val="20"/>
                <w:szCs w:val="20"/>
                <w:lang w:eastAsia="es-CO"/>
              </w:rPr>
            </w:pPr>
            <w:r w:rsidRPr="00FD0151">
              <w:rPr>
                <w:rFonts w:ascii="Verdana" w:eastAsia="Times New Roman" w:hAnsi="Verdana"/>
                <w:b/>
                <w:bCs/>
                <w:color w:val="FFFFFF"/>
                <w:sz w:val="20"/>
                <w:szCs w:val="20"/>
                <w:lang w:eastAsia="es-CO"/>
              </w:rPr>
              <w:t>Avance Cuatrienio</w:t>
            </w:r>
          </w:p>
        </w:tc>
      </w:tr>
      <w:tr w:rsidR="000C569D" w:rsidRPr="00FD0151" w:rsidTr="00CB5CC4">
        <w:trPr>
          <w:trHeight w:val="539"/>
        </w:trPr>
        <w:tc>
          <w:tcPr>
            <w:tcW w:w="1433" w:type="pct"/>
            <w:shd w:val="clear" w:color="000000" w:fill="D0D8E8"/>
            <w:hideMark/>
          </w:tcPr>
          <w:p w:rsidR="00DA252E" w:rsidRPr="00FD0151" w:rsidRDefault="00DA252E" w:rsidP="00DA252E">
            <w:pPr>
              <w:spacing w:after="0" w:line="240" w:lineRule="auto"/>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Familias Beneficiadas con transferencias condicionadas (unidos)</w:t>
            </w:r>
          </w:p>
        </w:tc>
        <w:tc>
          <w:tcPr>
            <w:tcW w:w="714" w:type="pct"/>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560</w:t>
            </w:r>
            <w:r>
              <w:rPr>
                <w:rFonts w:ascii="Verdana" w:eastAsia="Times New Roman" w:hAnsi="Verdana"/>
                <w:color w:val="000000"/>
                <w:sz w:val="20"/>
                <w:szCs w:val="20"/>
                <w:lang w:eastAsia="es-CO"/>
              </w:rPr>
              <w:t>.</w:t>
            </w:r>
            <w:r w:rsidRPr="00FD0151">
              <w:rPr>
                <w:rFonts w:ascii="Verdana" w:eastAsia="Times New Roman" w:hAnsi="Verdana"/>
                <w:color w:val="000000"/>
                <w:sz w:val="20"/>
                <w:szCs w:val="20"/>
                <w:lang w:eastAsia="es-CO"/>
              </w:rPr>
              <w:t>000</w:t>
            </w:r>
          </w:p>
        </w:tc>
        <w:tc>
          <w:tcPr>
            <w:tcW w:w="634" w:type="pct"/>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571</w:t>
            </w:r>
            <w:r>
              <w:rPr>
                <w:rFonts w:ascii="Verdana" w:eastAsia="Times New Roman" w:hAnsi="Verdana"/>
                <w:color w:val="000000"/>
                <w:sz w:val="20"/>
                <w:szCs w:val="20"/>
                <w:lang w:eastAsia="es-CO"/>
              </w:rPr>
              <w:t>.</w:t>
            </w:r>
            <w:r w:rsidRPr="00FD0151">
              <w:rPr>
                <w:rFonts w:ascii="Verdana" w:eastAsia="Times New Roman" w:hAnsi="Verdana"/>
                <w:color w:val="000000"/>
                <w:sz w:val="20"/>
                <w:szCs w:val="20"/>
                <w:lang w:eastAsia="es-CO"/>
              </w:rPr>
              <w:t>796</w:t>
            </w:r>
          </w:p>
        </w:tc>
        <w:tc>
          <w:tcPr>
            <w:tcW w:w="555" w:type="pct"/>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102%</w:t>
            </w:r>
          </w:p>
        </w:tc>
        <w:tc>
          <w:tcPr>
            <w:tcW w:w="118" w:type="pct"/>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 </w:t>
            </w:r>
          </w:p>
        </w:tc>
        <w:tc>
          <w:tcPr>
            <w:tcW w:w="754" w:type="pct"/>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N.A</w:t>
            </w:r>
          </w:p>
        </w:tc>
        <w:tc>
          <w:tcPr>
            <w:tcW w:w="793" w:type="pct"/>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 </w:t>
            </w:r>
          </w:p>
        </w:tc>
      </w:tr>
    </w:tbl>
    <w:p w:rsidR="00DA252E" w:rsidRDefault="00DA252E" w:rsidP="00DA252E">
      <w:pPr>
        <w:spacing w:after="0" w:line="240" w:lineRule="auto"/>
        <w:rPr>
          <w:rFonts w:ascii="Verdana" w:hAnsi="Verdana"/>
          <w:sz w:val="24"/>
          <w:szCs w:val="24"/>
        </w:rPr>
      </w:pPr>
    </w:p>
    <w:p w:rsidR="00DA252E" w:rsidRDefault="00DA252E" w:rsidP="00DA252E">
      <w:pPr>
        <w:spacing w:after="0" w:line="240" w:lineRule="auto"/>
        <w:rPr>
          <w:rFonts w:ascii="Verdana" w:hAnsi="Verdana"/>
          <w:sz w:val="24"/>
          <w:szCs w:val="24"/>
        </w:rPr>
      </w:pPr>
    </w:p>
    <w:p w:rsidR="00DA252E" w:rsidRDefault="00DA252E" w:rsidP="00FF784D">
      <w:pPr>
        <w:pStyle w:val="Prrafodelista"/>
        <w:numPr>
          <w:ilvl w:val="0"/>
          <w:numId w:val="25"/>
        </w:numPr>
        <w:spacing w:after="0" w:line="240" w:lineRule="auto"/>
        <w:jc w:val="both"/>
        <w:rPr>
          <w:rFonts w:ascii="Verdana" w:hAnsi="Verdana"/>
          <w:i/>
          <w:sz w:val="24"/>
          <w:szCs w:val="24"/>
        </w:rPr>
      </w:pPr>
      <w:r w:rsidRPr="001E7D69">
        <w:rPr>
          <w:rFonts w:ascii="Verdana" w:hAnsi="Verdana"/>
          <w:i/>
          <w:sz w:val="24"/>
          <w:szCs w:val="24"/>
        </w:rPr>
        <w:lastRenderedPageBreak/>
        <w:t>Objetivo estratégico: Coordinar y ejecutar acciones para la atención y reparación integral de las víctimas de la violencia y la reconciliación de los colombianos.</w:t>
      </w:r>
    </w:p>
    <w:p w:rsidR="00DA252E" w:rsidRPr="001E7D69" w:rsidRDefault="00DA252E" w:rsidP="00DA252E">
      <w:pPr>
        <w:pStyle w:val="Prrafodelista"/>
        <w:spacing w:after="0" w:line="240" w:lineRule="auto"/>
        <w:jc w:val="both"/>
        <w:rPr>
          <w:rFonts w:ascii="Verdana" w:hAnsi="Verdana"/>
          <w:i/>
          <w:sz w:val="24"/>
          <w:szCs w:val="24"/>
        </w:rPr>
      </w:pP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70" w:type="dxa"/>
          <w:right w:w="70" w:type="dxa"/>
        </w:tblCellMar>
        <w:tblLook w:val="04A0"/>
      </w:tblPr>
      <w:tblGrid>
        <w:gridCol w:w="2898"/>
        <w:gridCol w:w="1444"/>
        <w:gridCol w:w="1282"/>
        <w:gridCol w:w="1122"/>
        <w:gridCol w:w="239"/>
        <w:gridCol w:w="1525"/>
        <w:gridCol w:w="1602"/>
      </w:tblGrid>
      <w:tr w:rsidR="00DA252E" w:rsidRPr="00FD0151" w:rsidTr="00CB5CC4">
        <w:trPr>
          <w:trHeight w:val="498"/>
        </w:trPr>
        <w:tc>
          <w:tcPr>
            <w:tcW w:w="1433" w:type="pct"/>
            <w:shd w:val="clear" w:color="auto" w:fill="548DD4" w:themeFill="text2" w:themeFillTint="99"/>
            <w:vAlign w:val="center"/>
            <w:hideMark/>
          </w:tcPr>
          <w:p w:rsidR="00DA252E" w:rsidRPr="00FD0151" w:rsidRDefault="00DA252E" w:rsidP="00DA252E">
            <w:pPr>
              <w:spacing w:after="0" w:line="240" w:lineRule="auto"/>
              <w:jc w:val="center"/>
              <w:rPr>
                <w:rFonts w:ascii="Verdana" w:eastAsia="Times New Roman" w:hAnsi="Verdana"/>
                <w:b/>
                <w:bCs/>
                <w:color w:val="FFFFFF"/>
                <w:sz w:val="20"/>
                <w:szCs w:val="20"/>
                <w:lang w:eastAsia="es-CO"/>
              </w:rPr>
            </w:pPr>
            <w:r w:rsidRPr="00FD0151">
              <w:rPr>
                <w:rFonts w:ascii="Verdana" w:eastAsia="Times New Roman" w:hAnsi="Verdana"/>
                <w:b/>
                <w:bCs/>
                <w:color w:val="FFFFFF"/>
                <w:sz w:val="20"/>
                <w:szCs w:val="20"/>
                <w:lang w:eastAsia="es-CO"/>
              </w:rPr>
              <w:t>Indicador</w:t>
            </w:r>
          </w:p>
        </w:tc>
        <w:tc>
          <w:tcPr>
            <w:tcW w:w="714" w:type="pct"/>
            <w:shd w:val="clear" w:color="auto" w:fill="548DD4" w:themeFill="text2" w:themeFillTint="99"/>
            <w:vAlign w:val="center"/>
            <w:hideMark/>
          </w:tcPr>
          <w:p w:rsidR="00DA252E" w:rsidRPr="00FD0151" w:rsidRDefault="00DA252E" w:rsidP="00DA252E">
            <w:pPr>
              <w:spacing w:after="0" w:line="240" w:lineRule="auto"/>
              <w:jc w:val="center"/>
              <w:rPr>
                <w:rFonts w:ascii="Verdana" w:eastAsia="Times New Roman" w:hAnsi="Verdana"/>
                <w:b/>
                <w:bCs/>
                <w:color w:val="FFFFFF"/>
                <w:sz w:val="20"/>
                <w:szCs w:val="20"/>
                <w:lang w:eastAsia="es-CO"/>
              </w:rPr>
            </w:pPr>
            <w:r w:rsidRPr="00FD0151">
              <w:rPr>
                <w:rFonts w:ascii="Verdana" w:eastAsia="Times New Roman" w:hAnsi="Verdana"/>
                <w:b/>
                <w:bCs/>
                <w:color w:val="FFFFFF"/>
                <w:sz w:val="20"/>
                <w:szCs w:val="20"/>
                <w:lang w:eastAsia="es-CO"/>
              </w:rPr>
              <w:t>Meta 2014</w:t>
            </w:r>
          </w:p>
        </w:tc>
        <w:tc>
          <w:tcPr>
            <w:tcW w:w="634" w:type="pct"/>
            <w:shd w:val="clear" w:color="auto" w:fill="548DD4" w:themeFill="text2" w:themeFillTint="99"/>
            <w:vAlign w:val="center"/>
            <w:hideMark/>
          </w:tcPr>
          <w:p w:rsidR="00DA252E" w:rsidRPr="00FD0151" w:rsidRDefault="00DA252E" w:rsidP="00DA252E">
            <w:pPr>
              <w:spacing w:after="0" w:line="240" w:lineRule="auto"/>
              <w:jc w:val="center"/>
              <w:rPr>
                <w:rFonts w:ascii="Verdana" w:eastAsia="Times New Roman" w:hAnsi="Verdana"/>
                <w:b/>
                <w:bCs/>
                <w:color w:val="FFFFFF"/>
                <w:sz w:val="20"/>
                <w:szCs w:val="20"/>
                <w:lang w:eastAsia="es-CO"/>
              </w:rPr>
            </w:pPr>
            <w:r w:rsidRPr="00FD0151">
              <w:rPr>
                <w:rFonts w:ascii="Verdana" w:eastAsia="Times New Roman" w:hAnsi="Verdana"/>
                <w:b/>
                <w:bCs/>
                <w:color w:val="FFFFFF"/>
                <w:sz w:val="20"/>
                <w:szCs w:val="20"/>
                <w:lang w:eastAsia="es-CO"/>
              </w:rPr>
              <w:t>Avance 2014</w:t>
            </w:r>
          </w:p>
        </w:tc>
        <w:tc>
          <w:tcPr>
            <w:tcW w:w="555" w:type="pct"/>
            <w:shd w:val="clear" w:color="auto" w:fill="548DD4" w:themeFill="text2" w:themeFillTint="99"/>
            <w:vAlign w:val="center"/>
            <w:hideMark/>
          </w:tcPr>
          <w:p w:rsidR="00DA252E" w:rsidRPr="00FD0151" w:rsidRDefault="00DA252E" w:rsidP="00DA252E">
            <w:pPr>
              <w:spacing w:after="0" w:line="240" w:lineRule="auto"/>
              <w:jc w:val="center"/>
              <w:rPr>
                <w:rFonts w:ascii="Verdana" w:eastAsia="Times New Roman" w:hAnsi="Verdana"/>
                <w:b/>
                <w:bCs/>
                <w:color w:val="FFFFFF"/>
                <w:sz w:val="20"/>
                <w:szCs w:val="20"/>
                <w:lang w:eastAsia="es-CO"/>
              </w:rPr>
            </w:pPr>
            <w:r w:rsidRPr="00FD0151">
              <w:rPr>
                <w:rFonts w:ascii="Verdana" w:eastAsia="Times New Roman" w:hAnsi="Verdana"/>
                <w:b/>
                <w:bCs/>
                <w:color w:val="FFFFFF"/>
                <w:sz w:val="20"/>
                <w:szCs w:val="20"/>
                <w:lang w:eastAsia="es-CO"/>
              </w:rPr>
              <w:t>% Avance</w:t>
            </w:r>
          </w:p>
        </w:tc>
        <w:tc>
          <w:tcPr>
            <w:tcW w:w="118" w:type="pct"/>
            <w:shd w:val="clear" w:color="auto" w:fill="548DD4" w:themeFill="text2" w:themeFillTint="99"/>
            <w:vAlign w:val="center"/>
            <w:hideMark/>
          </w:tcPr>
          <w:p w:rsidR="00DA252E" w:rsidRPr="00FD0151" w:rsidRDefault="00DA252E" w:rsidP="00DA252E">
            <w:pPr>
              <w:spacing w:after="0" w:line="240" w:lineRule="auto"/>
              <w:jc w:val="center"/>
              <w:rPr>
                <w:rFonts w:ascii="Verdana" w:eastAsia="Times New Roman" w:hAnsi="Verdana"/>
                <w:b/>
                <w:bCs/>
                <w:color w:val="FFFFFF"/>
                <w:sz w:val="20"/>
                <w:szCs w:val="20"/>
                <w:lang w:eastAsia="es-CO"/>
              </w:rPr>
            </w:pPr>
            <w:r w:rsidRPr="00FD0151">
              <w:rPr>
                <w:rFonts w:ascii="Verdana" w:eastAsia="Times New Roman" w:hAnsi="Verdana"/>
                <w:b/>
                <w:bCs/>
                <w:color w:val="FFFFFF"/>
                <w:sz w:val="20"/>
                <w:szCs w:val="20"/>
                <w:lang w:eastAsia="es-CO"/>
              </w:rPr>
              <w:t> </w:t>
            </w:r>
          </w:p>
        </w:tc>
        <w:tc>
          <w:tcPr>
            <w:tcW w:w="754" w:type="pct"/>
            <w:shd w:val="clear" w:color="auto" w:fill="548DD4" w:themeFill="text2" w:themeFillTint="99"/>
            <w:vAlign w:val="center"/>
            <w:hideMark/>
          </w:tcPr>
          <w:p w:rsidR="00DA252E" w:rsidRPr="00FD0151" w:rsidRDefault="00DA252E" w:rsidP="00DA252E">
            <w:pPr>
              <w:spacing w:after="0" w:line="240" w:lineRule="auto"/>
              <w:jc w:val="center"/>
              <w:rPr>
                <w:rFonts w:ascii="Verdana" w:eastAsia="Times New Roman" w:hAnsi="Verdana"/>
                <w:b/>
                <w:bCs/>
                <w:color w:val="FFFFFF"/>
                <w:sz w:val="20"/>
                <w:szCs w:val="20"/>
                <w:lang w:eastAsia="es-CO"/>
              </w:rPr>
            </w:pPr>
            <w:r w:rsidRPr="00FD0151">
              <w:rPr>
                <w:rFonts w:ascii="Verdana" w:eastAsia="Times New Roman" w:hAnsi="Verdana"/>
                <w:b/>
                <w:bCs/>
                <w:color w:val="FFFFFF"/>
                <w:sz w:val="20"/>
                <w:szCs w:val="20"/>
                <w:lang w:eastAsia="es-CO"/>
              </w:rPr>
              <w:t>Meta Cuatrienio</w:t>
            </w:r>
          </w:p>
        </w:tc>
        <w:tc>
          <w:tcPr>
            <w:tcW w:w="793" w:type="pct"/>
            <w:shd w:val="clear" w:color="auto" w:fill="548DD4" w:themeFill="text2" w:themeFillTint="99"/>
            <w:vAlign w:val="center"/>
            <w:hideMark/>
          </w:tcPr>
          <w:p w:rsidR="00DA252E" w:rsidRPr="00FD0151" w:rsidRDefault="00DA252E" w:rsidP="00DA252E">
            <w:pPr>
              <w:spacing w:after="0" w:line="240" w:lineRule="auto"/>
              <w:jc w:val="center"/>
              <w:rPr>
                <w:rFonts w:ascii="Verdana" w:eastAsia="Times New Roman" w:hAnsi="Verdana"/>
                <w:b/>
                <w:bCs/>
                <w:color w:val="FFFFFF"/>
                <w:sz w:val="20"/>
                <w:szCs w:val="20"/>
                <w:lang w:eastAsia="es-CO"/>
              </w:rPr>
            </w:pPr>
            <w:r w:rsidRPr="00FD0151">
              <w:rPr>
                <w:rFonts w:ascii="Verdana" w:eastAsia="Times New Roman" w:hAnsi="Verdana"/>
                <w:b/>
                <w:bCs/>
                <w:color w:val="FFFFFF"/>
                <w:sz w:val="20"/>
                <w:szCs w:val="20"/>
                <w:lang w:eastAsia="es-CO"/>
              </w:rPr>
              <w:t>Avance Cuatrienio</w:t>
            </w:r>
          </w:p>
        </w:tc>
      </w:tr>
      <w:tr w:rsidR="00DA252E" w:rsidRPr="00FD0151" w:rsidTr="00CB5CC4">
        <w:trPr>
          <w:trHeight w:val="739"/>
        </w:trPr>
        <w:tc>
          <w:tcPr>
            <w:tcW w:w="1433" w:type="pct"/>
            <w:shd w:val="clear" w:color="000000" w:fill="D0D8E8"/>
            <w:hideMark/>
          </w:tcPr>
          <w:p w:rsidR="00DA252E" w:rsidRPr="00FD0151" w:rsidRDefault="00DA252E" w:rsidP="00DA252E">
            <w:pPr>
              <w:spacing w:after="0" w:line="240" w:lineRule="auto"/>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Familias Beneficiadas con transferencias condicionadas (desplazados)</w:t>
            </w:r>
          </w:p>
        </w:tc>
        <w:tc>
          <w:tcPr>
            <w:tcW w:w="714" w:type="pct"/>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415</w:t>
            </w:r>
            <w:r>
              <w:rPr>
                <w:rFonts w:ascii="Verdana" w:eastAsia="Times New Roman" w:hAnsi="Verdana"/>
                <w:color w:val="000000"/>
                <w:sz w:val="20"/>
                <w:szCs w:val="20"/>
                <w:lang w:eastAsia="es-CO"/>
              </w:rPr>
              <w:t>.</w:t>
            </w:r>
            <w:r w:rsidRPr="00FD0151">
              <w:rPr>
                <w:rFonts w:ascii="Verdana" w:eastAsia="Times New Roman" w:hAnsi="Verdana"/>
                <w:color w:val="000000"/>
                <w:sz w:val="20"/>
                <w:szCs w:val="20"/>
                <w:lang w:eastAsia="es-CO"/>
              </w:rPr>
              <w:t>000</w:t>
            </w:r>
          </w:p>
        </w:tc>
        <w:tc>
          <w:tcPr>
            <w:tcW w:w="634" w:type="pct"/>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575</w:t>
            </w:r>
            <w:r>
              <w:rPr>
                <w:rFonts w:ascii="Verdana" w:eastAsia="Times New Roman" w:hAnsi="Verdana"/>
                <w:color w:val="000000"/>
                <w:sz w:val="20"/>
                <w:szCs w:val="20"/>
                <w:lang w:eastAsia="es-CO"/>
              </w:rPr>
              <w:t>.</w:t>
            </w:r>
            <w:r w:rsidRPr="00FD0151">
              <w:rPr>
                <w:rFonts w:ascii="Verdana" w:eastAsia="Times New Roman" w:hAnsi="Verdana"/>
                <w:color w:val="000000"/>
                <w:sz w:val="20"/>
                <w:szCs w:val="20"/>
                <w:lang w:eastAsia="es-CO"/>
              </w:rPr>
              <w:t>796</w:t>
            </w:r>
          </w:p>
        </w:tc>
        <w:tc>
          <w:tcPr>
            <w:tcW w:w="555" w:type="pct"/>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139%</w:t>
            </w:r>
          </w:p>
        </w:tc>
        <w:tc>
          <w:tcPr>
            <w:tcW w:w="118" w:type="pct"/>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 </w:t>
            </w:r>
          </w:p>
        </w:tc>
        <w:tc>
          <w:tcPr>
            <w:tcW w:w="754" w:type="pct"/>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N.A</w:t>
            </w:r>
          </w:p>
        </w:tc>
        <w:tc>
          <w:tcPr>
            <w:tcW w:w="793" w:type="pct"/>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 </w:t>
            </w:r>
          </w:p>
        </w:tc>
      </w:tr>
      <w:tr w:rsidR="00DA252E" w:rsidRPr="00FD0151" w:rsidTr="00CB5CC4">
        <w:trPr>
          <w:trHeight w:val="409"/>
        </w:trPr>
        <w:tc>
          <w:tcPr>
            <w:tcW w:w="1433" w:type="pct"/>
            <w:shd w:val="clear" w:color="000000" w:fill="E9EDF4"/>
            <w:hideMark/>
          </w:tcPr>
          <w:p w:rsidR="00DA252E" w:rsidRPr="00FD0151" w:rsidRDefault="00DA252E" w:rsidP="00DA252E">
            <w:pPr>
              <w:spacing w:after="0" w:line="240" w:lineRule="auto"/>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Hogares atendidos por el programa FEST</w:t>
            </w:r>
          </w:p>
        </w:tc>
        <w:tc>
          <w:tcPr>
            <w:tcW w:w="714" w:type="pct"/>
            <w:shd w:val="clear" w:color="000000" w:fill="E9EDF4"/>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0</w:t>
            </w:r>
          </w:p>
        </w:tc>
        <w:tc>
          <w:tcPr>
            <w:tcW w:w="634" w:type="pct"/>
            <w:shd w:val="clear" w:color="000000" w:fill="E9EDF4"/>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Pr>
                <w:rFonts w:ascii="Verdana" w:eastAsia="Times New Roman" w:hAnsi="Verdana"/>
                <w:color w:val="000000"/>
                <w:sz w:val="20"/>
                <w:szCs w:val="20"/>
                <w:lang w:eastAsia="es-CO"/>
              </w:rPr>
              <w:t>14.177</w:t>
            </w:r>
          </w:p>
        </w:tc>
        <w:tc>
          <w:tcPr>
            <w:tcW w:w="555" w:type="pct"/>
            <w:shd w:val="clear" w:color="000000" w:fill="E9EDF4"/>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10</w:t>
            </w:r>
            <w:r>
              <w:rPr>
                <w:rFonts w:ascii="Verdana" w:eastAsia="Times New Roman" w:hAnsi="Verdana"/>
                <w:color w:val="000000"/>
                <w:sz w:val="20"/>
                <w:szCs w:val="20"/>
                <w:lang w:eastAsia="es-CO"/>
              </w:rPr>
              <w:t>0</w:t>
            </w:r>
            <w:r w:rsidRPr="00FD0151">
              <w:rPr>
                <w:rFonts w:ascii="Verdana" w:eastAsia="Times New Roman" w:hAnsi="Verdana"/>
                <w:color w:val="000000"/>
                <w:sz w:val="20"/>
                <w:szCs w:val="20"/>
                <w:lang w:eastAsia="es-CO"/>
              </w:rPr>
              <w:t>%</w:t>
            </w:r>
          </w:p>
        </w:tc>
        <w:tc>
          <w:tcPr>
            <w:tcW w:w="118" w:type="pct"/>
            <w:shd w:val="clear" w:color="000000" w:fill="E9EDF4"/>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 </w:t>
            </w:r>
          </w:p>
        </w:tc>
        <w:tc>
          <w:tcPr>
            <w:tcW w:w="754" w:type="pct"/>
            <w:shd w:val="clear" w:color="000000" w:fill="E9EDF4"/>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60</w:t>
            </w:r>
            <w:r>
              <w:rPr>
                <w:rFonts w:ascii="Verdana" w:eastAsia="Times New Roman" w:hAnsi="Verdana"/>
                <w:color w:val="000000"/>
                <w:sz w:val="20"/>
                <w:szCs w:val="20"/>
                <w:lang w:eastAsia="es-CO"/>
              </w:rPr>
              <w:t>.</w:t>
            </w:r>
            <w:r w:rsidRPr="00FD0151">
              <w:rPr>
                <w:rFonts w:ascii="Verdana" w:eastAsia="Times New Roman" w:hAnsi="Verdana"/>
                <w:color w:val="000000"/>
                <w:sz w:val="20"/>
                <w:szCs w:val="20"/>
                <w:lang w:eastAsia="es-CO"/>
              </w:rPr>
              <w:t>000</w:t>
            </w:r>
          </w:p>
        </w:tc>
        <w:tc>
          <w:tcPr>
            <w:tcW w:w="793" w:type="pct"/>
            <w:shd w:val="clear" w:color="000000" w:fill="E9EDF4"/>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43</w:t>
            </w:r>
            <w:r>
              <w:rPr>
                <w:rFonts w:ascii="Verdana" w:eastAsia="Times New Roman" w:hAnsi="Verdana"/>
                <w:color w:val="000000"/>
                <w:sz w:val="20"/>
                <w:szCs w:val="20"/>
                <w:lang w:eastAsia="es-CO"/>
              </w:rPr>
              <w:t>.144</w:t>
            </w:r>
          </w:p>
        </w:tc>
      </w:tr>
      <w:tr w:rsidR="00DA252E" w:rsidRPr="00FD0151" w:rsidTr="00CB5CC4">
        <w:trPr>
          <w:trHeight w:val="474"/>
        </w:trPr>
        <w:tc>
          <w:tcPr>
            <w:tcW w:w="1433" w:type="pct"/>
            <w:shd w:val="clear" w:color="000000" w:fill="D0D8E8"/>
            <w:hideMark/>
          </w:tcPr>
          <w:p w:rsidR="00DA252E" w:rsidRPr="00FD0151" w:rsidRDefault="00DA252E" w:rsidP="00DA252E">
            <w:pPr>
              <w:spacing w:after="0" w:line="240" w:lineRule="auto"/>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Asistencia permanente de NNA a Música para la Reconciliación</w:t>
            </w:r>
          </w:p>
        </w:tc>
        <w:tc>
          <w:tcPr>
            <w:tcW w:w="714" w:type="pct"/>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17</w:t>
            </w:r>
            <w:r>
              <w:rPr>
                <w:rFonts w:ascii="Verdana" w:eastAsia="Times New Roman" w:hAnsi="Verdana"/>
                <w:color w:val="000000"/>
                <w:sz w:val="20"/>
                <w:szCs w:val="20"/>
                <w:lang w:eastAsia="es-CO"/>
              </w:rPr>
              <w:t>.</w:t>
            </w:r>
            <w:r w:rsidRPr="00FD0151">
              <w:rPr>
                <w:rFonts w:ascii="Verdana" w:eastAsia="Times New Roman" w:hAnsi="Verdana"/>
                <w:color w:val="000000"/>
                <w:sz w:val="20"/>
                <w:szCs w:val="20"/>
                <w:lang w:eastAsia="es-CO"/>
              </w:rPr>
              <w:t>965</w:t>
            </w:r>
          </w:p>
        </w:tc>
        <w:tc>
          <w:tcPr>
            <w:tcW w:w="634" w:type="pct"/>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20</w:t>
            </w:r>
            <w:r>
              <w:rPr>
                <w:rFonts w:ascii="Verdana" w:eastAsia="Times New Roman" w:hAnsi="Verdana"/>
                <w:color w:val="000000"/>
                <w:sz w:val="20"/>
                <w:szCs w:val="20"/>
                <w:lang w:eastAsia="es-CO"/>
              </w:rPr>
              <w:t>.</w:t>
            </w:r>
            <w:r w:rsidRPr="00FD0151">
              <w:rPr>
                <w:rFonts w:ascii="Verdana" w:eastAsia="Times New Roman" w:hAnsi="Verdana"/>
                <w:color w:val="000000"/>
                <w:sz w:val="20"/>
                <w:szCs w:val="20"/>
                <w:lang w:eastAsia="es-CO"/>
              </w:rPr>
              <w:t>285</w:t>
            </w:r>
          </w:p>
        </w:tc>
        <w:tc>
          <w:tcPr>
            <w:tcW w:w="555" w:type="pct"/>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113%</w:t>
            </w:r>
          </w:p>
        </w:tc>
        <w:tc>
          <w:tcPr>
            <w:tcW w:w="118" w:type="pct"/>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 </w:t>
            </w:r>
          </w:p>
        </w:tc>
        <w:tc>
          <w:tcPr>
            <w:tcW w:w="754" w:type="pct"/>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Pr>
                <w:rFonts w:ascii="Verdana" w:eastAsia="Times New Roman" w:hAnsi="Verdana"/>
                <w:color w:val="000000"/>
                <w:sz w:val="20"/>
                <w:szCs w:val="20"/>
                <w:lang w:eastAsia="es-CO"/>
              </w:rPr>
              <w:t>69.394</w:t>
            </w:r>
          </w:p>
        </w:tc>
        <w:tc>
          <w:tcPr>
            <w:tcW w:w="793" w:type="pct"/>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6</w:t>
            </w:r>
            <w:r>
              <w:rPr>
                <w:rFonts w:ascii="Verdana" w:eastAsia="Times New Roman" w:hAnsi="Verdana"/>
                <w:color w:val="000000"/>
                <w:sz w:val="20"/>
                <w:szCs w:val="20"/>
                <w:lang w:eastAsia="es-CO"/>
              </w:rPr>
              <w:t>9.439</w:t>
            </w:r>
          </w:p>
        </w:tc>
      </w:tr>
    </w:tbl>
    <w:p w:rsidR="00DA252E" w:rsidRDefault="00DA252E" w:rsidP="00DA252E">
      <w:pPr>
        <w:spacing w:after="0" w:line="240" w:lineRule="auto"/>
        <w:jc w:val="both"/>
        <w:rPr>
          <w:rFonts w:ascii="Verdana" w:hAnsi="Verdana"/>
          <w:b/>
          <w:sz w:val="24"/>
          <w:szCs w:val="24"/>
        </w:rPr>
      </w:pPr>
    </w:p>
    <w:p w:rsidR="00DA252E" w:rsidRDefault="00DA252E" w:rsidP="00FF784D">
      <w:pPr>
        <w:pStyle w:val="Prrafodelista"/>
        <w:numPr>
          <w:ilvl w:val="0"/>
          <w:numId w:val="25"/>
        </w:numPr>
        <w:spacing w:after="0" w:line="240" w:lineRule="auto"/>
        <w:jc w:val="both"/>
        <w:rPr>
          <w:rFonts w:ascii="Verdana" w:hAnsi="Verdana"/>
          <w:i/>
          <w:sz w:val="24"/>
          <w:szCs w:val="24"/>
        </w:rPr>
      </w:pPr>
      <w:r w:rsidRPr="001E7D69">
        <w:rPr>
          <w:rFonts w:ascii="Verdana" w:hAnsi="Verdana"/>
          <w:i/>
          <w:sz w:val="24"/>
          <w:szCs w:val="24"/>
        </w:rPr>
        <w:t xml:space="preserve">Objetivo estratégico: Garantizar el enfoque diferencial en la atención del </w:t>
      </w:r>
      <w:r>
        <w:rPr>
          <w:rFonts w:ascii="Verdana" w:hAnsi="Verdana"/>
          <w:i/>
          <w:sz w:val="24"/>
          <w:szCs w:val="24"/>
        </w:rPr>
        <w:t>S</w:t>
      </w:r>
      <w:r w:rsidRPr="001E7D69">
        <w:rPr>
          <w:rFonts w:ascii="Verdana" w:hAnsi="Verdana"/>
          <w:i/>
          <w:sz w:val="24"/>
          <w:szCs w:val="24"/>
        </w:rPr>
        <w:t>ector.</w:t>
      </w:r>
    </w:p>
    <w:p w:rsidR="00DA252E" w:rsidRDefault="00DA252E" w:rsidP="00DA252E">
      <w:pPr>
        <w:pStyle w:val="Prrafodelista"/>
        <w:spacing w:after="0" w:line="240" w:lineRule="auto"/>
        <w:jc w:val="both"/>
        <w:rPr>
          <w:rFonts w:ascii="Verdana" w:hAnsi="Verdana"/>
          <w:i/>
          <w:sz w:val="24"/>
          <w:szCs w:val="24"/>
        </w:rPr>
      </w:pP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70" w:type="dxa"/>
          <w:right w:w="70" w:type="dxa"/>
        </w:tblCellMar>
        <w:tblLook w:val="04A0"/>
      </w:tblPr>
      <w:tblGrid>
        <w:gridCol w:w="2929"/>
        <w:gridCol w:w="1458"/>
        <w:gridCol w:w="1296"/>
        <w:gridCol w:w="1135"/>
        <w:gridCol w:w="324"/>
        <w:gridCol w:w="1486"/>
        <w:gridCol w:w="1484"/>
      </w:tblGrid>
      <w:tr w:rsidR="00DA252E" w:rsidRPr="00FD0151" w:rsidTr="00CB5CC4">
        <w:trPr>
          <w:trHeight w:val="629"/>
        </w:trPr>
        <w:tc>
          <w:tcPr>
            <w:tcW w:w="1448" w:type="pct"/>
            <w:shd w:val="clear" w:color="auto" w:fill="548DD4" w:themeFill="text2" w:themeFillTint="99"/>
            <w:vAlign w:val="center"/>
            <w:hideMark/>
          </w:tcPr>
          <w:p w:rsidR="00DA252E" w:rsidRPr="00FD0151" w:rsidRDefault="00DA252E" w:rsidP="00DA252E">
            <w:pPr>
              <w:spacing w:after="0" w:line="240" w:lineRule="auto"/>
              <w:jc w:val="center"/>
              <w:rPr>
                <w:rFonts w:ascii="Verdana" w:eastAsia="Times New Roman" w:hAnsi="Verdana"/>
                <w:b/>
                <w:bCs/>
                <w:color w:val="FFFFFF"/>
                <w:sz w:val="20"/>
                <w:szCs w:val="20"/>
                <w:lang w:eastAsia="es-CO"/>
              </w:rPr>
            </w:pPr>
            <w:r w:rsidRPr="00FD0151">
              <w:rPr>
                <w:rFonts w:ascii="Verdana" w:eastAsia="Times New Roman" w:hAnsi="Verdana"/>
                <w:b/>
                <w:bCs/>
                <w:color w:val="FFFFFF"/>
                <w:sz w:val="20"/>
                <w:szCs w:val="20"/>
                <w:lang w:eastAsia="es-CO"/>
              </w:rPr>
              <w:t>Indicador</w:t>
            </w:r>
          </w:p>
        </w:tc>
        <w:tc>
          <w:tcPr>
            <w:tcW w:w="721" w:type="pct"/>
            <w:shd w:val="clear" w:color="auto" w:fill="548DD4" w:themeFill="text2" w:themeFillTint="99"/>
            <w:vAlign w:val="center"/>
            <w:hideMark/>
          </w:tcPr>
          <w:p w:rsidR="00DA252E" w:rsidRPr="00FD0151" w:rsidRDefault="00DA252E" w:rsidP="00DA252E">
            <w:pPr>
              <w:spacing w:after="0" w:line="240" w:lineRule="auto"/>
              <w:jc w:val="center"/>
              <w:rPr>
                <w:rFonts w:ascii="Verdana" w:eastAsia="Times New Roman" w:hAnsi="Verdana"/>
                <w:b/>
                <w:bCs/>
                <w:color w:val="FFFFFF"/>
                <w:sz w:val="20"/>
                <w:szCs w:val="20"/>
                <w:lang w:eastAsia="es-CO"/>
              </w:rPr>
            </w:pPr>
            <w:r w:rsidRPr="00FD0151">
              <w:rPr>
                <w:rFonts w:ascii="Verdana" w:eastAsia="Times New Roman" w:hAnsi="Verdana"/>
                <w:b/>
                <w:bCs/>
                <w:color w:val="FFFFFF"/>
                <w:sz w:val="20"/>
                <w:szCs w:val="20"/>
                <w:lang w:eastAsia="es-CO"/>
              </w:rPr>
              <w:t>Meta 2014</w:t>
            </w:r>
          </w:p>
        </w:tc>
        <w:tc>
          <w:tcPr>
            <w:tcW w:w="641" w:type="pct"/>
            <w:shd w:val="clear" w:color="auto" w:fill="548DD4" w:themeFill="text2" w:themeFillTint="99"/>
            <w:vAlign w:val="center"/>
            <w:hideMark/>
          </w:tcPr>
          <w:p w:rsidR="00DA252E" w:rsidRPr="00FD0151" w:rsidRDefault="00DA252E" w:rsidP="00DA252E">
            <w:pPr>
              <w:spacing w:after="0" w:line="240" w:lineRule="auto"/>
              <w:jc w:val="center"/>
              <w:rPr>
                <w:rFonts w:ascii="Verdana" w:eastAsia="Times New Roman" w:hAnsi="Verdana"/>
                <w:b/>
                <w:bCs/>
                <w:color w:val="FFFFFF"/>
                <w:sz w:val="20"/>
                <w:szCs w:val="20"/>
                <w:lang w:eastAsia="es-CO"/>
              </w:rPr>
            </w:pPr>
            <w:r w:rsidRPr="00FD0151">
              <w:rPr>
                <w:rFonts w:ascii="Verdana" w:eastAsia="Times New Roman" w:hAnsi="Verdana"/>
                <w:b/>
                <w:bCs/>
                <w:color w:val="FFFFFF"/>
                <w:sz w:val="20"/>
                <w:szCs w:val="20"/>
                <w:lang w:eastAsia="es-CO"/>
              </w:rPr>
              <w:t>Avance 2014</w:t>
            </w:r>
          </w:p>
        </w:tc>
        <w:tc>
          <w:tcPr>
            <w:tcW w:w="561" w:type="pct"/>
            <w:shd w:val="clear" w:color="auto" w:fill="548DD4" w:themeFill="text2" w:themeFillTint="99"/>
            <w:vAlign w:val="center"/>
            <w:hideMark/>
          </w:tcPr>
          <w:p w:rsidR="00DA252E" w:rsidRPr="00FD0151" w:rsidRDefault="00DA252E" w:rsidP="00DA252E">
            <w:pPr>
              <w:spacing w:after="0" w:line="240" w:lineRule="auto"/>
              <w:jc w:val="center"/>
              <w:rPr>
                <w:rFonts w:ascii="Verdana" w:eastAsia="Times New Roman" w:hAnsi="Verdana"/>
                <w:b/>
                <w:bCs/>
                <w:color w:val="FFFFFF"/>
                <w:sz w:val="20"/>
                <w:szCs w:val="20"/>
                <w:lang w:eastAsia="es-CO"/>
              </w:rPr>
            </w:pPr>
            <w:r w:rsidRPr="00FD0151">
              <w:rPr>
                <w:rFonts w:ascii="Verdana" w:eastAsia="Times New Roman" w:hAnsi="Verdana"/>
                <w:b/>
                <w:bCs/>
                <w:color w:val="FFFFFF"/>
                <w:sz w:val="20"/>
                <w:szCs w:val="20"/>
                <w:lang w:eastAsia="es-CO"/>
              </w:rPr>
              <w:t>% Avance</w:t>
            </w:r>
          </w:p>
        </w:tc>
        <w:tc>
          <w:tcPr>
            <w:tcW w:w="160" w:type="pct"/>
            <w:shd w:val="clear" w:color="auto" w:fill="548DD4" w:themeFill="text2" w:themeFillTint="99"/>
            <w:vAlign w:val="center"/>
            <w:hideMark/>
          </w:tcPr>
          <w:p w:rsidR="00DA252E" w:rsidRPr="00FD0151" w:rsidRDefault="00DA252E" w:rsidP="00DA252E">
            <w:pPr>
              <w:spacing w:after="0" w:line="240" w:lineRule="auto"/>
              <w:jc w:val="center"/>
              <w:rPr>
                <w:rFonts w:ascii="Verdana" w:eastAsia="Times New Roman" w:hAnsi="Verdana"/>
                <w:b/>
                <w:bCs/>
                <w:color w:val="FFFFFF"/>
                <w:sz w:val="20"/>
                <w:szCs w:val="20"/>
                <w:lang w:eastAsia="es-CO"/>
              </w:rPr>
            </w:pPr>
            <w:r w:rsidRPr="00FD0151">
              <w:rPr>
                <w:rFonts w:ascii="Verdana" w:eastAsia="Times New Roman" w:hAnsi="Verdana"/>
                <w:b/>
                <w:bCs/>
                <w:color w:val="FFFFFF"/>
                <w:sz w:val="20"/>
                <w:szCs w:val="20"/>
                <w:lang w:eastAsia="es-CO"/>
              </w:rPr>
              <w:t> </w:t>
            </w:r>
          </w:p>
        </w:tc>
        <w:tc>
          <w:tcPr>
            <w:tcW w:w="735" w:type="pct"/>
            <w:shd w:val="clear" w:color="auto" w:fill="548DD4" w:themeFill="text2" w:themeFillTint="99"/>
            <w:vAlign w:val="center"/>
            <w:hideMark/>
          </w:tcPr>
          <w:p w:rsidR="00DA252E" w:rsidRPr="00FD0151" w:rsidRDefault="00DA252E" w:rsidP="00DA252E">
            <w:pPr>
              <w:spacing w:after="0" w:line="240" w:lineRule="auto"/>
              <w:jc w:val="center"/>
              <w:rPr>
                <w:rFonts w:ascii="Verdana" w:eastAsia="Times New Roman" w:hAnsi="Verdana"/>
                <w:b/>
                <w:bCs/>
                <w:color w:val="FFFFFF"/>
                <w:sz w:val="20"/>
                <w:szCs w:val="20"/>
                <w:lang w:eastAsia="es-CO"/>
              </w:rPr>
            </w:pPr>
            <w:r w:rsidRPr="00FD0151">
              <w:rPr>
                <w:rFonts w:ascii="Verdana" w:eastAsia="Times New Roman" w:hAnsi="Verdana"/>
                <w:b/>
                <w:bCs/>
                <w:color w:val="FFFFFF"/>
                <w:sz w:val="20"/>
                <w:szCs w:val="20"/>
                <w:lang w:eastAsia="es-CO"/>
              </w:rPr>
              <w:t>Meta Cuatrienio</w:t>
            </w:r>
          </w:p>
        </w:tc>
        <w:tc>
          <w:tcPr>
            <w:tcW w:w="735" w:type="pct"/>
            <w:shd w:val="clear" w:color="auto" w:fill="548DD4" w:themeFill="text2" w:themeFillTint="99"/>
            <w:vAlign w:val="center"/>
            <w:hideMark/>
          </w:tcPr>
          <w:p w:rsidR="00DA252E" w:rsidRPr="00FD0151" w:rsidRDefault="00DA252E" w:rsidP="00DA252E">
            <w:pPr>
              <w:spacing w:after="0" w:line="240" w:lineRule="auto"/>
              <w:jc w:val="center"/>
              <w:rPr>
                <w:rFonts w:ascii="Verdana" w:eastAsia="Times New Roman" w:hAnsi="Verdana"/>
                <w:b/>
                <w:bCs/>
                <w:color w:val="FFFFFF"/>
                <w:sz w:val="20"/>
                <w:szCs w:val="20"/>
                <w:lang w:eastAsia="es-CO"/>
              </w:rPr>
            </w:pPr>
            <w:r w:rsidRPr="00FD0151">
              <w:rPr>
                <w:rFonts w:ascii="Verdana" w:eastAsia="Times New Roman" w:hAnsi="Verdana"/>
                <w:b/>
                <w:bCs/>
                <w:color w:val="FFFFFF"/>
                <w:sz w:val="20"/>
                <w:szCs w:val="20"/>
                <w:lang w:eastAsia="es-CO"/>
              </w:rPr>
              <w:t>Avance Cuatrienio</w:t>
            </w:r>
          </w:p>
        </w:tc>
      </w:tr>
      <w:tr w:rsidR="00DA252E" w:rsidRPr="00FD0151" w:rsidTr="00CB5CC4">
        <w:trPr>
          <w:trHeight w:val="512"/>
        </w:trPr>
        <w:tc>
          <w:tcPr>
            <w:tcW w:w="1448" w:type="pct"/>
            <w:shd w:val="clear" w:color="000000" w:fill="D0D8E8"/>
            <w:hideMark/>
          </w:tcPr>
          <w:p w:rsidR="00DA252E" w:rsidRPr="00FD0151" w:rsidRDefault="00DA252E" w:rsidP="00DA252E">
            <w:pPr>
              <w:spacing w:after="0" w:line="240" w:lineRule="auto"/>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Familias indígenas beneficiadas con transferencias condicionadas</w:t>
            </w:r>
          </w:p>
        </w:tc>
        <w:tc>
          <w:tcPr>
            <w:tcW w:w="721" w:type="pct"/>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105</w:t>
            </w:r>
            <w:r>
              <w:rPr>
                <w:rFonts w:ascii="Verdana" w:eastAsia="Times New Roman" w:hAnsi="Verdana"/>
                <w:color w:val="000000"/>
                <w:sz w:val="20"/>
                <w:szCs w:val="20"/>
                <w:lang w:eastAsia="es-CO"/>
              </w:rPr>
              <w:t>.</w:t>
            </w:r>
            <w:r w:rsidRPr="00FD0151">
              <w:rPr>
                <w:rFonts w:ascii="Verdana" w:eastAsia="Times New Roman" w:hAnsi="Verdana"/>
                <w:color w:val="000000"/>
                <w:sz w:val="20"/>
                <w:szCs w:val="20"/>
                <w:lang w:eastAsia="es-CO"/>
              </w:rPr>
              <w:t>000</w:t>
            </w:r>
          </w:p>
        </w:tc>
        <w:tc>
          <w:tcPr>
            <w:tcW w:w="641" w:type="pct"/>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130</w:t>
            </w:r>
            <w:r>
              <w:rPr>
                <w:rFonts w:ascii="Verdana" w:eastAsia="Times New Roman" w:hAnsi="Verdana"/>
                <w:color w:val="000000"/>
                <w:sz w:val="20"/>
                <w:szCs w:val="20"/>
                <w:lang w:eastAsia="es-CO"/>
              </w:rPr>
              <w:t>.</w:t>
            </w:r>
            <w:r w:rsidRPr="00FD0151">
              <w:rPr>
                <w:rFonts w:ascii="Verdana" w:eastAsia="Times New Roman" w:hAnsi="Verdana"/>
                <w:color w:val="000000"/>
                <w:sz w:val="20"/>
                <w:szCs w:val="20"/>
                <w:lang w:eastAsia="es-CO"/>
              </w:rPr>
              <w:t>988</w:t>
            </w:r>
          </w:p>
        </w:tc>
        <w:tc>
          <w:tcPr>
            <w:tcW w:w="561" w:type="pct"/>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125%</w:t>
            </w:r>
          </w:p>
        </w:tc>
        <w:tc>
          <w:tcPr>
            <w:tcW w:w="160" w:type="pct"/>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 </w:t>
            </w:r>
          </w:p>
        </w:tc>
        <w:tc>
          <w:tcPr>
            <w:tcW w:w="735" w:type="pct"/>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N.A</w:t>
            </w:r>
          </w:p>
        </w:tc>
        <w:tc>
          <w:tcPr>
            <w:tcW w:w="735" w:type="pct"/>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 </w:t>
            </w:r>
          </w:p>
        </w:tc>
      </w:tr>
      <w:tr w:rsidR="00DA252E" w:rsidRPr="00FD0151" w:rsidTr="00CB5CC4">
        <w:trPr>
          <w:trHeight w:val="277"/>
        </w:trPr>
        <w:tc>
          <w:tcPr>
            <w:tcW w:w="1448" w:type="pct"/>
            <w:shd w:val="clear" w:color="000000" w:fill="E9EDF4"/>
            <w:hideMark/>
          </w:tcPr>
          <w:p w:rsidR="00DA252E" w:rsidRPr="00FD0151" w:rsidRDefault="00DA252E" w:rsidP="00DA252E">
            <w:pPr>
              <w:spacing w:after="0" w:line="240" w:lineRule="auto"/>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Familias IRACA</w:t>
            </w:r>
            <w:r>
              <w:rPr>
                <w:rFonts w:ascii="Verdana" w:eastAsia="Times New Roman" w:hAnsi="Verdana"/>
                <w:color w:val="000000"/>
                <w:sz w:val="20"/>
                <w:szCs w:val="20"/>
                <w:lang w:eastAsia="es-CO"/>
              </w:rPr>
              <w:t xml:space="preserve"> con Fase de Sostenibilidad</w:t>
            </w:r>
            <w:r w:rsidRPr="00FD0151">
              <w:rPr>
                <w:rFonts w:ascii="Verdana" w:eastAsia="Times New Roman" w:hAnsi="Verdana"/>
                <w:color w:val="000000"/>
                <w:sz w:val="20"/>
                <w:szCs w:val="20"/>
                <w:lang w:eastAsia="es-CO"/>
              </w:rPr>
              <w:t xml:space="preserve"> </w:t>
            </w:r>
          </w:p>
        </w:tc>
        <w:tc>
          <w:tcPr>
            <w:tcW w:w="721" w:type="pct"/>
            <w:shd w:val="clear" w:color="000000" w:fill="E9EDF4"/>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8</w:t>
            </w:r>
            <w:r>
              <w:rPr>
                <w:rFonts w:ascii="Verdana" w:eastAsia="Times New Roman" w:hAnsi="Verdana"/>
                <w:color w:val="000000"/>
                <w:sz w:val="20"/>
                <w:szCs w:val="20"/>
                <w:lang w:eastAsia="es-CO"/>
              </w:rPr>
              <w:t>.</w:t>
            </w:r>
            <w:r w:rsidRPr="00FD0151">
              <w:rPr>
                <w:rFonts w:ascii="Verdana" w:eastAsia="Times New Roman" w:hAnsi="Verdana"/>
                <w:color w:val="000000"/>
                <w:sz w:val="20"/>
                <w:szCs w:val="20"/>
                <w:lang w:eastAsia="es-CO"/>
              </w:rPr>
              <w:t>000</w:t>
            </w:r>
          </w:p>
        </w:tc>
        <w:tc>
          <w:tcPr>
            <w:tcW w:w="641" w:type="pct"/>
            <w:shd w:val="clear" w:color="000000" w:fill="E9EDF4"/>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10</w:t>
            </w:r>
            <w:r>
              <w:rPr>
                <w:rFonts w:ascii="Verdana" w:eastAsia="Times New Roman" w:hAnsi="Verdana"/>
                <w:color w:val="000000"/>
                <w:sz w:val="20"/>
                <w:szCs w:val="20"/>
                <w:lang w:eastAsia="es-CO"/>
              </w:rPr>
              <w:t>.</w:t>
            </w:r>
            <w:r w:rsidRPr="00FD0151">
              <w:rPr>
                <w:rFonts w:ascii="Verdana" w:eastAsia="Times New Roman" w:hAnsi="Verdana"/>
                <w:color w:val="000000"/>
                <w:sz w:val="20"/>
                <w:szCs w:val="20"/>
                <w:lang w:eastAsia="es-CO"/>
              </w:rPr>
              <w:t>000</w:t>
            </w:r>
          </w:p>
        </w:tc>
        <w:tc>
          <w:tcPr>
            <w:tcW w:w="561" w:type="pct"/>
            <w:shd w:val="clear" w:color="000000" w:fill="E9EDF4"/>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125%</w:t>
            </w:r>
          </w:p>
        </w:tc>
        <w:tc>
          <w:tcPr>
            <w:tcW w:w="160" w:type="pct"/>
            <w:shd w:val="clear" w:color="000000" w:fill="E9EDF4"/>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 </w:t>
            </w:r>
          </w:p>
        </w:tc>
        <w:tc>
          <w:tcPr>
            <w:tcW w:w="735" w:type="pct"/>
            <w:shd w:val="clear" w:color="000000" w:fill="E9EDF4"/>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N.A</w:t>
            </w:r>
          </w:p>
        </w:tc>
        <w:tc>
          <w:tcPr>
            <w:tcW w:w="735" w:type="pct"/>
            <w:shd w:val="clear" w:color="000000" w:fill="E9EDF4"/>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 </w:t>
            </w:r>
          </w:p>
        </w:tc>
      </w:tr>
    </w:tbl>
    <w:p w:rsidR="00DA252E" w:rsidRDefault="00DA252E" w:rsidP="00DA252E">
      <w:pPr>
        <w:spacing w:after="0" w:line="240" w:lineRule="auto"/>
        <w:jc w:val="both"/>
        <w:rPr>
          <w:rFonts w:ascii="Verdana" w:hAnsi="Verdana"/>
          <w:i/>
          <w:sz w:val="24"/>
          <w:szCs w:val="24"/>
        </w:rPr>
      </w:pPr>
    </w:p>
    <w:p w:rsidR="00DA252E" w:rsidRPr="00DE0A9D" w:rsidRDefault="00DA252E" w:rsidP="00DA252E">
      <w:pPr>
        <w:spacing w:after="0" w:line="240" w:lineRule="auto"/>
        <w:jc w:val="both"/>
        <w:rPr>
          <w:rFonts w:ascii="Verdana" w:hAnsi="Verdana"/>
          <w:i/>
          <w:sz w:val="24"/>
          <w:szCs w:val="24"/>
        </w:rPr>
      </w:pPr>
    </w:p>
    <w:p w:rsidR="00DA252E" w:rsidRPr="001E7D69" w:rsidRDefault="00DA252E" w:rsidP="00FF784D">
      <w:pPr>
        <w:pStyle w:val="Prrafodelista"/>
        <w:numPr>
          <w:ilvl w:val="0"/>
          <w:numId w:val="25"/>
        </w:numPr>
        <w:spacing w:after="0" w:line="240" w:lineRule="auto"/>
        <w:jc w:val="both"/>
        <w:rPr>
          <w:rFonts w:ascii="Verdana" w:hAnsi="Verdana"/>
          <w:i/>
          <w:sz w:val="24"/>
          <w:szCs w:val="24"/>
        </w:rPr>
      </w:pPr>
      <w:r w:rsidRPr="001E7D69">
        <w:rPr>
          <w:rFonts w:ascii="Verdana" w:hAnsi="Verdana"/>
          <w:i/>
          <w:sz w:val="24"/>
          <w:szCs w:val="24"/>
        </w:rPr>
        <w:t>Objetivo estratégico: Garantizar un sistema de atención al ciudadano articulado y oportuno.</w:t>
      </w:r>
    </w:p>
    <w:p w:rsidR="00DA252E" w:rsidRDefault="00DA252E" w:rsidP="00DA252E">
      <w:pPr>
        <w:pStyle w:val="Prrafodelista"/>
        <w:spacing w:after="0" w:line="240" w:lineRule="auto"/>
        <w:jc w:val="both"/>
        <w:rPr>
          <w:rFonts w:ascii="Verdana" w:hAnsi="Verdana"/>
          <w:b/>
          <w:sz w:val="24"/>
          <w:szCs w:val="24"/>
        </w:rPr>
      </w:pPr>
    </w:p>
    <w:p w:rsidR="0007719D" w:rsidRDefault="0007719D" w:rsidP="00DA252E">
      <w:pPr>
        <w:pStyle w:val="Prrafodelista"/>
        <w:spacing w:after="0" w:line="240" w:lineRule="auto"/>
        <w:jc w:val="both"/>
        <w:rPr>
          <w:rFonts w:ascii="Verdana" w:hAnsi="Verdana"/>
          <w:b/>
          <w:sz w:val="24"/>
          <w:szCs w:val="24"/>
        </w:rPr>
      </w:pPr>
    </w:p>
    <w:p w:rsidR="0007719D" w:rsidRPr="00DE0A9D" w:rsidRDefault="0007719D" w:rsidP="00DA252E">
      <w:pPr>
        <w:pStyle w:val="Prrafodelista"/>
        <w:spacing w:after="0" w:line="240" w:lineRule="auto"/>
        <w:jc w:val="both"/>
        <w:rPr>
          <w:rFonts w:ascii="Verdana" w:hAnsi="Verdana"/>
          <w:b/>
          <w:sz w:val="24"/>
          <w:szCs w:val="24"/>
        </w:rPr>
      </w:pPr>
    </w:p>
    <w:tbl>
      <w:tblPr>
        <w:tblW w:w="5000" w:type="pct"/>
        <w:tblCellMar>
          <w:left w:w="70" w:type="dxa"/>
          <w:right w:w="70" w:type="dxa"/>
        </w:tblCellMar>
        <w:tblLook w:val="04A0"/>
      </w:tblPr>
      <w:tblGrid>
        <w:gridCol w:w="2898"/>
        <w:gridCol w:w="1444"/>
        <w:gridCol w:w="1282"/>
        <w:gridCol w:w="1122"/>
        <w:gridCol w:w="320"/>
        <w:gridCol w:w="1444"/>
        <w:gridCol w:w="1602"/>
      </w:tblGrid>
      <w:tr w:rsidR="00DA252E" w:rsidRPr="00FD0151" w:rsidTr="00CB5CC4">
        <w:trPr>
          <w:trHeight w:val="458"/>
        </w:trPr>
        <w:tc>
          <w:tcPr>
            <w:tcW w:w="1433" w:type="pct"/>
            <w:tcBorders>
              <w:top w:val="single" w:sz="8" w:space="0" w:color="FFFFFF"/>
              <w:left w:val="single" w:sz="8" w:space="0" w:color="FFFFFF"/>
              <w:bottom w:val="single" w:sz="12" w:space="0" w:color="FFFFFF"/>
              <w:right w:val="single" w:sz="8" w:space="0" w:color="FFFFFF"/>
            </w:tcBorders>
            <w:shd w:val="clear" w:color="auto" w:fill="548DD4" w:themeFill="text2" w:themeFillTint="99"/>
            <w:vAlign w:val="center"/>
            <w:hideMark/>
          </w:tcPr>
          <w:p w:rsidR="00DA252E" w:rsidRPr="00FD0151" w:rsidRDefault="00DA252E" w:rsidP="00DA252E">
            <w:pPr>
              <w:spacing w:after="0" w:line="240" w:lineRule="auto"/>
              <w:jc w:val="center"/>
              <w:rPr>
                <w:rFonts w:ascii="Verdana" w:eastAsia="Times New Roman" w:hAnsi="Verdana"/>
                <w:b/>
                <w:bCs/>
                <w:color w:val="FFFFFF"/>
                <w:sz w:val="20"/>
                <w:szCs w:val="20"/>
                <w:lang w:eastAsia="es-CO"/>
              </w:rPr>
            </w:pPr>
            <w:r w:rsidRPr="00FD0151">
              <w:rPr>
                <w:rFonts w:ascii="Verdana" w:eastAsia="Times New Roman" w:hAnsi="Verdana"/>
                <w:b/>
                <w:bCs/>
                <w:color w:val="FFFFFF"/>
                <w:sz w:val="20"/>
                <w:szCs w:val="20"/>
                <w:lang w:eastAsia="es-CO"/>
              </w:rPr>
              <w:t>Indicador</w:t>
            </w:r>
          </w:p>
        </w:tc>
        <w:tc>
          <w:tcPr>
            <w:tcW w:w="714" w:type="pct"/>
            <w:tcBorders>
              <w:top w:val="single" w:sz="8" w:space="0" w:color="FFFFFF"/>
              <w:left w:val="nil"/>
              <w:bottom w:val="single" w:sz="12" w:space="0" w:color="FFFFFF"/>
              <w:right w:val="single" w:sz="8" w:space="0" w:color="FFFFFF"/>
            </w:tcBorders>
            <w:shd w:val="clear" w:color="auto" w:fill="548DD4" w:themeFill="text2" w:themeFillTint="99"/>
            <w:vAlign w:val="center"/>
            <w:hideMark/>
          </w:tcPr>
          <w:p w:rsidR="00DA252E" w:rsidRPr="00FD0151" w:rsidRDefault="00DA252E" w:rsidP="00DA252E">
            <w:pPr>
              <w:spacing w:after="0" w:line="240" w:lineRule="auto"/>
              <w:jc w:val="center"/>
              <w:rPr>
                <w:rFonts w:ascii="Verdana" w:eastAsia="Times New Roman" w:hAnsi="Verdana"/>
                <w:b/>
                <w:bCs/>
                <w:color w:val="FFFFFF"/>
                <w:sz w:val="20"/>
                <w:szCs w:val="20"/>
                <w:lang w:eastAsia="es-CO"/>
              </w:rPr>
            </w:pPr>
            <w:r w:rsidRPr="00FD0151">
              <w:rPr>
                <w:rFonts w:ascii="Verdana" w:eastAsia="Times New Roman" w:hAnsi="Verdana"/>
                <w:b/>
                <w:bCs/>
                <w:color w:val="FFFFFF"/>
                <w:sz w:val="20"/>
                <w:szCs w:val="20"/>
                <w:lang w:eastAsia="es-CO"/>
              </w:rPr>
              <w:t>Meta 2014</w:t>
            </w:r>
          </w:p>
        </w:tc>
        <w:tc>
          <w:tcPr>
            <w:tcW w:w="634" w:type="pct"/>
            <w:tcBorders>
              <w:top w:val="single" w:sz="8" w:space="0" w:color="FFFFFF"/>
              <w:left w:val="nil"/>
              <w:bottom w:val="single" w:sz="12" w:space="0" w:color="FFFFFF"/>
              <w:right w:val="single" w:sz="8" w:space="0" w:color="FFFFFF"/>
            </w:tcBorders>
            <w:shd w:val="clear" w:color="auto" w:fill="548DD4" w:themeFill="text2" w:themeFillTint="99"/>
            <w:vAlign w:val="center"/>
            <w:hideMark/>
          </w:tcPr>
          <w:p w:rsidR="00DA252E" w:rsidRPr="00FD0151" w:rsidRDefault="00DA252E" w:rsidP="00DA252E">
            <w:pPr>
              <w:spacing w:after="0" w:line="240" w:lineRule="auto"/>
              <w:jc w:val="center"/>
              <w:rPr>
                <w:rFonts w:ascii="Verdana" w:eastAsia="Times New Roman" w:hAnsi="Verdana"/>
                <w:b/>
                <w:bCs/>
                <w:color w:val="FFFFFF"/>
                <w:sz w:val="20"/>
                <w:szCs w:val="20"/>
                <w:lang w:eastAsia="es-CO"/>
              </w:rPr>
            </w:pPr>
            <w:r w:rsidRPr="00FD0151">
              <w:rPr>
                <w:rFonts w:ascii="Verdana" w:eastAsia="Times New Roman" w:hAnsi="Verdana"/>
                <w:b/>
                <w:bCs/>
                <w:color w:val="FFFFFF"/>
                <w:sz w:val="20"/>
                <w:szCs w:val="20"/>
                <w:lang w:eastAsia="es-CO"/>
              </w:rPr>
              <w:t>Avance 2014</w:t>
            </w:r>
          </w:p>
        </w:tc>
        <w:tc>
          <w:tcPr>
            <w:tcW w:w="555" w:type="pct"/>
            <w:tcBorders>
              <w:top w:val="single" w:sz="8" w:space="0" w:color="FFFFFF"/>
              <w:left w:val="nil"/>
              <w:bottom w:val="single" w:sz="12" w:space="0" w:color="FFFFFF"/>
              <w:right w:val="single" w:sz="8" w:space="0" w:color="FFFFFF"/>
            </w:tcBorders>
            <w:shd w:val="clear" w:color="auto" w:fill="548DD4" w:themeFill="text2" w:themeFillTint="99"/>
            <w:vAlign w:val="center"/>
            <w:hideMark/>
          </w:tcPr>
          <w:p w:rsidR="00DA252E" w:rsidRPr="00FD0151" w:rsidRDefault="00DA252E" w:rsidP="00DA252E">
            <w:pPr>
              <w:spacing w:after="0" w:line="240" w:lineRule="auto"/>
              <w:jc w:val="center"/>
              <w:rPr>
                <w:rFonts w:ascii="Verdana" w:eastAsia="Times New Roman" w:hAnsi="Verdana"/>
                <w:b/>
                <w:bCs/>
                <w:color w:val="FFFFFF"/>
                <w:sz w:val="20"/>
                <w:szCs w:val="20"/>
                <w:lang w:eastAsia="es-CO"/>
              </w:rPr>
            </w:pPr>
            <w:r w:rsidRPr="00FD0151">
              <w:rPr>
                <w:rFonts w:ascii="Verdana" w:eastAsia="Times New Roman" w:hAnsi="Verdana"/>
                <w:b/>
                <w:bCs/>
                <w:color w:val="FFFFFF"/>
                <w:sz w:val="20"/>
                <w:szCs w:val="20"/>
                <w:lang w:eastAsia="es-CO"/>
              </w:rPr>
              <w:t>% Avance</w:t>
            </w:r>
          </w:p>
        </w:tc>
        <w:tc>
          <w:tcPr>
            <w:tcW w:w="158" w:type="pct"/>
            <w:tcBorders>
              <w:top w:val="single" w:sz="8" w:space="0" w:color="FFFFFF"/>
              <w:left w:val="nil"/>
              <w:bottom w:val="single" w:sz="12" w:space="0" w:color="FFFFFF"/>
              <w:right w:val="single" w:sz="8" w:space="0" w:color="FFFFFF"/>
            </w:tcBorders>
            <w:shd w:val="clear" w:color="auto" w:fill="548DD4" w:themeFill="text2" w:themeFillTint="99"/>
            <w:vAlign w:val="center"/>
            <w:hideMark/>
          </w:tcPr>
          <w:p w:rsidR="00DA252E" w:rsidRPr="00FD0151" w:rsidRDefault="00DA252E" w:rsidP="00DA252E">
            <w:pPr>
              <w:spacing w:after="0" w:line="240" w:lineRule="auto"/>
              <w:jc w:val="center"/>
              <w:rPr>
                <w:rFonts w:ascii="Verdana" w:eastAsia="Times New Roman" w:hAnsi="Verdana"/>
                <w:b/>
                <w:bCs/>
                <w:color w:val="FFFFFF"/>
                <w:sz w:val="20"/>
                <w:szCs w:val="20"/>
                <w:lang w:eastAsia="es-CO"/>
              </w:rPr>
            </w:pPr>
            <w:r w:rsidRPr="00FD0151">
              <w:rPr>
                <w:rFonts w:ascii="Verdana" w:eastAsia="Times New Roman" w:hAnsi="Verdana"/>
                <w:b/>
                <w:bCs/>
                <w:color w:val="FFFFFF"/>
                <w:sz w:val="20"/>
                <w:szCs w:val="20"/>
                <w:lang w:eastAsia="es-CO"/>
              </w:rPr>
              <w:t> </w:t>
            </w:r>
          </w:p>
        </w:tc>
        <w:tc>
          <w:tcPr>
            <w:tcW w:w="714" w:type="pct"/>
            <w:tcBorders>
              <w:top w:val="single" w:sz="8" w:space="0" w:color="FFFFFF"/>
              <w:left w:val="nil"/>
              <w:bottom w:val="single" w:sz="12" w:space="0" w:color="FFFFFF"/>
              <w:right w:val="single" w:sz="8" w:space="0" w:color="FFFFFF"/>
            </w:tcBorders>
            <w:shd w:val="clear" w:color="auto" w:fill="548DD4" w:themeFill="text2" w:themeFillTint="99"/>
            <w:vAlign w:val="center"/>
            <w:hideMark/>
          </w:tcPr>
          <w:p w:rsidR="00DA252E" w:rsidRPr="00FD0151" w:rsidRDefault="00DA252E" w:rsidP="00DA252E">
            <w:pPr>
              <w:spacing w:after="0" w:line="240" w:lineRule="auto"/>
              <w:jc w:val="center"/>
              <w:rPr>
                <w:rFonts w:ascii="Verdana" w:eastAsia="Times New Roman" w:hAnsi="Verdana"/>
                <w:b/>
                <w:bCs/>
                <w:color w:val="FFFFFF"/>
                <w:sz w:val="20"/>
                <w:szCs w:val="20"/>
                <w:lang w:eastAsia="es-CO"/>
              </w:rPr>
            </w:pPr>
            <w:r w:rsidRPr="00FD0151">
              <w:rPr>
                <w:rFonts w:ascii="Verdana" w:eastAsia="Times New Roman" w:hAnsi="Verdana"/>
                <w:b/>
                <w:bCs/>
                <w:color w:val="FFFFFF"/>
                <w:sz w:val="20"/>
                <w:szCs w:val="20"/>
                <w:lang w:eastAsia="es-CO"/>
              </w:rPr>
              <w:t>Meta Cuatrienio</w:t>
            </w:r>
          </w:p>
        </w:tc>
        <w:tc>
          <w:tcPr>
            <w:tcW w:w="793" w:type="pct"/>
            <w:tcBorders>
              <w:top w:val="single" w:sz="8" w:space="0" w:color="FFFFFF"/>
              <w:left w:val="nil"/>
              <w:bottom w:val="single" w:sz="12" w:space="0" w:color="FFFFFF"/>
              <w:right w:val="single" w:sz="8" w:space="0" w:color="FFFFFF"/>
            </w:tcBorders>
            <w:shd w:val="clear" w:color="auto" w:fill="548DD4" w:themeFill="text2" w:themeFillTint="99"/>
            <w:vAlign w:val="center"/>
            <w:hideMark/>
          </w:tcPr>
          <w:p w:rsidR="00DA252E" w:rsidRPr="00FD0151" w:rsidRDefault="00DA252E" w:rsidP="00DA252E">
            <w:pPr>
              <w:spacing w:after="0" w:line="240" w:lineRule="auto"/>
              <w:jc w:val="center"/>
              <w:rPr>
                <w:rFonts w:ascii="Verdana" w:eastAsia="Times New Roman" w:hAnsi="Verdana"/>
                <w:b/>
                <w:bCs/>
                <w:color w:val="FFFFFF"/>
                <w:sz w:val="20"/>
                <w:szCs w:val="20"/>
                <w:lang w:eastAsia="es-CO"/>
              </w:rPr>
            </w:pPr>
            <w:r w:rsidRPr="00FD0151">
              <w:rPr>
                <w:rFonts w:ascii="Verdana" w:eastAsia="Times New Roman" w:hAnsi="Verdana"/>
                <w:b/>
                <w:bCs/>
                <w:color w:val="FFFFFF"/>
                <w:sz w:val="20"/>
                <w:szCs w:val="20"/>
                <w:lang w:eastAsia="es-CO"/>
              </w:rPr>
              <w:t>Avance Cuatrienio</w:t>
            </w:r>
          </w:p>
        </w:tc>
      </w:tr>
      <w:tr w:rsidR="00DA252E" w:rsidRPr="00FD0151" w:rsidTr="00CB5CC4">
        <w:trPr>
          <w:trHeight w:val="519"/>
        </w:trPr>
        <w:tc>
          <w:tcPr>
            <w:tcW w:w="1433" w:type="pct"/>
            <w:tcBorders>
              <w:top w:val="nil"/>
              <w:left w:val="single" w:sz="8" w:space="0" w:color="FFFFFF"/>
              <w:bottom w:val="single" w:sz="8" w:space="0" w:color="FFFFFF"/>
              <w:right w:val="single" w:sz="8" w:space="0" w:color="FFFFFF"/>
            </w:tcBorders>
            <w:shd w:val="clear" w:color="000000" w:fill="D0D8E8"/>
            <w:hideMark/>
          </w:tcPr>
          <w:p w:rsidR="00DA252E" w:rsidRPr="00FD0151" w:rsidRDefault="00DA252E" w:rsidP="00DA252E">
            <w:pPr>
              <w:spacing w:after="0" w:line="240" w:lineRule="auto"/>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Efectividad en la gestión de peticiones</w:t>
            </w:r>
          </w:p>
        </w:tc>
        <w:tc>
          <w:tcPr>
            <w:tcW w:w="714" w:type="pct"/>
            <w:tcBorders>
              <w:top w:val="nil"/>
              <w:left w:val="nil"/>
              <w:bottom w:val="single" w:sz="8" w:space="0" w:color="FFFFFF"/>
              <w:right w:val="single" w:sz="8" w:space="0" w:color="FFFFFF"/>
            </w:tcBorders>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70%</w:t>
            </w:r>
          </w:p>
        </w:tc>
        <w:tc>
          <w:tcPr>
            <w:tcW w:w="634" w:type="pct"/>
            <w:tcBorders>
              <w:top w:val="nil"/>
              <w:left w:val="nil"/>
              <w:bottom w:val="single" w:sz="8" w:space="0" w:color="FFFFFF"/>
              <w:right w:val="single" w:sz="8" w:space="0" w:color="FFFFFF"/>
            </w:tcBorders>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62%</w:t>
            </w:r>
          </w:p>
        </w:tc>
        <w:tc>
          <w:tcPr>
            <w:tcW w:w="555" w:type="pct"/>
            <w:tcBorders>
              <w:top w:val="nil"/>
              <w:left w:val="nil"/>
              <w:bottom w:val="single" w:sz="8" w:space="0" w:color="FFFFFF"/>
              <w:right w:val="single" w:sz="8" w:space="0" w:color="FFFFFF"/>
            </w:tcBorders>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89%</w:t>
            </w:r>
          </w:p>
        </w:tc>
        <w:tc>
          <w:tcPr>
            <w:tcW w:w="158" w:type="pct"/>
            <w:tcBorders>
              <w:top w:val="nil"/>
              <w:left w:val="nil"/>
              <w:bottom w:val="single" w:sz="8" w:space="0" w:color="FFFFFF"/>
              <w:right w:val="single" w:sz="8" w:space="0" w:color="FFFFFF"/>
            </w:tcBorders>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 </w:t>
            </w:r>
          </w:p>
        </w:tc>
        <w:tc>
          <w:tcPr>
            <w:tcW w:w="714" w:type="pct"/>
            <w:tcBorders>
              <w:top w:val="nil"/>
              <w:left w:val="nil"/>
              <w:bottom w:val="single" w:sz="8" w:space="0" w:color="FFFFFF"/>
              <w:right w:val="single" w:sz="8" w:space="0" w:color="FFFFFF"/>
            </w:tcBorders>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N.A</w:t>
            </w:r>
          </w:p>
        </w:tc>
        <w:tc>
          <w:tcPr>
            <w:tcW w:w="793" w:type="pct"/>
            <w:tcBorders>
              <w:top w:val="nil"/>
              <w:left w:val="nil"/>
              <w:bottom w:val="single" w:sz="8" w:space="0" w:color="FFFFFF"/>
              <w:right w:val="single" w:sz="8" w:space="0" w:color="FFFFFF"/>
            </w:tcBorders>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 </w:t>
            </w:r>
          </w:p>
        </w:tc>
      </w:tr>
      <w:tr w:rsidR="00DA252E" w:rsidRPr="00FD0151" w:rsidTr="00CB5CC4">
        <w:trPr>
          <w:trHeight w:val="602"/>
        </w:trPr>
        <w:tc>
          <w:tcPr>
            <w:tcW w:w="1433" w:type="pct"/>
            <w:tcBorders>
              <w:top w:val="nil"/>
              <w:left w:val="single" w:sz="8" w:space="0" w:color="FFFFFF"/>
              <w:bottom w:val="single" w:sz="8" w:space="0" w:color="FFFFFF"/>
              <w:right w:val="single" w:sz="8" w:space="0" w:color="FFFFFF"/>
            </w:tcBorders>
            <w:shd w:val="clear" w:color="000000" w:fill="E9EDF4"/>
            <w:hideMark/>
          </w:tcPr>
          <w:p w:rsidR="00DA252E" w:rsidRPr="00FD0151" w:rsidRDefault="00DA252E" w:rsidP="00DA252E">
            <w:pPr>
              <w:spacing w:after="0" w:line="240" w:lineRule="auto"/>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Medición de Satisfacción de la atención prestada</w:t>
            </w:r>
          </w:p>
        </w:tc>
        <w:tc>
          <w:tcPr>
            <w:tcW w:w="714" w:type="pct"/>
            <w:tcBorders>
              <w:top w:val="nil"/>
              <w:left w:val="nil"/>
              <w:bottom w:val="single" w:sz="8" w:space="0" w:color="FFFFFF"/>
              <w:right w:val="single" w:sz="8" w:space="0" w:color="FFFFFF"/>
            </w:tcBorders>
            <w:shd w:val="clear" w:color="000000" w:fill="E9EDF4"/>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80%</w:t>
            </w:r>
          </w:p>
        </w:tc>
        <w:tc>
          <w:tcPr>
            <w:tcW w:w="634" w:type="pct"/>
            <w:tcBorders>
              <w:top w:val="nil"/>
              <w:left w:val="nil"/>
              <w:bottom w:val="single" w:sz="8" w:space="0" w:color="FFFFFF"/>
              <w:right w:val="single" w:sz="8" w:space="0" w:color="FFFFFF"/>
            </w:tcBorders>
            <w:shd w:val="clear" w:color="000000" w:fill="E9EDF4"/>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98%</w:t>
            </w:r>
          </w:p>
        </w:tc>
        <w:tc>
          <w:tcPr>
            <w:tcW w:w="555" w:type="pct"/>
            <w:tcBorders>
              <w:top w:val="nil"/>
              <w:left w:val="nil"/>
              <w:bottom w:val="single" w:sz="8" w:space="0" w:color="FFFFFF"/>
              <w:right w:val="single" w:sz="8" w:space="0" w:color="FFFFFF"/>
            </w:tcBorders>
            <w:shd w:val="clear" w:color="000000" w:fill="E9EDF4"/>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123%</w:t>
            </w:r>
          </w:p>
        </w:tc>
        <w:tc>
          <w:tcPr>
            <w:tcW w:w="158" w:type="pct"/>
            <w:tcBorders>
              <w:top w:val="nil"/>
              <w:left w:val="nil"/>
              <w:bottom w:val="single" w:sz="8" w:space="0" w:color="FFFFFF"/>
              <w:right w:val="single" w:sz="8" w:space="0" w:color="FFFFFF"/>
            </w:tcBorders>
            <w:shd w:val="clear" w:color="000000" w:fill="E9EDF4"/>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 </w:t>
            </w:r>
          </w:p>
        </w:tc>
        <w:tc>
          <w:tcPr>
            <w:tcW w:w="714" w:type="pct"/>
            <w:tcBorders>
              <w:top w:val="nil"/>
              <w:left w:val="nil"/>
              <w:bottom w:val="single" w:sz="8" w:space="0" w:color="FFFFFF"/>
              <w:right w:val="single" w:sz="8" w:space="0" w:color="FFFFFF"/>
            </w:tcBorders>
            <w:shd w:val="clear" w:color="000000" w:fill="E9EDF4"/>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N.A</w:t>
            </w:r>
          </w:p>
        </w:tc>
        <w:tc>
          <w:tcPr>
            <w:tcW w:w="793" w:type="pct"/>
            <w:tcBorders>
              <w:top w:val="nil"/>
              <w:left w:val="nil"/>
              <w:bottom w:val="single" w:sz="8" w:space="0" w:color="FFFFFF"/>
              <w:right w:val="single" w:sz="8" w:space="0" w:color="FFFFFF"/>
            </w:tcBorders>
            <w:shd w:val="clear" w:color="000000" w:fill="E9EDF4"/>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 </w:t>
            </w:r>
          </w:p>
        </w:tc>
      </w:tr>
      <w:tr w:rsidR="00DA252E" w:rsidRPr="00FD0151" w:rsidTr="00CB5CC4">
        <w:trPr>
          <w:trHeight w:val="533"/>
        </w:trPr>
        <w:tc>
          <w:tcPr>
            <w:tcW w:w="1433" w:type="pct"/>
            <w:tcBorders>
              <w:top w:val="nil"/>
              <w:left w:val="single" w:sz="8" w:space="0" w:color="FFFFFF"/>
              <w:bottom w:val="single" w:sz="8" w:space="0" w:color="FFFFFF"/>
              <w:right w:val="single" w:sz="8" w:space="0" w:color="FFFFFF"/>
            </w:tcBorders>
            <w:shd w:val="clear" w:color="000000" w:fill="D0D8E8"/>
            <w:hideMark/>
          </w:tcPr>
          <w:p w:rsidR="00DA252E" w:rsidRPr="00FD0151" w:rsidRDefault="00DA252E" w:rsidP="00DA252E">
            <w:pPr>
              <w:spacing w:after="0" w:line="240" w:lineRule="auto"/>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Oportunidad en la respuesta de peticiones</w:t>
            </w:r>
          </w:p>
        </w:tc>
        <w:tc>
          <w:tcPr>
            <w:tcW w:w="714" w:type="pct"/>
            <w:tcBorders>
              <w:top w:val="nil"/>
              <w:left w:val="nil"/>
              <w:bottom w:val="single" w:sz="8" w:space="0" w:color="FFFFFF"/>
              <w:right w:val="single" w:sz="8" w:space="0" w:color="FFFFFF"/>
            </w:tcBorders>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100%</w:t>
            </w:r>
          </w:p>
        </w:tc>
        <w:tc>
          <w:tcPr>
            <w:tcW w:w="634" w:type="pct"/>
            <w:tcBorders>
              <w:top w:val="nil"/>
              <w:left w:val="nil"/>
              <w:bottom w:val="single" w:sz="8" w:space="0" w:color="FFFFFF"/>
              <w:right w:val="single" w:sz="8" w:space="0" w:color="FFFFFF"/>
            </w:tcBorders>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71%</w:t>
            </w:r>
          </w:p>
        </w:tc>
        <w:tc>
          <w:tcPr>
            <w:tcW w:w="555" w:type="pct"/>
            <w:tcBorders>
              <w:top w:val="nil"/>
              <w:left w:val="nil"/>
              <w:bottom w:val="single" w:sz="8" w:space="0" w:color="FFFFFF"/>
              <w:right w:val="single" w:sz="8" w:space="0" w:color="FFFFFF"/>
            </w:tcBorders>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71%</w:t>
            </w:r>
          </w:p>
        </w:tc>
        <w:tc>
          <w:tcPr>
            <w:tcW w:w="158" w:type="pct"/>
            <w:tcBorders>
              <w:top w:val="nil"/>
              <w:left w:val="nil"/>
              <w:bottom w:val="single" w:sz="8" w:space="0" w:color="FFFFFF"/>
              <w:right w:val="single" w:sz="8" w:space="0" w:color="FFFFFF"/>
            </w:tcBorders>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 </w:t>
            </w:r>
          </w:p>
        </w:tc>
        <w:tc>
          <w:tcPr>
            <w:tcW w:w="714" w:type="pct"/>
            <w:tcBorders>
              <w:top w:val="nil"/>
              <w:left w:val="nil"/>
              <w:bottom w:val="single" w:sz="8" w:space="0" w:color="FFFFFF"/>
              <w:right w:val="single" w:sz="8" w:space="0" w:color="FFFFFF"/>
            </w:tcBorders>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N.A</w:t>
            </w:r>
          </w:p>
        </w:tc>
        <w:tc>
          <w:tcPr>
            <w:tcW w:w="793" w:type="pct"/>
            <w:tcBorders>
              <w:top w:val="nil"/>
              <w:left w:val="nil"/>
              <w:bottom w:val="single" w:sz="8" w:space="0" w:color="FFFFFF"/>
              <w:right w:val="single" w:sz="8" w:space="0" w:color="FFFFFF"/>
            </w:tcBorders>
            <w:shd w:val="clear" w:color="000000" w:fill="D0D8E8"/>
            <w:vAlign w:val="center"/>
            <w:hideMark/>
          </w:tcPr>
          <w:p w:rsidR="00DA252E" w:rsidRPr="00FD0151" w:rsidRDefault="00DA252E" w:rsidP="00DA252E">
            <w:pPr>
              <w:spacing w:after="0" w:line="240" w:lineRule="auto"/>
              <w:jc w:val="center"/>
              <w:rPr>
                <w:rFonts w:ascii="Verdana" w:eastAsia="Times New Roman" w:hAnsi="Verdana"/>
                <w:color w:val="000000"/>
                <w:sz w:val="20"/>
                <w:szCs w:val="20"/>
                <w:lang w:eastAsia="es-CO"/>
              </w:rPr>
            </w:pPr>
            <w:r w:rsidRPr="00FD0151">
              <w:rPr>
                <w:rFonts w:ascii="Verdana" w:eastAsia="Times New Roman" w:hAnsi="Verdana"/>
                <w:color w:val="000000"/>
                <w:sz w:val="20"/>
                <w:szCs w:val="20"/>
                <w:lang w:eastAsia="es-CO"/>
              </w:rPr>
              <w:t> </w:t>
            </w:r>
          </w:p>
        </w:tc>
      </w:tr>
    </w:tbl>
    <w:p w:rsidR="00DA252E" w:rsidRPr="00DE0A9D" w:rsidRDefault="00DA252E" w:rsidP="00DA252E">
      <w:pPr>
        <w:pStyle w:val="Prrafodelista"/>
        <w:spacing w:after="0" w:line="240" w:lineRule="auto"/>
        <w:jc w:val="both"/>
        <w:rPr>
          <w:rFonts w:ascii="Verdana" w:hAnsi="Verdana"/>
          <w:b/>
          <w:sz w:val="24"/>
          <w:szCs w:val="24"/>
        </w:rPr>
      </w:pPr>
    </w:p>
    <w:p w:rsidR="00DA252E" w:rsidRDefault="00DA252E" w:rsidP="00FF784D">
      <w:pPr>
        <w:pStyle w:val="Prrafodelista"/>
        <w:numPr>
          <w:ilvl w:val="0"/>
          <w:numId w:val="25"/>
        </w:numPr>
        <w:spacing w:after="0" w:line="240" w:lineRule="auto"/>
        <w:jc w:val="both"/>
        <w:rPr>
          <w:rFonts w:ascii="Verdana" w:hAnsi="Verdana"/>
          <w:i/>
          <w:sz w:val="24"/>
          <w:szCs w:val="24"/>
        </w:rPr>
      </w:pPr>
      <w:r w:rsidRPr="001E7D69">
        <w:rPr>
          <w:rFonts w:ascii="Verdana" w:hAnsi="Verdana"/>
          <w:i/>
          <w:sz w:val="24"/>
          <w:szCs w:val="24"/>
        </w:rPr>
        <w:t>Objetivo estratégico: Lograr la máxima articulación. eficiencia e impacto en la ejecución de los recursos para la prosperidad social.</w:t>
      </w:r>
    </w:p>
    <w:p w:rsidR="00DA252E" w:rsidRPr="001E7D69" w:rsidRDefault="00DA252E" w:rsidP="00DA252E">
      <w:pPr>
        <w:pStyle w:val="Prrafodelista"/>
        <w:spacing w:after="0" w:line="240" w:lineRule="auto"/>
        <w:jc w:val="both"/>
        <w:rPr>
          <w:rFonts w:ascii="Verdana" w:hAnsi="Verdana"/>
          <w:i/>
          <w:sz w:val="24"/>
          <w:szCs w:val="24"/>
        </w:rPr>
      </w:pPr>
    </w:p>
    <w:tbl>
      <w:tblPr>
        <w:tblW w:w="5000" w:type="pct"/>
        <w:tblCellMar>
          <w:left w:w="70" w:type="dxa"/>
          <w:right w:w="70" w:type="dxa"/>
        </w:tblCellMar>
        <w:tblLook w:val="04A0"/>
      </w:tblPr>
      <w:tblGrid>
        <w:gridCol w:w="2929"/>
        <w:gridCol w:w="1458"/>
        <w:gridCol w:w="1296"/>
        <w:gridCol w:w="1135"/>
        <w:gridCol w:w="324"/>
        <w:gridCol w:w="1486"/>
        <w:gridCol w:w="1484"/>
      </w:tblGrid>
      <w:tr w:rsidR="00DA252E" w:rsidRPr="003D34F5" w:rsidTr="00CB5CC4">
        <w:trPr>
          <w:trHeight w:val="485"/>
        </w:trPr>
        <w:tc>
          <w:tcPr>
            <w:tcW w:w="1448" w:type="pct"/>
            <w:tcBorders>
              <w:top w:val="single" w:sz="8" w:space="0" w:color="FFFFFF"/>
              <w:left w:val="single" w:sz="8" w:space="0" w:color="FFFFFF"/>
              <w:bottom w:val="single" w:sz="12" w:space="0" w:color="FFFFFF"/>
              <w:right w:val="single" w:sz="8" w:space="0" w:color="FFFFFF"/>
            </w:tcBorders>
            <w:shd w:val="clear" w:color="auto" w:fill="548DD4" w:themeFill="text2" w:themeFillTint="99"/>
            <w:vAlign w:val="center"/>
            <w:hideMark/>
          </w:tcPr>
          <w:p w:rsidR="00DA252E" w:rsidRPr="003D34F5" w:rsidRDefault="00DA252E" w:rsidP="00DA252E">
            <w:pPr>
              <w:spacing w:after="0" w:line="240" w:lineRule="auto"/>
              <w:jc w:val="center"/>
              <w:rPr>
                <w:rFonts w:ascii="Verdana" w:eastAsia="Times New Roman" w:hAnsi="Verdana"/>
                <w:b/>
                <w:bCs/>
                <w:color w:val="FFFFFF"/>
                <w:sz w:val="20"/>
                <w:szCs w:val="20"/>
                <w:lang w:eastAsia="es-CO"/>
              </w:rPr>
            </w:pPr>
            <w:r w:rsidRPr="003D34F5">
              <w:rPr>
                <w:rFonts w:ascii="Verdana" w:eastAsia="Times New Roman" w:hAnsi="Verdana"/>
                <w:b/>
                <w:bCs/>
                <w:color w:val="FFFFFF"/>
                <w:sz w:val="20"/>
                <w:szCs w:val="20"/>
                <w:lang w:eastAsia="es-CO"/>
              </w:rPr>
              <w:t>Indicador</w:t>
            </w:r>
          </w:p>
        </w:tc>
        <w:tc>
          <w:tcPr>
            <w:tcW w:w="721" w:type="pct"/>
            <w:tcBorders>
              <w:top w:val="single" w:sz="8" w:space="0" w:color="FFFFFF"/>
              <w:left w:val="nil"/>
              <w:bottom w:val="single" w:sz="12" w:space="0" w:color="FFFFFF"/>
              <w:right w:val="single" w:sz="8" w:space="0" w:color="FFFFFF"/>
            </w:tcBorders>
            <w:shd w:val="clear" w:color="auto" w:fill="548DD4" w:themeFill="text2" w:themeFillTint="99"/>
            <w:vAlign w:val="center"/>
            <w:hideMark/>
          </w:tcPr>
          <w:p w:rsidR="00DA252E" w:rsidRPr="003D34F5" w:rsidRDefault="00DA252E" w:rsidP="00DA252E">
            <w:pPr>
              <w:spacing w:after="0" w:line="240" w:lineRule="auto"/>
              <w:jc w:val="center"/>
              <w:rPr>
                <w:rFonts w:ascii="Verdana" w:eastAsia="Times New Roman" w:hAnsi="Verdana"/>
                <w:b/>
                <w:bCs/>
                <w:color w:val="FFFFFF"/>
                <w:sz w:val="20"/>
                <w:szCs w:val="20"/>
                <w:lang w:eastAsia="es-CO"/>
              </w:rPr>
            </w:pPr>
            <w:r w:rsidRPr="003D34F5">
              <w:rPr>
                <w:rFonts w:ascii="Verdana" w:eastAsia="Times New Roman" w:hAnsi="Verdana"/>
                <w:b/>
                <w:bCs/>
                <w:color w:val="FFFFFF"/>
                <w:sz w:val="20"/>
                <w:szCs w:val="20"/>
                <w:lang w:eastAsia="es-CO"/>
              </w:rPr>
              <w:t>Meta 2014</w:t>
            </w:r>
          </w:p>
        </w:tc>
        <w:tc>
          <w:tcPr>
            <w:tcW w:w="641" w:type="pct"/>
            <w:tcBorders>
              <w:top w:val="single" w:sz="8" w:space="0" w:color="FFFFFF"/>
              <w:left w:val="nil"/>
              <w:bottom w:val="single" w:sz="12" w:space="0" w:color="FFFFFF"/>
              <w:right w:val="single" w:sz="8" w:space="0" w:color="FFFFFF"/>
            </w:tcBorders>
            <w:shd w:val="clear" w:color="auto" w:fill="548DD4" w:themeFill="text2" w:themeFillTint="99"/>
            <w:vAlign w:val="center"/>
            <w:hideMark/>
          </w:tcPr>
          <w:p w:rsidR="00DA252E" w:rsidRPr="003D34F5" w:rsidRDefault="00DA252E" w:rsidP="00DA252E">
            <w:pPr>
              <w:spacing w:after="0" w:line="240" w:lineRule="auto"/>
              <w:jc w:val="center"/>
              <w:rPr>
                <w:rFonts w:ascii="Verdana" w:eastAsia="Times New Roman" w:hAnsi="Verdana"/>
                <w:b/>
                <w:bCs/>
                <w:color w:val="FFFFFF"/>
                <w:sz w:val="20"/>
                <w:szCs w:val="20"/>
                <w:lang w:eastAsia="es-CO"/>
              </w:rPr>
            </w:pPr>
            <w:r w:rsidRPr="003D34F5">
              <w:rPr>
                <w:rFonts w:ascii="Verdana" w:eastAsia="Times New Roman" w:hAnsi="Verdana"/>
                <w:b/>
                <w:bCs/>
                <w:color w:val="FFFFFF"/>
                <w:sz w:val="20"/>
                <w:szCs w:val="20"/>
                <w:lang w:eastAsia="es-CO"/>
              </w:rPr>
              <w:t>Avance 2014</w:t>
            </w:r>
          </w:p>
        </w:tc>
        <w:tc>
          <w:tcPr>
            <w:tcW w:w="561" w:type="pct"/>
            <w:tcBorders>
              <w:top w:val="single" w:sz="8" w:space="0" w:color="FFFFFF"/>
              <w:left w:val="nil"/>
              <w:bottom w:val="single" w:sz="12" w:space="0" w:color="FFFFFF"/>
              <w:right w:val="single" w:sz="8" w:space="0" w:color="FFFFFF"/>
            </w:tcBorders>
            <w:shd w:val="clear" w:color="auto" w:fill="548DD4" w:themeFill="text2" w:themeFillTint="99"/>
            <w:vAlign w:val="center"/>
            <w:hideMark/>
          </w:tcPr>
          <w:p w:rsidR="00DA252E" w:rsidRPr="003D34F5" w:rsidRDefault="00DA252E" w:rsidP="00DA252E">
            <w:pPr>
              <w:spacing w:after="0" w:line="240" w:lineRule="auto"/>
              <w:jc w:val="center"/>
              <w:rPr>
                <w:rFonts w:ascii="Verdana" w:eastAsia="Times New Roman" w:hAnsi="Verdana"/>
                <w:b/>
                <w:bCs/>
                <w:color w:val="FFFFFF"/>
                <w:sz w:val="20"/>
                <w:szCs w:val="20"/>
                <w:lang w:eastAsia="es-CO"/>
              </w:rPr>
            </w:pPr>
            <w:r w:rsidRPr="003D34F5">
              <w:rPr>
                <w:rFonts w:ascii="Verdana" w:eastAsia="Times New Roman" w:hAnsi="Verdana"/>
                <w:b/>
                <w:bCs/>
                <w:color w:val="FFFFFF"/>
                <w:sz w:val="20"/>
                <w:szCs w:val="20"/>
                <w:lang w:eastAsia="es-CO"/>
              </w:rPr>
              <w:t>% Avance</w:t>
            </w:r>
          </w:p>
        </w:tc>
        <w:tc>
          <w:tcPr>
            <w:tcW w:w="160" w:type="pct"/>
            <w:tcBorders>
              <w:top w:val="single" w:sz="8" w:space="0" w:color="FFFFFF"/>
              <w:left w:val="nil"/>
              <w:bottom w:val="single" w:sz="12" w:space="0" w:color="FFFFFF"/>
              <w:right w:val="single" w:sz="8" w:space="0" w:color="FFFFFF"/>
            </w:tcBorders>
            <w:shd w:val="clear" w:color="auto" w:fill="548DD4" w:themeFill="text2" w:themeFillTint="99"/>
            <w:vAlign w:val="center"/>
            <w:hideMark/>
          </w:tcPr>
          <w:p w:rsidR="00DA252E" w:rsidRPr="003D34F5" w:rsidRDefault="00DA252E" w:rsidP="00DA252E">
            <w:pPr>
              <w:spacing w:after="0" w:line="240" w:lineRule="auto"/>
              <w:jc w:val="center"/>
              <w:rPr>
                <w:rFonts w:ascii="Verdana" w:eastAsia="Times New Roman" w:hAnsi="Verdana"/>
                <w:b/>
                <w:bCs/>
                <w:color w:val="FFFFFF"/>
                <w:sz w:val="20"/>
                <w:szCs w:val="20"/>
                <w:lang w:eastAsia="es-CO"/>
              </w:rPr>
            </w:pPr>
            <w:r w:rsidRPr="003D34F5">
              <w:rPr>
                <w:rFonts w:ascii="Verdana" w:eastAsia="Times New Roman" w:hAnsi="Verdana"/>
                <w:b/>
                <w:bCs/>
                <w:color w:val="FFFFFF"/>
                <w:sz w:val="20"/>
                <w:szCs w:val="20"/>
                <w:lang w:eastAsia="es-CO"/>
              </w:rPr>
              <w:t> </w:t>
            </w:r>
          </w:p>
        </w:tc>
        <w:tc>
          <w:tcPr>
            <w:tcW w:w="735" w:type="pct"/>
            <w:tcBorders>
              <w:top w:val="single" w:sz="8" w:space="0" w:color="FFFFFF"/>
              <w:left w:val="nil"/>
              <w:bottom w:val="single" w:sz="12" w:space="0" w:color="FFFFFF"/>
              <w:right w:val="single" w:sz="8" w:space="0" w:color="FFFFFF"/>
            </w:tcBorders>
            <w:shd w:val="clear" w:color="auto" w:fill="548DD4" w:themeFill="text2" w:themeFillTint="99"/>
            <w:vAlign w:val="center"/>
            <w:hideMark/>
          </w:tcPr>
          <w:p w:rsidR="00DA252E" w:rsidRPr="003D34F5" w:rsidRDefault="00DA252E" w:rsidP="00DA252E">
            <w:pPr>
              <w:spacing w:after="0" w:line="240" w:lineRule="auto"/>
              <w:jc w:val="center"/>
              <w:rPr>
                <w:rFonts w:ascii="Verdana" w:eastAsia="Times New Roman" w:hAnsi="Verdana"/>
                <w:b/>
                <w:bCs/>
                <w:color w:val="FFFFFF"/>
                <w:sz w:val="20"/>
                <w:szCs w:val="20"/>
                <w:lang w:eastAsia="es-CO"/>
              </w:rPr>
            </w:pPr>
            <w:r w:rsidRPr="003D34F5">
              <w:rPr>
                <w:rFonts w:ascii="Verdana" w:eastAsia="Times New Roman" w:hAnsi="Verdana"/>
                <w:b/>
                <w:bCs/>
                <w:color w:val="FFFFFF"/>
                <w:sz w:val="20"/>
                <w:szCs w:val="20"/>
                <w:lang w:eastAsia="es-CO"/>
              </w:rPr>
              <w:t>Meta Cuatrienio</w:t>
            </w:r>
          </w:p>
        </w:tc>
        <w:tc>
          <w:tcPr>
            <w:tcW w:w="735" w:type="pct"/>
            <w:tcBorders>
              <w:top w:val="single" w:sz="8" w:space="0" w:color="FFFFFF"/>
              <w:left w:val="nil"/>
              <w:bottom w:val="single" w:sz="12" w:space="0" w:color="FFFFFF"/>
              <w:right w:val="single" w:sz="8" w:space="0" w:color="FFFFFF"/>
            </w:tcBorders>
            <w:shd w:val="clear" w:color="auto" w:fill="548DD4" w:themeFill="text2" w:themeFillTint="99"/>
            <w:vAlign w:val="center"/>
            <w:hideMark/>
          </w:tcPr>
          <w:p w:rsidR="00DA252E" w:rsidRPr="003D34F5" w:rsidRDefault="00DA252E" w:rsidP="00DA252E">
            <w:pPr>
              <w:spacing w:after="0" w:line="240" w:lineRule="auto"/>
              <w:jc w:val="center"/>
              <w:rPr>
                <w:rFonts w:ascii="Verdana" w:eastAsia="Times New Roman" w:hAnsi="Verdana"/>
                <w:b/>
                <w:bCs/>
                <w:color w:val="FFFFFF"/>
                <w:sz w:val="20"/>
                <w:szCs w:val="20"/>
                <w:lang w:eastAsia="es-CO"/>
              </w:rPr>
            </w:pPr>
            <w:r w:rsidRPr="003D34F5">
              <w:rPr>
                <w:rFonts w:ascii="Verdana" w:eastAsia="Times New Roman" w:hAnsi="Verdana"/>
                <w:b/>
                <w:bCs/>
                <w:color w:val="FFFFFF"/>
                <w:sz w:val="20"/>
                <w:szCs w:val="20"/>
                <w:lang w:eastAsia="es-CO"/>
              </w:rPr>
              <w:t>Avance Cuatrienio</w:t>
            </w:r>
          </w:p>
        </w:tc>
      </w:tr>
      <w:tr w:rsidR="00DA252E" w:rsidRPr="003D34F5" w:rsidTr="00CB5CC4">
        <w:trPr>
          <w:trHeight w:val="497"/>
        </w:trPr>
        <w:tc>
          <w:tcPr>
            <w:tcW w:w="1448" w:type="pct"/>
            <w:tcBorders>
              <w:top w:val="nil"/>
              <w:left w:val="single" w:sz="8" w:space="0" w:color="FFFFFF"/>
              <w:bottom w:val="single" w:sz="8" w:space="0" w:color="FFFFFF"/>
              <w:right w:val="single" w:sz="8" w:space="0" w:color="FFFFFF"/>
            </w:tcBorders>
            <w:shd w:val="clear" w:color="000000" w:fill="D0D8E8"/>
            <w:hideMark/>
          </w:tcPr>
          <w:p w:rsidR="00DA252E" w:rsidRPr="003D34F5" w:rsidRDefault="00DA252E" w:rsidP="00DA252E">
            <w:pPr>
              <w:spacing w:after="0" w:line="240" w:lineRule="auto"/>
              <w:rPr>
                <w:rFonts w:ascii="Verdana" w:eastAsia="Times New Roman" w:hAnsi="Verdana"/>
                <w:color w:val="000000"/>
                <w:sz w:val="20"/>
                <w:szCs w:val="20"/>
                <w:lang w:eastAsia="es-CO"/>
              </w:rPr>
            </w:pPr>
            <w:r w:rsidRPr="003D34F5">
              <w:rPr>
                <w:rFonts w:ascii="Verdana" w:eastAsia="Times New Roman" w:hAnsi="Verdana"/>
                <w:color w:val="000000"/>
                <w:sz w:val="20"/>
                <w:szCs w:val="20"/>
                <w:lang w:eastAsia="es-CO"/>
              </w:rPr>
              <w:t xml:space="preserve">Ejecución </w:t>
            </w:r>
            <w:r w:rsidRPr="003D34F5">
              <w:rPr>
                <w:rFonts w:ascii="Verdana" w:eastAsia="Times New Roman" w:hAnsi="Verdana"/>
                <w:sz w:val="20"/>
                <w:szCs w:val="20"/>
                <w:lang w:eastAsia="es-CO"/>
              </w:rPr>
              <w:t xml:space="preserve">de los recursos de Inversión de la Vigencia </w:t>
            </w:r>
          </w:p>
        </w:tc>
        <w:tc>
          <w:tcPr>
            <w:tcW w:w="721" w:type="pct"/>
            <w:tcBorders>
              <w:top w:val="nil"/>
              <w:left w:val="nil"/>
              <w:bottom w:val="single" w:sz="8" w:space="0" w:color="FFFFFF"/>
              <w:right w:val="single" w:sz="8" w:space="0" w:color="FFFFFF"/>
            </w:tcBorders>
            <w:shd w:val="clear" w:color="000000" w:fill="D0D8E8"/>
            <w:vAlign w:val="center"/>
            <w:hideMark/>
          </w:tcPr>
          <w:p w:rsidR="00DA252E" w:rsidRPr="003D34F5" w:rsidRDefault="00DA252E" w:rsidP="00DA252E">
            <w:pPr>
              <w:spacing w:after="0" w:line="240" w:lineRule="auto"/>
              <w:jc w:val="center"/>
              <w:rPr>
                <w:rFonts w:ascii="Verdana" w:eastAsia="Times New Roman" w:hAnsi="Verdana"/>
                <w:color w:val="000000"/>
                <w:sz w:val="20"/>
                <w:szCs w:val="20"/>
                <w:lang w:eastAsia="es-CO"/>
              </w:rPr>
            </w:pPr>
            <w:r w:rsidRPr="003D34F5">
              <w:rPr>
                <w:rFonts w:ascii="Verdana" w:eastAsia="Times New Roman" w:hAnsi="Verdana"/>
                <w:color w:val="000000"/>
                <w:sz w:val="20"/>
                <w:szCs w:val="20"/>
                <w:lang w:eastAsia="es-CO"/>
              </w:rPr>
              <w:t>100%</w:t>
            </w:r>
          </w:p>
        </w:tc>
        <w:tc>
          <w:tcPr>
            <w:tcW w:w="641" w:type="pct"/>
            <w:tcBorders>
              <w:top w:val="nil"/>
              <w:left w:val="nil"/>
              <w:bottom w:val="single" w:sz="8" w:space="0" w:color="FFFFFF"/>
              <w:right w:val="single" w:sz="8" w:space="0" w:color="FFFFFF"/>
            </w:tcBorders>
            <w:shd w:val="clear" w:color="000000" w:fill="D0D8E8"/>
            <w:vAlign w:val="center"/>
            <w:hideMark/>
          </w:tcPr>
          <w:p w:rsidR="00DA252E" w:rsidRPr="003D34F5" w:rsidRDefault="00DA252E" w:rsidP="00DA252E">
            <w:pPr>
              <w:spacing w:after="0" w:line="240" w:lineRule="auto"/>
              <w:jc w:val="center"/>
              <w:rPr>
                <w:rFonts w:ascii="Verdana" w:eastAsia="Times New Roman" w:hAnsi="Verdana"/>
                <w:color w:val="000000"/>
                <w:sz w:val="20"/>
                <w:szCs w:val="20"/>
                <w:lang w:eastAsia="es-CO"/>
              </w:rPr>
            </w:pPr>
            <w:r w:rsidRPr="003D34F5">
              <w:rPr>
                <w:rFonts w:ascii="Verdana" w:eastAsia="Times New Roman" w:hAnsi="Verdana"/>
                <w:color w:val="000000"/>
                <w:sz w:val="20"/>
                <w:szCs w:val="20"/>
                <w:lang w:eastAsia="es-CO"/>
              </w:rPr>
              <w:t>58% </w:t>
            </w:r>
            <w:r w:rsidRPr="003D34F5">
              <w:rPr>
                <w:rStyle w:val="Refdenotaalpie"/>
                <w:rFonts w:ascii="Verdana" w:eastAsia="Times New Roman" w:hAnsi="Verdana"/>
                <w:color w:val="000000"/>
                <w:lang w:eastAsia="es-CO"/>
              </w:rPr>
              <w:footnoteReference w:id="2"/>
            </w:r>
          </w:p>
        </w:tc>
        <w:tc>
          <w:tcPr>
            <w:tcW w:w="561" w:type="pct"/>
            <w:tcBorders>
              <w:top w:val="nil"/>
              <w:left w:val="nil"/>
              <w:bottom w:val="single" w:sz="8" w:space="0" w:color="FFFFFF"/>
              <w:right w:val="single" w:sz="8" w:space="0" w:color="FFFFFF"/>
            </w:tcBorders>
            <w:shd w:val="clear" w:color="000000" w:fill="D0D8E8"/>
            <w:vAlign w:val="center"/>
            <w:hideMark/>
          </w:tcPr>
          <w:p w:rsidR="00DA252E" w:rsidRPr="003D34F5" w:rsidRDefault="00DA252E" w:rsidP="00DA252E">
            <w:pPr>
              <w:spacing w:after="0" w:line="240" w:lineRule="auto"/>
              <w:jc w:val="center"/>
              <w:rPr>
                <w:rFonts w:ascii="Verdana" w:eastAsia="Times New Roman" w:hAnsi="Verdana"/>
                <w:color w:val="000000"/>
                <w:sz w:val="20"/>
                <w:szCs w:val="20"/>
                <w:lang w:eastAsia="es-CO"/>
              </w:rPr>
            </w:pPr>
            <w:r w:rsidRPr="003D34F5">
              <w:rPr>
                <w:rFonts w:ascii="Verdana" w:eastAsia="Times New Roman" w:hAnsi="Verdana"/>
                <w:color w:val="000000"/>
                <w:sz w:val="20"/>
                <w:szCs w:val="20"/>
                <w:lang w:eastAsia="es-CO"/>
              </w:rPr>
              <w:t>58%</w:t>
            </w:r>
          </w:p>
        </w:tc>
        <w:tc>
          <w:tcPr>
            <w:tcW w:w="160" w:type="pct"/>
            <w:tcBorders>
              <w:top w:val="nil"/>
              <w:left w:val="nil"/>
              <w:bottom w:val="single" w:sz="8" w:space="0" w:color="FFFFFF"/>
              <w:right w:val="single" w:sz="8" w:space="0" w:color="FFFFFF"/>
            </w:tcBorders>
            <w:shd w:val="clear" w:color="000000" w:fill="D0D8E8"/>
            <w:vAlign w:val="center"/>
            <w:hideMark/>
          </w:tcPr>
          <w:p w:rsidR="00DA252E" w:rsidRPr="003D34F5" w:rsidRDefault="00DA252E" w:rsidP="00DA252E">
            <w:pPr>
              <w:spacing w:after="0" w:line="240" w:lineRule="auto"/>
              <w:jc w:val="center"/>
              <w:rPr>
                <w:rFonts w:ascii="Verdana" w:eastAsia="Times New Roman" w:hAnsi="Verdana"/>
                <w:color w:val="000000"/>
                <w:sz w:val="20"/>
                <w:szCs w:val="20"/>
                <w:lang w:eastAsia="es-CO"/>
              </w:rPr>
            </w:pPr>
            <w:r w:rsidRPr="003D34F5">
              <w:rPr>
                <w:rFonts w:ascii="Verdana" w:eastAsia="Times New Roman" w:hAnsi="Verdana"/>
                <w:color w:val="000000"/>
                <w:sz w:val="20"/>
                <w:szCs w:val="20"/>
                <w:lang w:eastAsia="es-CO"/>
              </w:rPr>
              <w:t> </w:t>
            </w:r>
          </w:p>
        </w:tc>
        <w:tc>
          <w:tcPr>
            <w:tcW w:w="735" w:type="pct"/>
            <w:tcBorders>
              <w:top w:val="nil"/>
              <w:left w:val="nil"/>
              <w:bottom w:val="single" w:sz="8" w:space="0" w:color="FFFFFF"/>
              <w:right w:val="single" w:sz="8" w:space="0" w:color="FFFFFF"/>
            </w:tcBorders>
            <w:shd w:val="clear" w:color="000000" w:fill="D0D8E8"/>
            <w:vAlign w:val="center"/>
            <w:hideMark/>
          </w:tcPr>
          <w:p w:rsidR="00DA252E" w:rsidRPr="003D34F5" w:rsidRDefault="00DA252E" w:rsidP="00DA252E">
            <w:pPr>
              <w:spacing w:after="0" w:line="240" w:lineRule="auto"/>
              <w:jc w:val="center"/>
              <w:rPr>
                <w:rFonts w:ascii="Verdana" w:eastAsia="Times New Roman" w:hAnsi="Verdana"/>
                <w:color w:val="000000"/>
                <w:sz w:val="20"/>
                <w:szCs w:val="20"/>
                <w:lang w:eastAsia="es-CO"/>
              </w:rPr>
            </w:pPr>
            <w:r w:rsidRPr="003D34F5">
              <w:rPr>
                <w:rFonts w:ascii="Verdana" w:eastAsia="Times New Roman" w:hAnsi="Verdana"/>
                <w:color w:val="000000"/>
                <w:sz w:val="20"/>
                <w:szCs w:val="20"/>
                <w:lang w:eastAsia="es-CO"/>
              </w:rPr>
              <w:t>N.A</w:t>
            </w:r>
          </w:p>
        </w:tc>
        <w:tc>
          <w:tcPr>
            <w:tcW w:w="735" w:type="pct"/>
            <w:tcBorders>
              <w:top w:val="nil"/>
              <w:left w:val="nil"/>
              <w:bottom w:val="single" w:sz="8" w:space="0" w:color="FFFFFF"/>
              <w:right w:val="single" w:sz="8" w:space="0" w:color="FFFFFF"/>
            </w:tcBorders>
            <w:shd w:val="clear" w:color="000000" w:fill="D0D8E8"/>
            <w:hideMark/>
          </w:tcPr>
          <w:p w:rsidR="00DA252E" w:rsidRPr="003D34F5" w:rsidRDefault="00DA252E" w:rsidP="00DA252E">
            <w:pPr>
              <w:spacing w:after="0" w:line="240" w:lineRule="auto"/>
              <w:rPr>
                <w:rFonts w:ascii="Verdana" w:eastAsia="Times New Roman" w:hAnsi="Verdana"/>
                <w:color w:val="000000"/>
                <w:sz w:val="20"/>
                <w:szCs w:val="20"/>
                <w:lang w:eastAsia="es-CO"/>
              </w:rPr>
            </w:pPr>
            <w:r w:rsidRPr="003D34F5">
              <w:rPr>
                <w:rFonts w:ascii="Verdana" w:eastAsia="Times New Roman" w:hAnsi="Verdana"/>
                <w:color w:val="000000"/>
                <w:sz w:val="20"/>
                <w:szCs w:val="20"/>
                <w:lang w:eastAsia="es-CO"/>
              </w:rPr>
              <w:t> </w:t>
            </w:r>
          </w:p>
        </w:tc>
      </w:tr>
      <w:tr w:rsidR="00DA252E" w:rsidRPr="003D34F5" w:rsidTr="00CB5CC4">
        <w:trPr>
          <w:trHeight w:val="735"/>
        </w:trPr>
        <w:tc>
          <w:tcPr>
            <w:tcW w:w="1448" w:type="pct"/>
            <w:tcBorders>
              <w:top w:val="nil"/>
              <w:left w:val="single" w:sz="8" w:space="0" w:color="FFFFFF"/>
              <w:bottom w:val="single" w:sz="8" w:space="0" w:color="FFFFFF"/>
              <w:right w:val="single" w:sz="8" w:space="0" w:color="FFFFFF"/>
            </w:tcBorders>
            <w:shd w:val="clear" w:color="000000" w:fill="E9EDF4"/>
            <w:hideMark/>
          </w:tcPr>
          <w:p w:rsidR="00DA252E" w:rsidRPr="003D34F5" w:rsidRDefault="00DA252E" w:rsidP="00DA252E">
            <w:pPr>
              <w:spacing w:after="0" w:line="240" w:lineRule="auto"/>
              <w:rPr>
                <w:rFonts w:ascii="Verdana" w:eastAsia="Times New Roman" w:hAnsi="Verdana"/>
                <w:color w:val="000000"/>
                <w:sz w:val="20"/>
                <w:szCs w:val="20"/>
                <w:lang w:eastAsia="es-CO"/>
              </w:rPr>
            </w:pPr>
            <w:r w:rsidRPr="003D34F5">
              <w:rPr>
                <w:rFonts w:ascii="Verdana" w:eastAsia="Times New Roman" w:hAnsi="Verdana"/>
                <w:color w:val="000000"/>
                <w:sz w:val="20"/>
                <w:szCs w:val="20"/>
                <w:lang w:eastAsia="es-CO"/>
              </w:rPr>
              <w:t xml:space="preserve">Planeación y ejecución del Plan Anualizado de Caja - PAC </w:t>
            </w:r>
          </w:p>
        </w:tc>
        <w:tc>
          <w:tcPr>
            <w:tcW w:w="721" w:type="pct"/>
            <w:tcBorders>
              <w:top w:val="nil"/>
              <w:left w:val="nil"/>
              <w:bottom w:val="single" w:sz="8" w:space="0" w:color="FFFFFF"/>
              <w:right w:val="single" w:sz="8" w:space="0" w:color="FFFFFF"/>
            </w:tcBorders>
            <w:shd w:val="clear" w:color="000000" w:fill="E9EDF4"/>
            <w:vAlign w:val="center"/>
            <w:hideMark/>
          </w:tcPr>
          <w:p w:rsidR="00DA252E" w:rsidRPr="003D34F5" w:rsidRDefault="00DA252E" w:rsidP="00DA252E">
            <w:pPr>
              <w:spacing w:after="0" w:line="240" w:lineRule="auto"/>
              <w:jc w:val="center"/>
              <w:rPr>
                <w:rFonts w:ascii="Verdana" w:eastAsia="Times New Roman" w:hAnsi="Verdana"/>
                <w:color w:val="000000"/>
                <w:sz w:val="20"/>
                <w:szCs w:val="20"/>
                <w:lang w:eastAsia="es-CO"/>
              </w:rPr>
            </w:pPr>
            <w:r w:rsidRPr="003D34F5">
              <w:rPr>
                <w:rFonts w:ascii="Verdana" w:eastAsia="Times New Roman" w:hAnsi="Verdana"/>
                <w:color w:val="000000"/>
                <w:sz w:val="20"/>
                <w:szCs w:val="20"/>
                <w:lang w:eastAsia="es-CO"/>
              </w:rPr>
              <w:t>100%</w:t>
            </w:r>
          </w:p>
        </w:tc>
        <w:tc>
          <w:tcPr>
            <w:tcW w:w="641" w:type="pct"/>
            <w:tcBorders>
              <w:top w:val="nil"/>
              <w:left w:val="nil"/>
              <w:bottom w:val="single" w:sz="8" w:space="0" w:color="FFFFFF"/>
              <w:right w:val="single" w:sz="8" w:space="0" w:color="FFFFFF"/>
            </w:tcBorders>
            <w:shd w:val="clear" w:color="000000" w:fill="E9EDF4"/>
            <w:vAlign w:val="center"/>
            <w:hideMark/>
          </w:tcPr>
          <w:p w:rsidR="00DA252E" w:rsidRPr="003D34F5" w:rsidRDefault="00DA252E" w:rsidP="00DA252E">
            <w:pPr>
              <w:spacing w:after="0" w:line="240" w:lineRule="auto"/>
              <w:jc w:val="center"/>
              <w:rPr>
                <w:rFonts w:ascii="Verdana" w:eastAsia="Times New Roman" w:hAnsi="Verdana"/>
                <w:color w:val="000000"/>
                <w:sz w:val="20"/>
                <w:szCs w:val="20"/>
                <w:lang w:eastAsia="es-CO"/>
              </w:rPr>
            </w:pPr>
            <w:r w:rsidRPr="003D34F5">
              <w:rPr>
                <w:rFonts w:ascii="Verdana" w:eastAsia="Times New Roman" w:hAnsi="Verdana"/>
                <w:color w:val="000000"/>
                <w:sz w:val="20"/>
                <w:szCs w:val="20"/>
                <w:lang w:eastAsia="es-CO"/>
              </w:rPr>
              <w:t> 90%</w:t>
            </w:r>
          </w:p>
        </w:tc>
        <w:tc>
          <w:tcPr>
            <w:tcW w:w="561" w:type="pct"/>
            <w:tcBorders>
              <w:top w:val="nil"/>
              <w:left w:val="nil"/>
              <w:bottom w:val="single" w:sz="8" w:space="0" w:color="FFFFFF"/>
              <w:right w:val="single" w:sz="8" w:space="0" w:color="FFFFFF"/>
            </w:tcBorders>
            <w:shd w:val="clear" w:color="000000" w:fill="E9EDF4"/>
            <w:vAlign w:val="center"/>
            <w:hideMark/>
          </w:tcPr>
          <w:p w:rsidR="00DA252E" w:rsidRPr="003D34F5" w:rsidRDefault="00DA252E" w:rsidP="00DA252E">
            <w:pPr>
              <w:spacing w:after="0" w:line="240" w:lineRule="auto"/>
              <w:jc w:val="center"/>
              <w:rPr>
                <w:rFonts w:ascii="Verdana" w:eastAsia="Times New Roman" w:hAnsi="Verdana"/>
                <w:color w:val="000000"/>
                <w:sz w:val="20"/>
                <w:szCs w:val="20"/>
                <w:lang w:eastAsia="es-CO"/>
              </w:rPr>
            </w:pPr>
            <w:r w:rsidRPr="003D34F5">
              <w:rPr>
                <w:rFonts w:ascii="Verdana" w:eastAsia="Times New Roman" w:hAnsi="Verdana"/>
                <w:color w:val="000000"/>
                <w:sz w:val="20"/>
                <w:szCs w:val="20"/>
                <w:lang w:eastAsia="es-CO"/>
              </w:rPr>
              <w:t>90%</w:t>
            </w:r>
          </w:p>
        </w:tc>
        <w:tc>
          <w:tcPr>
            <w:tcW w:w="160" w:type="pct"/>
            <w:tcBorders>
              <w:top w:val="nil"/>
              <w:left w:val="nil"/>
              <w:bottom w:val="single" w:sz="8" w:space="0" w:color="FFFFFF"/>
              <w:right w:val="single" w:sz="8" w:space="0" w:color="FFFFFF"/>
            </w:tcBorders>
            <w:shd w:val="clear" w:color="000000" w:fill="E9EDF4"/>
            <w:vAlign w:val="center"/>
            <w:hideMark/>
          </w:tcPr>
          <w:p w:rsidR="00DA252E" w:rsidRPr="003D34F5" w:rsidRDefault="00DA252E" w:rsidP="00DA252E">
            <w:pPr>
              <w:spacing w:after="0" w:line="240" w:lineRule="auto"/>
              <w:jc w:val="center"/>
              <w:rPr>
                <w:rFonts w:ascii="Verdana" w:eastAsia="Times New Roman" w:hAnsi="Verdana"/>
                <w:color w:val="000000"/>
                <w:sz w:val="20"/>
                <w:szCs w:val="20"/>
                <w:lang w:eastAsia="es-CO"/>
              </w:rPr>
            </w:pPr>
            <w:r w:rsidRPr="003D34F5">
              <w:rPr>
                <w:rFonts w:ascii="Verdana" w:eastAsia="Times New Roman" w:hAnsi="Verdana"/>
                <w:color w:val="000000"/>
                <w:sz w:val="20"/>
                <w:szCs w:val="20"/>
                <w:lang w:eastAsia="es-CO"/>
              </w:rPr>
              <w:t> </w:t>
            </w:r>
          </w:p>
        </w:tc>
        <w:tc>
          <w:tcPr>
            <w:tcW w:w="735" w:type="pct"/>
            <w:tcBorders>
              <w:top w:val="nil"/>
              <w:left w:val="nil"/>
              <w:bottom w:val="single" w:sz="8" w:space="0" w:color="FFFFFF"/>
              <w:right w:val="single" w:sz="8" w:space="0" w:color="FFFFFF"/>
            </w:tcBorders>
            <w:shd w:val="clear" w:color="000000" w:fill="E9EDF4"/>
            <w:vAlign w:val="center"/>
            <w:hideMark/>
          </w:tcPr>
          <w:p w:rsidR="00DA252E" w:rsidRPr="003D34F5" w:rsidRDefault="00DA252E" w:rsidP="00DA252E">
            <w:pPr>
              <w:spacing w:after="0" w:line="240" w:lineRule="auto"/>
              <w:jc w:val="center"/>
              <w:rPr>
                <w:rFonts w:ascii="Verdana" w:eastAsia="Times New Roman" w:hAnsi="Verdana"/>
                <w:color w:val="000000"/>
                <w:sz w:val="20"/>
                <w:szCs w:val="20"/>
                <w:lang w:eastAsia="es-CO"/>
              </w:rPr>
            </w:pPr>
            <w:r w:rsidRPr="003D34F5">
              <w:rPr>
                <w:rFonts w:ascii="Verdana" w:eastAsia="Times New Roman" w:hAnsi="Verdana"/>
                <w:color w:val="000000"/>
                <w:sz w:val="20"/>
                <w:szCs w:val="20"/>
                <w:lang w:eastAsia="es-CO"/>
              </w:rPr>
              <w:t>N.A</w:t>
            </w:r>
          </w:p>
        </w:tc>
        <w:tc>
          <w:tcPr>
            <w:tcW w:w="735" w:type="pct"/>
            <w:tcBorders>
              <w:top w:val="nil"/>
              <w:left w:val="nil"/>
              <w:bottom w:val="single" w:sz="8" w:space="0" w:color="FFFFFF"/>
              <w:right w:val="single" w:sz="8" w:space="0" w:color="FFFFFF"/>
            </w:tcBorders>
            <w:shd w:val="clear" w:color="000000" w:fill="E9EDF4"/>
            <w:hideMark/>
          </w:tcPr>
          <w:p w:rsidR="00DA252E" w:rsidRPr="003D34F5" w:rsidRDefault="00DA252E" w:rsidP="00DA252E">
            <w:pPr>
              <w:spacing w:after="0" w:line="240" w:lineRule="auto"/>
              <w:rPr>
                <w:rFonts w:ascii="Verdana" w:eastAsia="Times New Roman" w:hAnsi="Verdana"/>
                <w:color w:val="000000"/>
                <w:sz w:val="20"/>
                <w:szCs w:val="20"/>
                <w:lang w:eastAsia="es-CO"/>
              </w:rPr>
            </w:pPr>
            <w:r w:rsidRPr="003D34F5">
              <w:rPr>
                <w:rFonts w:ascii="Verdana" w:eastAsia="Times New Roman" w:hAnsi="Verdana"/>
                <w:color w:val="000000"/>
                <w:sz w:val="20"/>
                <w:szCs w:val="20"/>
                <w:lang w:eastAsia="es-CO"/>
              </w:rPr>
              <w:t> </w:t>
            </w:r>
          </w:p>
        </w:tc>
      </w:tr>
    </w:tbl>
    <w:p w:rsidR="00AC6E97" w:rsidRDefault="00AC6E97" w:rsidP="00DA252E">
      <w:pPr>
        <w:spacing w:after="0" w:line="240" w:lineRule="auto"/>
        <w:jc w:val="both"/>
        <w:rPr>
          <w:rFonts w:ascii="Verdana" w:hAnsi="Verdana"/>
          <w:b/>
          <w:color w:val="548DD4" w:themeColor="text2" w:themeTint="99"/>
          <w:sz w:val="24"/>
          <w:szCs w:val="24"/>
        </w:rPr>
      </w:pPr>
    </w:p>
    <w:p w:rsidR="00DA252E" w:rsidRPr="00AC6E97" w:rsidRDefault="00DA252E" w:rsidP="00DA252E">
      <w:pPr>
        <w:spacing w:after="0" w:line="240" w:lineRule="auto"/>
        <w:jc w:val="both"/>
        <w:rPr>
          <w:rFonts w:ascii="Verdana" w:hAnsi="Verdana"/>
          <w:b/>
          <w:color w:val="548DD4" w:themeColor="text2" w:themeTint="99"/>
          <w:sz w:val="24"/>
          <w:szCs w:val="24"/>
          <w:u w:val="single"/>
        </w:rPr>
      </w:pPr>
      <w:r w:rsidRPr="00AC6E97">
        <w:rPr>
          <w:rFonts w:ascii="Verdana" w:hAnsi="Verdana"/>
          <w:b/>
          <w:color w:val="548DD4" w:themeColor="text2" w:themeTint="99"/>
          <w:sz w:val="24"/>
          <w:szCs w:val="24"/>
          <w:u w:val="single"/>
        </w:rPr>
        <w:t>POLÍTICA DE TRANSPARENCIA, PARTICIPACIÓN Y SERVICIO AL CIUDADANO</w:t>
      </w:r>
    </w:p>
    <w:p w:rsidR="00DA252E" w:rsidRDefault="00DA252E" w:rsidP="00DA252E">
      <w:pPr>
        <w:spacing w:after="0" w:line="240" w:lineRule="auto"/>
        <w:jc w:val="both"/>
        <w:rPr>
          <w:rFonts w:ascii="Verdana" w:hAnsi="Verdana"/>
          <w:color w:val="548DD4" w:themeColor="text2" w:themeTint="99"/>
          <w:sz w:val="24"/>
          <w:szCs w:val="24"/>
        </w:rPr>
      </w:pPr>
    </w:p>
    <w:p w:rsidR="00DA252E" w:rsidRPr="00AC6E97" w:rsidRDefault="00DA252E" w:rsidP="00FF784D">
      <w:pPr>
        <w:pStyle w:val="Prrafodelista"/>
        <w:numPr>
          <w:ilvl w:val="0"/>
          <w:numId w:val="43"/>
        </w:numPr>
        <w:spacing w:after="0" w:line="240" w:lineRule="auto"/>
        <w:jc w:val="both"/>
        <w:rPr>
          <w:rFonts w:ascii="Verdana" w:hAnsi="Verdana"/>
          <w:b/>
          <w:color w:val="548DD4" w:themeColor="text2" w:themeTint="99"/>
          <w:sz w:val="24"/>
          <w:szCs w:val="24"/>
        </w:rPr>
      </w:pPr>
      <w:r w:rsidRPr="00AC6E97">
        <w:rPr>
          <w:rFonts w:ascii="Verdana" w:hAnsi="Verdana"/>
          <w:b/>
          <w:color w:val="548DD4" w:themeColor="text2" w:themeTint="99"/>
          <w:sz w:val="24"/>
          <w:szCs w:val="24"/>
        </w:rPr>
        <w:t>Transparencia</w:t>
      </w:r>
    </w:p>
    <w:p w:rsidR="00DA252E" w:rsidRDefault="00DA252E" w:rsidP="00DA252E">
      <w:pPr>
        <w:spacing w:after="0" w:line="240" w:lineRule="auto"/>
        <w:jc w:val="both"/>
        <w:rPr>
          <w:rFonts w:ascii="Verdana" w:hAnsi="Verdana"/>
          <w:sz w:val="24"/>
          <w:szCs w:val="24"/>
        </w:rPr>
      </w:pPr>
    </w:p>
    <w:p w:rsidR="00DA252E" w:rsidRPr="00F71B84" w:rsidRDefault="00DA252E" w:rsidP="00DA252E">
      <w:pPr>
        <w:spacing w:after="0" w:line="240" w:lineRule="auto"/>
        <w:jc w:val="both"/>
        <w:rPr>
          <w:rFonts w:ascii="Verdana" w:hAnsi="Verdana"/>
          <w:sz w:val="24"/>
          <w:szCs w:val="24"/>
        </w:rPr>
      </w:pPr>
      <w:r w:rsidRPr="00F71B84">
        <w:rPr>
          <w:rFonts w:ascii="Verdana" w:hAnsi="Verdana"/>
          <w:sz w:val="24"/>
          <w:szCs w:val="24"/>
        </w:rPr>
        <w:t xml:space="preserve">En el marco de la resolución 897 de 2013 del Comité de Transparencia, Participación y Servicio al Ciudadano se realizaron seis sesiones. El objetivo de estas sesiones era que las áreas participantes desde su competencia y funciones implementará un plan de acción para garantizar de forma más eficiente el acceso a la información y mejorar la relación con el ciudadano. </w:t>
      </w:r>
    </w:p>
    <w:p w:rsidR="00DA252E" w:rsidRPr="00F71B84" w:rsidRDefault="00DA252E" w:rsidP="00DA252E">
      <w:pPr>
        <w:spacing w:after="0" w:line="240" w:lineRule="auto"/>
        <w:jc w:val="both"/>
        <w:rPr>
          <w:rFonts w:ascii="Verdana" w:hAnsi="Verdana"/>
          <w:sz w:val="24"/>
          <w:szCs w:val="24"/>
        </w:rPr>
      </w:pPr>
    </w:p>
    <w:p w:rsidR="00DA252E" w:rsidRPr="00F71B84" w:rsidRDefault="00DA252E" w:rsidP="00DA252E">
      <w:pPr>
        <w:spacing w:after="0" w:line="240" w:lineRule="auto"/>
        <w:jc w:val="both"/>
        <w:rPr>
          <w:rFonts w:ascii="Verdana" w:hAnsi="Verdana"/>
          <w:sz w:val="24"/>
          <w:szCs w:val="24"/>
        </w:rPr>
      </w:pPr>
      <w:r w:rsidRPr="00F71B84">
        <w:rPr>
          <w:rFonts w:ascii="Verdana" w:hAnsi="Verdana"/>
          <w:sz w:val="24"/>
          <w:szCs w:val="24"/>
        </w:rPr>
        <w:t>Dentro de las actividades que se plantearon en este comité está el acompañamiento y asesoría por parte de los entes de control en los espacios de participación ciudadana de los diferentes programas misionales tales como son Seguridad Alimentaria y Nutrición- SAN, Familias en su Tierra- FEST, Infraestructura y Más Familias en Acción– MFA; apropiación  de la metodología para la identificación de riesgos de corrupción, así como la verificación de la base de datos del de los funcionarios y/o ex funcionarios que tienen procesos disciplinarios abiertos, describir la información que de cada proceso se puede publicar en el aplicativo y la publicación de datos abiertos entre otros.</w:t>
      </w:r>
    </w:p>
    <w:p w:rsidR="00DA252E" w:rsidRPr="00F71B84" w:rsidRDefault="00DA252E" w:rsidP="00DA252E">
      <w:pPr>
        <w:spacing w:after="0" w:line="240" w:lineRule="auto"/>
        <w:jc w:val="both"/>
        <w:rPr>
          <w:rFonts w:ascii="Verdana" w:hAnsi="Verdana"/>
          <w:sz w:val="24"/>
          <w:szCs w:val="24"/>
        </w:rPr>
      </w:pPr>
    </w:p>
    <w:p w:rsidR="00DA252E" w:rsidRPr="00AC6E97" w:rsidRDefault="00DA252E" w:rsidP="00FF784D">
      <w:pPr>
        <w:pStyle w:val="Prrafodelista"/>
        <w:numPr>
          <w:ilvl w:val="0"/>
          <w:numId w:val="43"/>
        </w:numPr>
        <w:spacing w:after="0" w:line="240" w:lineRule="auto"/>
        <w:jc w:val="both"/>
        <w:rPr>
          <w:rFonts w:ascii="Verdana" w:hAnsi="Verdana"/>
          <w:b/>
          <w:color w:val="548DD4" w:themeColor="text2" w:themeTint="99"/>
          <w:sz w:val="24"/>
          <w:szCs w:val="24"/>
        </w:rPr>
      </w:pPr>
      <w:r w:rsidRPr="00AC6E97">
        <w:rPr>
          <w:rFonts w:ascii="Verdana" w:hAnsi="Verdana"/>
          <w:b/>
          <w:color w:val="548DD4" w:themeColor="text2" w:themeTint="99"/>
          <w:sz w:val="24"/>
          <w:szCs w:val="24"/>
        </w:rPr>
        <w:t>Participación</w:t>
      </w:r>
    </w:p>
    <w:p w:rsidR="00DA252E" w:rsidRPr="001D7E2C" w:rsidRDefault="00DA252E" w:rsidP="00DA252E">
      <w:pPr>
        <w:spacing w:after="0" w:line="240" w:lineRule="auto"/>
        <w:jc w:val="both"/>
        <w:rPr>
          <w:rFonts w:ascii="Verdana" w:hAnsi="Verdana"/>
          <w:b/>
          <w:color w:val="548DD4" w:themeColor="text2" w:themeTint="99"/>
          <w:sz w:val="24"/>
          <w:szCs w:val="24"/>
        </w:rPr>
      </w:pPr>
    </w:p>
    <w:p w:rsidR="00DA252E" w:rsidRPr="00F71B84" w:rsidRDefault="00DA252E" w:rsidP="00DA252E">
      <w:pPr>
        <w:spacing w:after="0" w:line="240" w:lineRule="auto"/>
        <w:jc w:val="both"/>
        <w:rPr>
          <w:rFonts w:ascii="Verdana" w:hAnsi="Verdana"/>
          <w:sz w:val="24"/>
          <w:szCs w:val="24"/>
        </w:rPr>
      </w:pPr>
      <w:r w:rsidRPr="00F71B84">
        <w:rPr>
          <w:rFonts w:ascii="Verdana" w:hAnsi="Verdana"/>
          <w:sz w:val="24"/>
          <w:szCs w:val="24"/>
        </w:rPr>
        <w:t xml:space="preserve">Durante el 2014 se realizaron seis  encuentros de participación, estos encuentros buscaban identificar de qué manera participa la ciudadanía y la población objeto del DPS y sus motivaciones con respecto a los escenarios disponibles de </w:t>
      </w:r>
      <w:r w:rsidRPr="00F71B84">
        <w:rPr>
          <w:rFonts w:ascii="Verdana" w:hAnsi="Verdana"/>
          <w:sz w:val="24"/>
          <w:szCs w:val="24"/>
        </w:rPr>
        <w:lastRenderedPageBreak/>
        <w:t>participación, se perseguía también proveer un escenario de diagnóstico participativo que identifica las necesidades en los territorios</w:t>
      </w:r>
    </w:p>
    <w:p w:rsidR="00DA252E" w:rsidRPr="00F71B84" w:rsidRDefault="00DA252E" w:rsidP="00DA252E">
      <w:pPr>
        <w:spacing w:after="0" w:line="240" w:lineRule="auto"/>
        <w:jc w:val="both"/>
        <w:rPr>
          <w:rFonts w:ascii="Verdana" w:hAnsi="Verdana"/>
          <w:sz w:val="24"/>
          <w:szCs w:val="24"/>
        </w:rPr>
      </w:pPr>
      <w:r w:rsidRPr="00F71B84">
        <w:rPr>
          <w:rFonts w:ascii="Verdana" w:hAnsi="Verdana"/>
          <w:sz w:val="24"/>
          <w:szCs w:val="24"/>
        </w:rPr>
        <w:t>Con lo anterior, se dio cumplimiento en gran parte a identificar el nivel de participación ciudadana en la gestión de la entidad y a la formulación participativa de las políticas públicas, planes y programas institucionales contemplados en el modelo de planeación y gestión y medidos a través del Formulario Único de Reporte y Avance de la Gestión -FURAG.</w:t>
      </w:r>
    </w:p>
    <w:p w:rsidR="00DA252E" w:rsidRPr="001D7E2C" w:rsidRDefault="00DA252E" w:rsidP="00DA252E">
      <w:pPr>
        <w:spacing w:after="0" w:line="240" w:lineRule="auto"/>
        <w:jc w:val="both"/>
        <w:rPr>
          <w:rFonts w:ascii="Verdana" w:hAnsi="Verdana"/>
          <w:color w:val="548DD4" w:themeColor="text2" w:themeTint="99"/>
          <w:sz w:val="24"/>
          <w:szCs w:val="24"/>
        </w:rPr>
      </w:pPr>
    </w:p>
    <w:p w:rsidR="00DA252E" w:rsidRPr="007060A3" w:rsidRDefault="00DA252E" w:rsidP="00FF784D">
      <w:pPr>
        <w:pStyle w:val="Prrafodelista"/>
        <w:numPr>
          <w:ilvl w:val="0"/>
          <w:numId w:val="43"/>
        </w:numPr>
        <w:spacing w:after="0" w:line="240" w:lineRule="auto"/>
        <w:jc w:val="both"/>
        <w:rPr>
          <w:rFonts w:ascii="Verdana" w:hAnsi="Verdana"/>
          <w:b/>
          <w:color w:val="548DD4" w:themeColor="text2" w:themeTint="99"/>
          <w:sz w:val="24"/>
          <w:szCs w:val="24"/>
        </w:rPr>
      </w:pPr>
      <w:r w:rsidRPr="007060A3">
        <w:rPr>
          <w:rFonts w:ascii="Verdana" w:hAnsi="Verdana"/>
          <w:b/>
          <w:color w:val="548DD4" w:themeColor="text2" w:themeTint="99"/>
          <w:sz w:val="24"/>
          <w:szCs w:val="24"/>
        </w:rPr>
        <w:t>Servicio al Ciudadano</w:t>
      </w:r>
    </w:p>
    <w:p w:rsidR="00DA252E" w:rsidRPr="001D7E2C" w:rsidRDefault="00DA252E" w:rsidP="00DA252E">
      <w:pPr>
        <w:spacing w:after="0" w:line="240" w:lineRule="auto"/>
        <w:jc w:val="both"/>
        <w:rPr>
          <w:rFonts w:ascii="Verdana" w:hAnsi="Verdana"/>
          <w:b/>
          <w:color w:val="548DD4" w:themeColor="text2" w:themeTint="99"/>
          <w:sz w:val="24"/>
          <w:szCs w:val="24"/>
        </w:rPr>
      </w:pPr>
    </w:p>
    <w:p w:rsidR="00DA252E" w:rsidRPr="00F71B84" w:rsidRDefault="00DA252E" w:rsidP="00DA252E">
      <w:pPr>
        <w:spacing w:after="0" w:line="240" w:lineRule="auto"/>
        <w:jc w:val="both"/>
        <w:rPr>
          <w:rFonts w:ascii="Verdana" w:hAnsi="Verdana"/>
          <w:sz w:val="24"/>
          <w:szCs w:val="24"/>
        </w:rPr>
      </w:pPr>
      <w:r w:rsidRPr="00F71B84">
        <w:rPr>
          <w:rFonts w:ascii="Verdana" w:hAnsi="Verdana"/>
          <w:sz w:val="24"/>
          <w:szCs w:val="24"/>
        </w:rPr>
        <w:t>El DPS cuenta con una estrategia de atención multicanal cuyos elementos principales a destacar en 2014 son:</w:t>
      </w:r>
    </w:p>
    <w:p w:rsidR="00DA252E" w:rsidRPr="00F71B84" w:rsidRDefault="00DA252E" w:rsidP="00DA252E">
      <w:pPr>
        <w:spacing w:after="0" w:line="240" w:lineRule="auto"/>
        <w:jc w:val="both"/>
        <w:rPr>
          <w:rFonts w:ascii="Verdana" w:hAnsi="Verdana"/>
          <w:sz w:val="24"/>
          <w:szCs w:val="24"/>
        </w:rPr>
      </w:pPr>
    </w:p>
    <w:p w:rsidR="00DA252E" w:rsidRPr="00F71B84" w:rsidRDefault="00DA252E" w:rsidP="00FF784D">
      <w:pPr>
        <w:pStyle w:val="Prrafodelista"/>
        <w:numPr>
          <w:ilvl w:val="0"/>
          <w:numId w:val="24"/>
        </w:numPr>
        <w:spacing w:after="0" w:line="240" w:lineRule="auto"/>
        <w:jc w:val="both"/>
        <w:rPr>
          <w:rFonts w:ascii="Verdana" w:hAnsi="Verdana"/>
          <w:sz w:val="24"/>
          <w:szCs w:val="24"/>
        </w:rPr>
      </w:pPr>
      <w:r w:rsidRPr="00F71B84">
        <w:rPr>
          <w:rFonts w:ascii="Verdana" w:hAnsi="Verdana"/>
          <w:sz w:val="24"/>
          <w:szCs w:val="24"/>
        </w:rPr>
        <w:t xml:space="preserve">Canal telefónico: el DPS dispuso de un facilitador para la atención del conmutador de la entidad, lo cual ha mejorado la atención. </w:t>
      </w:r>
    </w:p>
    <w:p w:rsidR="00DA252E" w:rsidRPr="00F71B84" w:rsidRDefault="00DA252E" w:rsidP="00FF784D">
      <w:pPr>
        <w:pStyle w:val="Prrafodelista"/>
        <w:numPr>
          <w:ilvl w:val="0"/>
          <w:numId w:val="24"/>
        </w:numPr>
        <w:spacing w:after="0" w:line="240" w:lineRule="auto"/>
        <w:jc w:val="both"/>
        <w:rPr>
          <w:rFonts w:ascii="Verdana" w:hAnsi="Verdana"/>
          <w:sz w:val="24"/>
          <w:szCs w:val="24"/>
        </w:rPr>
      </w:pPr>
      <w:r w:rsidRPr="00F71B84">
        <w:rPr>
          <w:rFonts w:ascii="Verdana" w:hAnsi="Verdana"/>
          <w:sz w:val="24"/>
          <w:szCs w:val="24"/>
        </w:rPr>
        <w:t>Canal móvil (mensajes de texto y voz): se llevó a cabo el piloto de para la verificación de compromisos del programa Más Familias en Acción.</w:t>
      </w:r>
    </w:p>
    <w:p w:rsidR="00DA252E" w:rsidRPr="00F71B84" w:rsidRDefault="00DA252E" w:rsidP="00FF784D">
      <w:pPr>
        <w:pStyle w:val="Prrafodelista"/>
        <w:numPr>
          <w:ilvl w:val="0"/>
          <w:numId w:val="24"/>
        </w:numPr>
        <w:spacing w:after="0" w:line="240" w:lineRule="auto"/>
        <w:jc w:val="both"/>
        <w:rPr>
          <w:rFonts w:ascii="Verdana" w:hAnsi="Verdana"/>
          <w:sz w:val="24"/>
          <w:szCs w:val="24"/>
        </w:rPr>
      </w:pPr>
      <w:r w:rsidRPr="00F71B84">
        <w:rPr>
          <w:rFonts w:ascii="Verdana" w:hAnsi="Verdana"/>
          <w:sz w:val="24"/>
          <w:szCs w:val="24"/>
        </w:rPr>
        <w:t xml:space="preserve">Canal presencial: se puso en marcha el piloto de atención presencial y a partir de los resultados se diseñó el modelo de atención presencial en las Direcciones Regionales para 2015. </w:t>
      </w:r>
    </w:p>
    <w:p w:rsidR="00DA252E" w:rsidRPr="00F71B84" w:rsidRDefault="00DA252E" w:rsidP="00DA252E">
      <w:pPr>
        <w:spacing w:after="0" w:line="240" w:lineRule="auto"/>
        <w:jc w:val="both"/>
        <w:rPr>
          <w:rFonts w:ascii="Verdana" w:hAnsi="Verdana"/>
          <w:sz w:val="24"/>
          <w:szCs w:val="24"/>
        </w:rPr>
      </w:pPr>
    </w:p>
    <w:p w:rsidR="00DA252E" w:rsidRPr="00F71B84" w:rsidRDefault="00DA252E" w:rsidP="00DA252E">
      <w:pPr>
        <w:spacing w:after="0" w:line="240" w:lineRule="auto"/>
        <w:jc w:val="both"/>
        <w:rPr>
          <w:rFonts w:ascii="Verdana" w:hAnsi="Verdana"/>
          <w:sz w:val="24"/>
          <w:szCs w:val="24"/>
        </w:rPr>
      </w:pPr>
      <w:r w:rsidRPr="00F71B84">
        <w:rPr>
          <w:rFonts w:ascii="Verdana" w:hAnsi="Verdana"/>
          <w:sz w:val="24"/>
          <w:szCs w:val="24"/>
        </w:rPr>
        <w:t xml:space="preserve">Finalmente, el DPS como líder del sector coordina la Mesa Sectorial de Servicio al Ciudadano, en donde se articularon las acciones con respecto a los derechos de petición al interior del sector y se avanzó en el tema antifraudes, el cual es liderado por la Unidad para la Atención y Reparación Integral a las Víctimas- UARIV y se desarrolló una sesión en territorio para conocer el modelo de atención del Instituto Colombiano de Bienestar Familiar-ICBF. </w:t>
      </w:r>
    </w:p>
    <w:p w:rsidR="00DA252E" w:rsidRDefault="00DA252E" w:rsidP="00DA252E">
      <w:pPr>
        <w:spacing w:after="0" w:line="240" w:lineRule="auto"/>
        <w:jc w:val="both"/>
        <w:rPr>
          <w:rFonts w:ascii="Verdana" w:hAnsi="Verdana"/>
          <w:sz w:val="24"/>
          <w:szCs w:val="24"/>
        </w:rPr>
      </w:pPr>
    </w:p>
    <w:p w:rsidR="00DA252E" w:rsidRDefault="00DA252E" w:rsidP="00DA252E">
      <w:pPr>
        <w:spacing w:after="0" w:line="240" w:lineRule="auto"/>
        <w:jc w:val="both"/>
        <w:rPr>
          <w:rFonts w:ascii="Verdana" w:hAnsi="Verdana"/>
          <w:sz w:val="24"/>
          <w:szCs w:val="24"/>
        </w:rPr>
      </w:pPr>
    </w:p>
    <w:p w:rsidR="00DA252E" w:rsidRPr="000C569D" w:rsidRDefault="00DA252E" w:rsidP="00DA252E">
      <w:pPr>
        <w:spacing w:after="0" w:line="240" w:lineRule="auto"/>
        <w:jc w:val="both"/>
        <w:rPr>
          <w:rFonts w:ascii="Verdana" w:hAnsi="Verdana"/>
          <w:b/>
          <w:color w:val="548DD4" w:themeColor="text2" w:themeTint="99"/>
          <w:sz w:val="24"/>
          <w:szCs w:val="24"/>
          <w:u w:val="single"/>
        </w:rPr>
      </w:pPr>
      <w:r w:rsidRPr="000C569D">
        <w:rPr>
          <w:rFonts w:ascii="Verdana" w:hAnsi="Verdana"/>
          <w:b/>
          <w:color w:val="548DD4" w:themeColor="text2" w:themeTint="99"/>
          <w:sz w:val="24"/>
          <w:szCs w:val="24"/>
          <w:u w:val="single"/>
        </w:rPr>
        <w:t>GESTIÓN DEL TALENTO HUMANO</w:t>
      </w:r>
    </w:p>
    <w:p w:rsidR="00DA252E" w:rsidRPr="00F71B84" w:rsidRDefault="00DA252E" w:rsidP="00DA252E">
      <w:pPr>
        <w:spacing w:after="0" w:line="240" w:lineRule="auto"/>
        <w:jc w:val="both"/>
        <w:rPr>
          <w:rFonts w:ascii="Verdana" w:hAnsi="Verdana"/>
          <w:sz w:val="24"/>
          <w:szCs w:val="24"/>
        </w:rPr>
      </w:pPr>
    </w:p>
    <w:p w:rsidR="00DA252E" w:rsidRPr="00F71B84" w:rsidRDefault="00DA252E" w:rsidP="00DA252E">
      <w:pPr>
        <w:spacing w:after="0" w:line="240" w:lineRule="auto"/>
        <w:jc w:val="both"/>
        <w:rPr>
          <w:rFonts w:ascii="Verdana" w:hAnsi="Verdana"/>
          <w:sz w:val="24"/>
          <w:szCs w:val="24"/>
        </w:rPr>
      </w:pPr>
      <w:r w:rsidRPr="00F71B84">
        <w:rPr>
          <w:rFonts w:ascii="Verdana" w:hAnsi="Verdana"/>
          <w:sz w:val="24"/>
          <w:szCs w:val="24"/>
        </w:rPr>
        <w:t>La Gestión del Talento Humano, se caracteriza por el cumplimiento de los estándares dados por el Modelo Integrado de Planeación y por las normas que regulan su gestión, es por eso que sus líneas de acción están orientadas a mejorar la calidad en la prestación del servicio así como al desarrollo de competencias mediante la formación y capacitación a sus servidores públicos, y a la creación, mantenimiento y mejora de las condiciones que favorezcan su desarrollo integral mediante actividades de Bienestar y Seguridad y Salud en el trabajo.</w:t>
      </w:r>
    </w:p>
    <w:p w:rsidR="00DA252E" w:rsidRPr="00F71B84" w:rsidRDefault="00DA252E" w:rsidP="00DA252E">
      <w:pPr>
        <w:spacing w:after="0" w:line="240" w:lineRule="auto"/>
        <w:jc w:val="both"/>
        <w:rPr>
          <w:rFonts w:ascii="Verdana" w:hAnsi="Verdana"/>
          <w:sz w:val="24"/>
          <w:szCs w:val="24"/>
        </w:rPr>
      </w:pPr>
    </w:p>
    <w:p w:rsidR="00DA252E" w:rsidRPr="00F71B84" w:rsidRDefault="00DA252E" w:rsidP="00DA252E">
      <w:pPr>
        <w:spacing w:after="0" w:line="240" w:lineRule="auto"/>
        <w:jc w:val="both"/>
        <w:rPr>
          <w:rFonts w:ascii="Verdana" w:hAnsi="Verdana"/>
          <w:sz w:val="24"/>
          <w:szCs w:val="24"/>
        </w:rPr>
      </w:pPr>
      <w:r w:rsidRPr="00F71B84">
        <w:rPr>
          <w:rFonts w:ascii="Verdana" w:hAnsi="Verdana"/>
          <w:sz w:val="24"/>
          <w:szCs w:val="24"/>
        </w:rPr>
        <w:t>En el desarrollo del Plan Institucional de Formación y Capacitación-PIC en la vigencia 2014 se realizaron 51 cursos en 5 componentes con la participación de 1441 inscritos, adicionalmente se contó con invitaciones de la Escuela Superior de Administración Pública- ESAP, el Sistema Nacional de Atención y Reparación Integral a las Víctimas- SNARIV y el Departamento Administrativo de la Función Pública- DAFP para participar en 9 cursos que contaron con 92 Inscritos.</w:t>
      </w:r>
    </w:p>
    <w:p w:rsidR="00DA252E" w:rsidRPr="00F71B84" w:rsidRDefault="00DA252E" w:rsidP="00DA252E">
      <w:pPr>
        <w:spacing w:after="0" w:line="240" w:lineRule="auto"/>
        <w:jc w:val="both"/>
        <w:rPr>
          <w:rFonts w:ascii="Verdana" w:hAnsi="Verdana"/>
          <w:sz w:val="24"/>
          <w:szCs w:val="24"/>
        </w:rPr>
      </w:pPr>
    </w:p>
    <w:p w:rsidR="00DA252E" w:rsidRPr="00F71B84" w:rsidRDefault="00DA252E" w:rsidP="00DA252E">
      <w:pPr>
        <w:spacing w:after="0" w:line="240" w:lineRule="auto"/>
        <w:jc w:val="both"/>
        <w:rPr>
          <w:rFonts w:ascii="Verdana" w:hAnsi="Verdana"/>
          <w:sz w:val="24"/>
          <w:szCs w:val="24"/>
        </w:rPr>
      </w:pPr>
      <w:r w:rsidRPr="00F71B84">
        <w:rPr>
          <w:rFonts w:ascii="Verdana" w:hAnsi="Verdana"/>
          <w:sz w:val="24"/>
          <w:szCs w:val="24"/>
        </w:rPr>
        <w:t>Las actividades de Bienestar y Seguridad y Salud en el trabajo se orientaron a atender las áreas de intervención de: protección y servicios sociales, calidad de vida laboral y seguridad y salud en el trabajo, de las cuales se pueden resaltar a titulo enunciativo, las actividades enfocadas a la interiorización de los valores institucionales, al reconocimiento de incentivos a equipos de trabajo y servidores públicos de carrera administrativa y de libre nombramiento y remoción y a la realización de la encuesta de medición del clima laboral con el objetivo de contar con una línea base para mejorar las condiciones y calidad de vida de los colaboradores de la entidad.</w:t>
      </w:r>
    </w:p>
    <w:p w:rsidR="00DA252E" w:rsidRPr="00F71B84" w:rsidRDefault="00DA252E" w:rsidP="00DA252E">
      <w:pPr>
        <w:spacing w:after="0" w:line="240" w:lineRule="auto"/>
        <w:jc w:val="both"/>
        <w:rPr>
          <w:rFonts w:ascii="Verdana" w:hAnsi="Verdana"/>
          <w:sz w:val="24"/>
          <w:szCs w:val="24"/>
        </w:rPr>
      </w:pPr>
    </w:p>
    <w:p w:rsidR="00DA252E" w:rsidRPr="00F71B84" w:rsidRDefault="00DA252E" w:rsidP="00DA252E">
      <w:pPr>
        <w:spacing w:after="0" w:line="240" w:lineRule="auto"/>
        <w:jc w:val="both"/>
        <w:rPr>
          <w:rFonts w:ascii="Verdana" w:hAnsi="Verdana"/>
          <w:sz w:val="24"/>
          <w:szCs w:val="24"/>
        </w:rPr>
      </w:pPr>
      <w:r w:rsidRPr="00F71B84">
        <w:rPr>
          <w:rFonts w:ascii="Verdana" w:hAnsi="Verdana"/>
          <w:sz w:val="24"/>
          <w:szCs w:val="24"/>
        </w:rPr>
        <w:t xml:space="preserve">Por otro lado, se  actualizo el manual especifico de funciones y competencias laborales de los diferentes empleos de la planta de personal del DPS, lo cual permitió gestionar el proceso que cursa ante la Comisión Nacional del Servicio Civil mediante la convocatoria 320 de 2014,  para proveer mediante concurso de meritos los empleos de la entidad objeto de oferta. El DPS al cierre de la vigencia 2014 contó con una planta activa de 1059 cargos, contando con una participación del género femenino del 57% frente a una participación del 43% del género masculino. </w:t>
      </w:r>
    </w:p>
    <w:p w:rsidR="00DA252E" w:rsidRPr="00F71B84" w:rsidRDefault="00DA252E" w:rsidP="00DA252E">
      <w:pPr>
        <w:spacing w:after="0" w:line="240" w:lineRule="auto"/>
        <w:jc w:val="both"/>
        <w:rPr>
          <w:rFonts w:ascii="Verdana" w:hAnsi="Verdana"/>
          <w:sz w:val="24"/>
          <w:szCs w:val="24"/>
        </w:rPr>
      </w:pPr>
    </w:p>
    <w:p w:rsidR="00AF6200" w:rsidRDefault="00AF6200" w:rsidP="00DA252E">
      <w:pPr>
        <w:spacing w:after="0" w:line="240" w:lineRule="auto"/>
        <w:jc w:val="both"/>
        <w:rPr>
          <w:rFonts w:ascii="Verdana" w:hAnsi="Verdana"/>
          <w:b/>
          <w:color w:val="548DD4" w:themeColor="text2" w:themeTint="99"/>
          <w:sz w:val="24"/>
          <w:szCs w:val="24"/>
          <w:u w:val="single"/>
        </w:rPr>
      </w:pPr>
    </w:p>
    <w:p w:rsidR="00DA252E" w:rsidRPr="000C569D" w:rsidRDefault="00DA252E" w:rsidP="00DA252E">
      <w:pPr>
        <w:spacing w:after="0" w:line="240" w:lineRule="auto"/>
        <w:jc w:val="both"/>
        <w:rPr>
          <w:rFonts w:ascii="Verdana" w:hAnsi="Verdana"/>
          <w:b/>
          <w:color w:val="548DD4" w:themeColor="text2" w:themeTint="99"/>
          <w:sz w:val="24"/>
          <w:szCs w:val="24"/>
          <w:u w:val="single"/>
        </w:rPr>
      </w:pPr>
      <w:r w:rsidRPr="000C569D">
        <w:rPr>
          <w:rFonts w:ascii="Verdana" w:hAnsi="Verdana"/>
          <w:b/>
          <w:color w:val="548DD4" w:themeColor="text2" w:themeTint="99"/>
          <w:sz w:val="24"/>
          <w:szCs w:val="24"/>
          <w:u w:val="single"/>
        </w:rPr>
        <w:t>EFICIENCIA ADMINISTRATIVA</w:t>
      </w:r>
    </w:p>
    <w:p w:rsidR="00DA252E" w:rsidRPr="00F71B84" w:rsidRDefault="00DA252E" w:rsidP="00DA252E">
      <w:pPr>
        <w:spacing w:after="0" w:line="240" w:lineRule="auto"/>
        <w:jc w:val="both"/>
        <w:rPr>
          <w:rFonts w:ascii="Verdana" w:hAnsi="Verdana"/>
          <w:sz w:val="24"/>
          <w:szCs w:val="24"/>
        </w:rPr>
      </w:pPr>
    </w:p>
    <w:p w:rsidR="00DA252E" w:rsidRPr="00F71B84" w:rsidRDefault="00DA252E" w:rsidP="00DA252E">
      <w:pPr>
        <w:spacing w:after="0" w:line="240" w:lineRule="auto"/>
        <w:jc w:val="both"/>
        <w:rPr>
          <w:rFonts w:ascii="Verdana" w:hAnsi="Verdana"/>
          <w:sz w:val="24"/>
          <w:szCs w:val="24"/>
        </w:rPr>
      </w:pPr>
      <w:r w:rsidRPr="00F71B84">
        <w:rPr>
          <w:rFonts w:ascii="Verdana" w:hAnsi="Verdana"/>
          <w:sz w:val="24"/>
          <w:szCs w:val="24"/>
        </w:rPr>
        <w:t>En la evaluación del FURAG  se ha experimentado avance en temas de eficiencia administrativa al poder contar con un software de seguimiento a los usos y consumos de papel. La implantación de esta herramienta permite efectuar seguimiento y control al uso de papel por usuario y dependencia entregando estadísticas de cantidad de impresos simples o por ambas caras, los impactos ambientales por al determinar la cantidad de árboles consumidos.</w:t>
      </w:r>
    </w:p>
    <w:p w:rsidR="00DA252E" w:rsidRPr="00F71B84" w:rsidRDefault="00DA252E" w:rsidP="00DA252E">
      <w:pPr>
        <w:spacing w:after="0" w:line="240" w:lineRule="auto"/>
        <w:jc w:val="both"/>
        <w:rPr>
          <w:rFonts w:ascii="Verdana" w:hAnsi="Verdana"/>
          <w:sz w:val="24"/>
          <w:szCs w:val="24"/>
        </w:rPr>
      </w:pPr>
    </w:p>
    <w:p w:rsidR="00DA252E" w:rsidRPr="00F71B84" w:rsidRDefault="00DA252E" w:rsidP="00DA252E">
      <w:pPr>
        <w:spacing w:after="0" w:line="240" w:lineRule="auto"/>
        <w:jc w:val="both"/>
        <w:rPr>
          <w:rFonts w:ascii="Verdana" w:hAnsi="Verdana"/>
          <w:sz w:val="24"/>
          <w:szCs w:val="24"/>
        </w:rPr>
      </w:pPr>
      <w:r w:rsidRPr="00F71B84">
        <w:rPr>
          <w:rFonts w:ascii="Verdana" w:hAnsi="Verdana"/>
          <w:sz w:val="24"/>
          <w:szCs w:val="24"/>
        </w:rPr>
        <w:t xml:space="preserve">La Entidad viene adelantando acciones para generar la mayor eficiencia administrativa, para esto  está adelantando la construcción de un modelo de </w:t>
      </w:r>
      <w:r w:rsidRPr="00F71B84">
        <w:rPr>
          <w:rFonts w:ascii="Verdana" w:hAnsi="Verdana"/>
          <w:sz w:val="24"/>
          <w:szCs w:val="24"/>
        </w:rPr>
        <w:lastRenderedPageBreak/>
        <w:t>requisitos para la definición y gestión de los documentos electrónicos de que dispone la Entidad. Entre estos para el año 2015 hará la automatización de la expedición de certificación laboral básica para servidores públicos activos de la planta de personal.</w:t>
      </w:r>
    </w:p>
    <w:p w:rsidR="00DA252E" w:rsidRPr="00F71B84" w:rsidRDefault="00DA252E" w:rsidP="00DA252E">
      <w:pPr>
        <w:spacing w:after="0" w:line="240" w:lineRule="auto"/>
        <w:jc w:val="both"/>
        <w:rPr>
          <w:rFonts w:ascii="Verdana" w:hAnsi="Verdana"/>
          <w:sz w:val="24"/>
          <w:szCs w:val="24"/>
        </w:rPr>
      </w:pPr>
    </w:p>
    <w:p w:rsidR="00DA252E" w:rsidRPr="00F71B84" w:rsidRDefault="00DA252E" w:rsidP="00DA252E">
      <w:pPr>
        <w:spacing w:after="0" w:line="240" w:lineRule="auto"/>
        <w:jc w:val="both"/>
        <w:rPr>
          <w:rFonts w:ascii="Verdana" w:hAnsi="Verdana"/>
          <w:sz w:val="24"/>
          <w:szCs w:val="24"/>
        </w:rPr>
      </w:pPr>
      <w:r w:rsidRPr="00F71B84">
        <w:rPr>
          <w:rFonts w:ascii="Verdana" w:hAnsi="Verdana"/>
          <w:sz w:val="24"/>
          <w:szCs w:val="24"/>
        </w:rPr>
        <w:t>La administración del Modelo Integrado de Planeación y Gestión (MIPG) se hace a través de las brechas de FURAG evidenciadas en las mediciones del año 2013, lo cual hace que se tenga un diagnóstico objetivo de los avances del MIPG y se tenga insumos para la planeación estratégica y el  cumplimiento de los requisitos, entre los que se tiene priorizados los requerimientos de  la Ley de Transparencia 1712 del año 2014.</w:t>
      </w:r>
    </w:p>
    <w:p w:rsidR="00DA252E" w:rsidRPr="00F71B84" w:rsidRDefault="00DA252E" w:rsidP="00DA252E">
      <w:pPr>
        <w:spacing w:after="0" w:line="240" w:lineRule="auto"/>
        <w:jc w:val="both"/>
        <w:rPr>
          <w:rFonts w:ascii="Verdana" w:hAnsi="Verdana"/>
          <w:b/>
          <w:sz w:val="24"/>
          <w:szCs w:val="24"/>
        </w:rPr>
      </w:pPr>
    </w:p>
    <w:p w:rsidR="00DA252E" w:rsidRPr="001D7E2C" w:rsidRDefault="00DA252E" w:rsidP="00DA252E">
      <w:pPr>
        <w:spacing w:after="0" w:line="240" w:lineRule="auto"/>
        <w:jc w:val="both"/>
        <w:rPr>
          <w:rFonts w:ascii="Verdana" w:hAnsi="Verdana"/>
          <w:color w:val="548DD4" w:themeColor="text2" w:themeTint="99"/>
          <w:sz w:val="24"/>
          <w:szCs w:val="24"/>
        </w:rPr>
      </w:pPr>
    </w:p>
    <w:p w:rsidR="00DA252E" w:rsidRDefault="00DA252E" w:rsidP="00DA252E">
      <w:pPr>
        <w:spacing w:after="0" w:line="240" w:lineRule="auto"/>
        <w:rPr>
          <w:rFonts w:ascii="Verdana" w:hAnsi="Verdana"/>
          <w:b/>
          <w:color w:val="548DD4" w:themeColor="text2" w:themeTint="99"/>
          <w:sz w:val="24"/>
          <w:szCs w:val="24"/>
        </w:rPr>
      </w:pPr>
      <w:r w:rsidRPr="00405354">
        <w:rPr>
          <w:rFonts w:ascii="Verdana" w:hAnsi="Verdana"/>
          <w:b/>
          <w:color w:val="548DD4" w:themeColor="text2" w:themeTint="99"/>
          <w:sz w:val="24"/>
          <w:szCs w:val="24"/>
        </w:rPr>
        <w:t xml:space="preserve">Logros </w:t>
      </w:r>
    </w:p>
    <w:p w:rsidR="00DA252E" w:rsidRPr="003B79B3" w:rsidRDefault="00DA252E" w:rsidP="00FF784D">
      <w:pPr>
        <w:pStyle w:val="Prrafodelista"/>
        <w:numPr>
          <w:ilvl w:val="0"/>
          <w:numId w:val="25"/>
        </w:numPr>
        <w:autoSpaceDE w:val="0"/>
        <w:autoSpaceDN w:val="0"/>
        <w:adjustRightInd w:val="0"/>
        <w:spacing w:after="0" w:line="240" w:lineRule="auto"/>
        <w:jc w:val="both"/>
        <w:rPr>
          <w:rFonts w:ascii="Verdana" w:hAnsi="Verdana"/>
          <w:i/>
          <w:sz w:val="24"/>
          <w:szCs w:val="24"/>
        </w:rPr>
      </w:pPr>
      <w:r w:rsidRPr="003B79B3">
        <w:rPr>
          <w:rFonts w:ascii="Verdana" w:hAnsi="Verdana"/>
          <w:i/>
          <w:sz w:val="24"/>
          <w:szCs w:val="24"/>
        </w:rPr>
        <w:t>En el primer objetivo el programa Más Familias es Acción es el que ha requerido un mayor esfuerzo,  por ser presupuestalmente y en cobertura de familias y/o personas muy superior a los demás programas, el cual ha presentado un avance superior al 90%.</w:t>
      </w:r>
    </w:p>
    <w:p w:rsidR="00DA252E" w:rsidRPr="003B79B3" w:rsidRDefault="00DA252E" w:rsidP="00FF784D">
      <w:pPr>
        <w:pStyle w:val="Prrafodelista"/>
        <w:numPr>
          <w:ilvl w:val="0"/>
          <w:numId w:val="25"/>
        </w:numPr>
        <w:autoSpaceDE w:val="0"/>
        <w:autoSpaceDN w:val="0"/>
        <w:adjustRightInd w:val="0"/>
        <w:spacing w:after="0" w:line="240" w:lineRule="auto"/>
        <w:jc w:val="both"/>
        <w:rPr>
          <w:rFonts w:ascii="Verdana" w:hAnsi="Verdana"/>
          <w:i/>
          <w:sz w:val="24"/>
          <w:szCs w:val="24"/>
        </w:rPr>
      </w:pPr>
      <w:r w:rsidRPr="003B79B3">
        <w:rPr>
          <w:rFonts w:ascii="Verdana" w:hAnsi="Verdana"/>
          <w:i/>
          <w:sz w:val="24"/>
          <w:szCs w:val="24"/>
        </w:rPr>
        <w:t>El segundo objetivo estratégico se concentra en atender a la población pobre y pobre extrema con una ejecución superior al 98%</w:t>
      </w:r>
    </w:p>
    <w:p w:rsidR="00DA252E" w:rsidRPr="003B79B3" w:rsidRDefault="00DA252E" w:rsidP="00FF784D">
      <w:pPr>
        <w:pStyle w:val="Prrafodelista"/>
        <w:numPr>
          <w:ilvl w:val="0"/>
          <w:numId w:val="25"/>
        </w:numPr>
        <w:autoSpaceDE w:val="0"/>
        <w:autoSpaceDN w:val="0"/>
        <w:adjustRightInd w:val="0"/>
        <w:spacing w:after="0" w:line="240" w:lineRule="auto"/>
        <w:jc w:val="both"/>
        <w:rPr>
          <w:rFonts w:ascii="Verdana" w:hAnsi="Verdana"/>
          <w:i/>
          <w:sz w:val="24"/>
          <w:szCs w:val="24"/>
        </w:rPr>
      </w:pPr>
      <w:r w:rsidRPr="003B79B3">
        <w:rPr>
          <w:rFonts w:ascii="Verdana" w:hAnsi="Verdana"/>
          <w:i/>
          <w:sz w:val="24"/>
          <w:szCs w:val="24"/>
        </w:rPr>
        <w:t>El tercer objetivo estratégico se enfoca en la atención a la población víctima de la violencia con una ejecución del 100%</w:t>
      </w:r>
    </w:p>
    <w:p w:rsidR="00DA252E" w:rsidRPr="003B79B3" w:rsidRDefault="00DA252E" w:rsidP="00FF784D">
      <w:pPr>
        <w:pStyle w:val="Prrafodelista"/>
        <w:numPr>
          <w:ilvl w:val="0"/>
          <w:numId w:val="25"/>
        </w:numPr>
        <w:autoSpaceDE w:val="0"/>
        <w:autoSpaceDN w:val="0"/>
        <w:adjustRightInd w:val="0"/>
        <w:spacing w:after="0" w:line="240" w:lineRule="auto"/>
        <w:jc w:val="both"/>
        <w:rPr>
          <w:rFonts w:ascii="Verdana" w:hAnsi="Verdana"/>
          <w:i/>
          <w:sz w:val="24"/>
          <w:szCs w:val="24"/>
        </w:rPr>
      </w:pPr>
      <w:r w:rsidRPr="003B79B3">
        <w:rPr>
          <w:rFonts w:ascii="Verdana" w:hAnsi="Verdana"/>
          <w:i/>
          <w:sz w:val="24"/>
          <w:szCs w:val="24"/>
        </w:rPr>
        <w:t>El cuarto objetivo estratégico se centra en la atención a la población indígena, con un a ejecución del 100%</w:t>
      </w:r>
    </w:p>
    <w:p w:rsidR="00DA252E" w:rsidRPr="003B79B3" w:rsidRDefault="00DA252E" w:rsidP="00FF784D">
      <w:pPr>
        <w:pStyle w:val="Prrafodelista"/>
        <w:numPr>
          <w:ilvl w:val="0"/>
          <w:numId w:val="25"/>
        </w:numPr>
        <w:autoSpaceDE w:val="0"/>
        <w:autoSpaceDN w:val="0"/>
        <w:adjustRightInd w:val="0"/>
        <w:spacing w:after="0" w:line="240" w:lineRule="auto"/>
        <w:jc w:val="both"/>
        <w:rPr>
          <w:rFonts w:ascii="Verdana" w:hAnsi="Verdana"/>
          <w:i/>
          <w:sz w:val="24"/>
          <w:szCs w:val="24"/>
        </w:rPr>
      </w:pPr>
      <w:r w:rsidRPr="003B79B3">
        <w:rPr>
          <w:rFonts w:ascii="Verdana" w:hAnsi="Verdana"/>
          <w:i/>
          <w:sz w:val="24"/>
          <w:szCs w:val="24"/>
        </w:rPr>
        <w:t>El quinto objetivo estratégico está orientado a garantizar una atención permanente, ágil y oportuna a la población objeto de la Entidad, con un cumplimiento superior al 90%</w:t>
      </w:r>
    </w:p>
    <w:p w:rsidR="00DA252E" w:rsidRPr="003B79B3" w:rsidRDefault="00DA252E" w:rsidP="00FF784D">
      <w:pPr>
        <w:pStyle w:val="Prrafodelista"/>
        <w:numPr>
          <w:ilvl w:val="0"/>
          <w:numId w:val="25"/>
        </w:numPr>
        <w:autoSpaceDE w:val="0"/>
        <w:autoSpaceDN w:val="0"/>
        <w:adjustRightInd w:val="0"/>
        <w:spacing w:after="0" w:line="240" w:lineRule="auto"/>
        <w:jc w:val="both"/>
        <w:rPr>
          <w:rFonts w:ascii="Verdana" w:hAnsi="Verdana"/>
          <w:i/>
          <w:sz w:val="24"/>
          <w:szCs w:val="24"/>
        </w:rPr>
      </w:pPr>
      <w:r w:rsidRPr="003B79B3">
        <w:rPr>
          <w:rFonts w:ascii="Verdana" w:hAnsi="Verdana"/>
          <w:i/>
          <w:sz w:val="24"/>
          <w:szCs w:val="24"/>
        </w:rPr>
        <w:t xml:space="preserve">El sexto objetivo estratégico mide el nivel de ejecución presupuestal y financiera de la Entidad con una ejecución superior </w:t>
      </w:r>
      <w:r w:rsidRPr="00A05D23">
        <w:rPr>
          <w:rFonts w:ascii="Verdana" w:hAnsi="Verdana"/>
          <w:i/>
          <w:sz w:val="24"/>
          <w:szCs w:val="24"/>
        </w:rPr>
        <w:t xml:space="preserve">a </w:t>
      </w:r>
      <w:r>
        <w:rPr>
          <w:rFonts w:ascii="Verdana" w:hAnsi="Verdana"/>
          <w:i/>
          <w:sz w:val="24"/>
          <w:szCs w:val="24"/>
        </w:rPr>
        <w:t>61</w:t>
      </w:r>
      <w:r w:rsidRPr="00A05D23">
        <w:rPr>
          <w:rFonts w:ascii="Verdana" w:hAnsi="Verdana"/>
          <w:i/>
          <w:sz w:val="24"/>
          <w:szCs w:val="24"/>
        </w:rPr>
        <w:t>%.</w:t>
      </w:r>
      <w:r>
        <w:rPr>
          <w:rStyle w:val="Refdenotaalpie"/>
          <w:rFonts w:ascii="Verdana" w:hAnsi="Verdana"/>
          <w:i/>
          <w:sz w:val="24"/>
          <w:szCs w:val="24"/>
        </w:rPr>
        <w:footnoteReference w:id="3"/>
      </w:r>
    </w:p>
    <w:p w:rsidR="00DA252E" w:rsidRDefault="00DA252E" w:rsidP="00DA252E">
      <w:pPr>
        <w:spacing w:after="0" w:line="240" w:lineRule="auto"/>
        <w:jc w:val="both"/>
        <w:rPr>
          <w:rFonts w:ascii="Verdana" w:hAnsi="Verdana"/>
          <w:b/>
          <w:color w:val="548DD4" w:themeColor="text2" w:themeTint="99"/>
          <w:sz w:val="24"/>
          <w:szCs w:val="24"/>
        </w:rPr>
      </w:pPr>
    </w:p>
    <w:p w:rsidR="00DA252E" w:rsidRPr="001D7E2C" w:rsidRDefault="00DA252E" w:rsidP="00DA252E">
      <w:pPr>
        <w:spacing w:after="0" w:line="240" w:lineRule="auto"/>
        <w:jc w:val="both"/>
        <w:rPr>
          <w:rFonts w:ascii="Verdana" w:hAnsi="Verdana"/>
          <w:b/>
          <w:color w:val="548DD4" w:themeColor="text2" w:themeTint="99"/>
          <w:sz w:val="24"/>
          <w:szCs w:val="24"/>
        </w:rPr>
      </w:pPr>
    </w:p>
    <w:p w:rsidR="00DA252E" w:rsidRPr="0051259B" w:rsidRDefault="0051259B" w:rsidP="00DA252E">
      <w:pPr>
        <w:spacing w:after="0" w:line="240" w:lineRule="auto"/>
        <w:jc w:val="both"/>
        <w:rPr>
          <w:rFonts w:ascii="Verdana" w:hAnsi="Verdana"/>
          <w:b/>
          <w:color w:val="548DD4" w:themeColor="text2" w:themeTint="99"/>
          <w:sz w:val="24"/>
          <w:szCs w:val="24"/>
        </w:rPr>
      </w:pPr>
      <w:r w:rsidRPr="0051259B">
        <w:rPr>
          <w:rFonts w:ascii="Verdana" w:hAnsi="Verdana"/>
          <w:b/>
          <w:noProof/>
          <w:color w:val="548DD4" w:themeColor="text2" w:themeTint="99"/>
          <w:sz w:val="24"/>
          <w:szCs w:val="24"/>
          <w:lang w:eastAsia="es-CO"/>
        </w:rPr>
        <w:drawing>
          <wp:inline distT="0" distB="0" distL="0" distR="0">
            <wp:extent cx="216024" cy="216024"/>
            <wp:effectExtent l="19050" t="0" r="0" b="0"/>
            <wp:docPr id="468" name="Objet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7236296" y="2924944"/>
                      <a:chExt cx="216024" cy="216024"/>
                    </a:xfrm>
                  </a:grpSpPr>
                  <a:sp>
                    <a:nvSpPr>
                      <a:cNvPr id="39" name="38 Rectángulo redondeado"/>
                      <a:cNvSpPr/>
                    </a:nvSpPr>
                    <a:spPr>
                      <a:xfrm>
                        <a:off x="7236296" y="2924944"/>
                        <a:ext cx="216024" cy="216024"/>
                      </a:xfrm>
                      <a:prstGeom prst="roundRect">
                        <a:avLst/>
                      </a:prstGeom>
                      <a:gradFill flip="none" rotWithShape="1">
                        <a:gsLst>
                          <a:gs pos="0">
                            <a:schemeClr val="tx2">
                              <a:lumMod val="40000"/>
                              <a:lumOff val="60000"/>
                              <a:shade val="30000"/>
                              <a:satMod val="115000"/>
                            </a:schemeClr>
                          </a:gs>
                          <a:gs pos="50000">
                            <a:schemeClr val="tx2">
                              <a:lumMod val="40000"/>
                              <a:lumOff val="60000"/>
                              <a:shade val="67500"/>
                              <a:satMod val="115000"/>
                            </a:schemeClr>
                          </a:gs>
                          <a:gs pos="100000">
                            <a:schemeClr val="tx2">
                              <a:lumMod val="40000"/>
                              <a:lumOff val="60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dirty="0">
                            <a:solidFill>
                              <a:schemeClr val="accent4">
                                <a:lumMod val="40000"/>
                                <a:lumOff val="60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hAnsi="Verdana"/>
          <w:b/>
          <w:color w:val="548DD4" w:themeColor="text2" w:themeTint="99"/>
          <w:sz w:val="24"/>
          <w:szCs w:val="24"/>
        </w:rPr>
        <w:t xml:space="preserve">   </w:t>
      </w:r>
      <w:r w:rsidR="00DA252E" w:rsidRPr="0051259B">
        <w:rPr>
          <w:rFonts w:ascii="Verdana" w:hAnsi="Verdana"/>
          <w:b/>
          <w:color w:val="548DD4" w:themeColor="text2" w:themeTint="99"/>
          <w:sz w:val="24"/>
          <w:szCs w:val="24"/>
        </w:rPr>
        <w:t>ACCIONES DE MEJORAMIENTO</w:t>
      </w:r>
    </w:p>
    <w:p w:rsidR="00DA252E" w:rsidRDefault="00DA252E" w:rsidP="00DA252E">
      <w:pPr>
        <w:spacing w:after="0" w:line="240" w:lineRule="auto"/>
        <w:jc w:val="both"/>
        <w:rPr>
          <w:rFonts w:ascii="Verdana" w:hAnsi="Verdana" w:cs="Arial"/>
          <w:sz w:val="24"/>
          <w:szCs w:val="24"/>
        </w:rPr>
      </w:pPr>
    </w:p>
    <w:p w:rsidR="00CB5CC4" w:rsidRDefault="00CB5CC4" w:rsidP="00DA252E">
      <w:pPr>
        <w:spacing w:after="0" w:line="240" w:lineRule="auto"/>
        <w:jc w:val="both"/>
        <w:rPr>
          <w:rFonts w:ascii="Verdana" w:hAnsi="Verdana" w:cs="Arial"/>
          <w:sz w:val="24"/>
          <w:szCs w:val="24"/>
        </w:rPr>
      </w:pPr>
    </w:p>
    <w:p w:rsidR="00DA252E" w:rsidRDefault="00DA252E" w:rsidP="00DA252E">
      <w:pPr>
        <w:spacing w:after="0" w:line="240" w:lineRule="auto"/>
        <w:jc w:val="both"/>
        <w:rPr>
          <w:rFonts w:ascii="Verdana" w:hAnsi="Verdana" w:cs="Arial"/>
          <w:sz w:val="24"/>
          <w:szCs w:val="24"/>
        </w:rPr>
      </w:pPr>
      <w:r w:rsidRPr="00F71B84">
        <w:rPr>
          <w:rFonts w:ascii="Verdana" w:hAnsi="Verdana" w:cs="Arial"/>
          <w:sz w:val="24"/>
          <w:szCs w:val="24"/>
        </w:rPr>
        <w:t>La Entidad permite el desarrollo de las auditorías internas y externas, las cuales identifican oportunidades de mejoramiento que son detalladas a contin</w:t>
      </w:r>
      <w:r w:rsidR="007060A3">
        <w:rPr>
          <w:rFonts w:ascii="Verdana" w:hAnsi="Verdana" w:cs="Arial"/>
          <w:sz w:val="24"/>
          <w:szCs w:val="24"/>
        </w:rPr>
        <w:t>u</w:t>
      </w:r>
      <w:r w:rsidRPr="00F71B84">
        <w:rPr>
          <w:rFonts w:ascii="Verdana" w:hAnsi="Verdana" w:cs="Arial"/>
          <w:sz w:val="24"/>
          <w:szCs w:val="24"/>
        </w:rPr>
        <w:t>ación.</w:t>
      </w:r>
    </w:p>
    <w:p w:rsidR="00DA252E" w:rsidRDefault="00DA252E" w:rsidP="00DA252E">
      <w:pPr>
        <w:spacing w:after="0" w:line="240" w:lineRule="auto"/>
        <w:jc w:val="both"/>
        <w:rPr>
          <w:rFonts w:ascii="Verdana" w:hAnsi="Verdana" w:cs="Arial"/>
          <w:sz w:val="24"/>
          <w:szCs w:val="24"/>
        </w:rPr>
      </w:pPr>
    </w:p>
    <w:p w:rsidR="007060A3" w:rsidRPr="00F71B84" w:rsidRDefault="007060A3" w:rsidP="00DA252E">
      <w:pPr>
        <w:spacing w:after="0" w:line="240" w:lineRule="auto"/>
        <w:jc w:val="both"/>
        <w:rPr>
          <w:rFonts w:ascii="Verdana" w:hAnsi="Verdana" w:cs="Arial"/>
          <w:sz w:val="24"/>
          <w:szCs w:val="24"/>
        </w:rPr>
      </w:pPr>
    </w:p>
    <w:tbl>
      <w:tblPr>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2235"/>
        <w:gridCol w:w="2409"/>
        <w:gridCol w:w="5529"/>
      </w:tblGrid>
      <w:tr w:rsidR="00DA252E" w:rsidRPr="00D02804" w:rsidTr="00DA252E">
        <w:tc>
          <w:tcPr>
            <w:tcW w:w="2235" w:type="dxa"/>
            <w:shd w:val="clear" w:color="auto" w:fill="548DD4" w:themeFill="text2" w:themeFillTint="99"/>
            <w:vAlign w:val="center"/>
          </w:tcPr>
          <w:p w:rsidR="00DA252E" w:rsidRPr="007534F5" w:rsidRDefault="00DA252E" w:rsidP="00DA252E">
            <w:pPr>
              <w:spacing w:after="0" w:line="240" w:lineRule="auto"/>
              <w:jc w:val="center"/>
              <w:rPr>
                <w:rFonts w:ascii="Verdana" w:hAnsi="Verdana"/>
                <w:b/>
                <w:bCs/>
                <w:color w:val="FFFFFF" w:themeColor="background1"/>
                <w:sz w:val="20"/>
                <w:szCs w:val="24"/>
              </w:rPr>
            </w:pPr>
            <w:r w:rsidRPr="007534F5">
              <w:rPr>
                <w:rFonts w:ascii="Verdana" w:hAnsi="Verdana"/>
                <w:b/>
                <w:bCs/>
                <w:color w:val="FFFFFF" w:themeColor="background1"/>
                <w:sz w:val="20"/>
                <w:szCs w:val="24"/>
              </w:rPr>
              <w:t>Planes de Mejoramiento vigentes</w:t>
            </w:r>
          </w:p>
        </w:tc>
        <w:tc>
          <w:tcPr>
            <w:tcW w:w="2409" w:type="dxa"/>
            <w:shd w:val="clear" w:color="auto" w:fill="548DD4" w:themeFill="text2" w:themeFillTint="99"/>
            <w:vAlign w:val="center"/>
          </w:tcPr>
          <w:p w:rsidR="00DA252E" w:rsidRPr="007534F5" w:rsidRDefault="00DA252E" w:rsidP="00DA252E">
            <w:pPr>
              <w:spacing w:after="0" w:line="240" w:lineRule="auto"/>
              <w:jc w:val="center"/>
              <w:rPr>
                <w:rFonts w:ascii="Verdana" w:hAnsi="Verdana"/>
                <w:b/>
                <w:bCs/>
                <w:color w:val="FFFFFF" w:themeColor="background1"/>
                <w:sz w:val="20"/>
                <w:szCs w:val="24"/>
              </w:rPr>
            </w:pPr>
            <w:r w:rsidRPr="007534F5">
              <w:rPr>
                <w:rFonts w:ascii="Verdana" w:hAnsi="Verdana"/>
                <w:b/>
                <w:bCs/>
                <w:color w:val="FFFFFF" w:themeColor="background1"/>
                <w:sz w:val="20"/>
                <w:szCs w:val="24"/>
              </w:rPr>
              <w:t>Auditoría fuente del plan de mejoramiento</w:t>
            </w:r>
          </w:p>
        </w:tc>
        <w:tc>
          <w:tcPr>
            <w:tcW w:w="5529" w:type="dxa"/>
            <w:shd w:val="clear" w:color="auto" w:fill="548DD4" w:themeFill="text2" w:themeFillTint="99"/>
            <w:vAlign w:val="center"/>
          </w:tcPr>
          <w:p w:rsidR="00DA252E" w:rsidRPr="007534F5" w:rsidRDefault="00DA252E" w:rsidP="00DA252E">
            <w:pPr>
              <w:spacing w:after="0" w:line="240" w:lineRule="auto"/>
              <w:jc w:val="center"/>
              <w:rPr>
                <w:rFonts w:ascii="Verdana" w:hAnsi="Verdana"/>
                <w:b/>
                <w:bCs/>
                <w:color w:val="FFFFFF" w:themeColor="background1"/>
                <w:sz w:val="20"/>
                <w:szCs w:val="24"/>
              </w:rPr>
            </w:pPr>
            <w:r w:rsidRPr="007534F5">
              <w:rPr>
                <w:rFonts w:ascii="Verdana" w:hAnsi="Verdana"/>
                <w:b/>
                <w:bCs/>
                <w:color w:val="FFFFFF" w:themeColor="background1"/>
                <w:sz w:val="20"/>
                <w:szCs w:val="24"/>
              </w:rPr>
              <w:t>Temas más relevantes de los planes de mejoramiento</w:t>
            </w:r>
          </w:p>
        </w:tc>
      </w:tr>
      <w:tr w:rsidR="00DA252E" w:rsidRPr="00D02804" w:rsidTr="00DA252E">
        <w:tc>
          <w:tcPr>
            <w:tcW w:w="2235" w:type="dxa"/>
            <w:shd w:val="clear" w:color="auto" w:fill="A7BFDE"/>
            <w:vAlign w:val="center"/>
          </w:tcPr>
          <w:p w:rsidR="00DA252E" w:rsidRPr="00D02804" w:rsidRDefault="00DA252E" w:rsidP="00DA252E">
            <w:pPr>
              <w:spacing w:after="0" w:line="240" w:lineRule="auto"/>
              <w:jc w:val="center"/>
              <w:rPr>
                <w:rFonts w:ascii="Verdana" w:hAnsi="Verdana"/>
                <w:b/>
                <w:bCs/>
                <w:sz w:val="20"/>
                <w:szCs w:val="24"/>
              </w:rPr>
            </w:pPr>
            <w:r w:rsidRPr="00D02804">
              <w:rPr>
                <w:rFonts w:ascii="Verdana" w:hAnsi="Verdana"/>
                <w:bCs/>
                <w:sz w:val="20"/>
                <w:szCs w:val="24"/>
              </w:rPr>
              <w:t>Identificación de acciones preventivas derivadas de los Riesgos</w:t>
            </w:r>
          </w:p>
        </w:tc>
        <w:tc>
          <w:tcPr>
            <w:tcW w:w="2409" w:type="dxa"/>
            <w:shd w:val="clear" w:color="auto" w:fill="A7BFDE"/>
            <w:vAlign w:val="center"/>
          </w:tcPr>
          <w:p w:rsidR="00DA252E" w:rsidRPr="00D02804" w:rsidRDefault="00DA252E" w:rsidP="00DA252E">
            <w:pPr>
              <w:spacing w:after="0" w:line="240" w:lineRule="auto"/>
              <w:jc w:val="center"/>
              <w:rPr>
                <w:rFonts w:ascii="Verdana" w:hAnsi="Verdana"/>
                <w:sz w:val="20"/>
                <w:szCs w:val="24"/>
              </w:rPr>
            </w:pPr>
            <w:r w:rsidRPr="00D02804">
              <w:rPr>
                <w:rFonts w:ascii="Verdana" w:hAnsi="Verdana"/>
                <w:sz w:val="20"/>
                <w:szCs w:val="24"/>
              </w:rPr>
              <w:t>Auditorías internas</w:t>
            </w:r>
          </w:p>
        </w:tc>
        <w:tc>
          <w:tcPr>
            <w:tcW w:w="5529" w:type="dxa"/>
            <w:shd w:val="clear" w:color="auto" w:fill="A7BFDE"/>
            <w:vAlign w:val="center"/>
          </w:tcPr>
          <w:p w:rsidR="00DA252E" w:rsidRPr="00D02804" w:rsidRDefault="00DA252E" w:rsidP="00DA252E">
            <w:pPr>
              <w:spacing w:after="0" w:line="240" w:lineRule="auto"/>
              <w:jc w:val="center"/>
              <w:rPr>
                <w:rFonts w:ascii="Verdana" w:hAnsi="Verdana"/>
                <w:sz w:val="20"/>
                <w:szCs w:val="24"/>
              </w:rPr>
            </w:pPr>
            <w:r w:rsidRPr="00D02804">
              <w:rPr>
                <w:rFonts w:ascii="Verdana" w:hAnsi="Verdana"/>
                <w:sz w:val="20"/>
                <w:szCs w:val="24"/>
              </w:rPr>
              <w:t>Existen registradas un total de 45 acciones preventivas de las cuales 30 de ellas corresponde al eje de calidad, 8 al eje ambiental y 7 a seguridad y salud laboral.  Lo cual refleja que la mayoría de las acciones están encaminadas al cumplimiento de los objetivos estratégicos y metas de la entidad.</w:t>
            </w:r>
          </w:p>
        </w:tc>
      </w:tr>
      <w:tr w:rsidR="00DA252E" w:rsidRPr="00D02804" w:rsidTr="00DA252E">
        <w:tc>
          <w:tcPr>
            <w:tcW w:w="2235" w:type="dxa"/>
            <w:shd w:val="clear" w:color="auto" w:fill="D3DFEE"/>
            <w:vAlign w:val="center"/>
          </w:tcPr>
          <w:p w:rsidR="00DA252E" w:rsidRPr="00D02804" w:rsidRDefault="00DA252E" w:rsidP="00DA252E">
            <w:pPr>
              <w:spacing w:after="0" w:line="240" w:lineRule="auto"/>
              <w:jc w:val="center"/>
              <w:rPr>
                <w:rFonts w:ascii="Verdana" w:hAnsi="Verdana"/>
                <w:b/>
                <w:bCs/>
                <w:sz w:val="20"/>
                <w:szCs w:val="24"/>
              </w:rPr>
            </w:pPr>
            <w:r w:rsidRPr="00D02804">
              <w:rPr>
                <w:rFonts w:ascii="Verdana" w:hAnsi="Verdana"/>
                <w:bCs/>
                <w:sz w:val="20"/>
                <w:szCs w:val="24"/>
              </w:rPr>
              <w:t>Identificación de no conformidades  derivadas del análisis del proceso</w:t>
            </w:r>
          </w:p>
        </w:tc>
        <w:tc>
          <w:tcPr>
            <w:tcW w:w="2409" w:type="dxa"/>
            <w:shd w:val="clear" w:color="auto" w:fill="D3DFEE"/>
            <w:vAlign w:val="center"/>
          </w:tcPr>
          <w:p w:rsidR="00DA252E" w:rsidRPr="00D02804" w:rsidRDefault="00DA252E" w:rsidP="00DA252E">
            <w:pPr>
              <w:spacing w:after="0" w:line="240" w:lineRule="auto"/>
              <w:jc w:val="center"/>
              <w:rPr>
                <w:rFonts w:ascii="Verdana" w:hAnsi="Verdana"/>
                <w:sz w:val="20"/>
                <w:szCs w:val="24"/>
              </w:rPr>
            </w:pPr>
            <w:r w:rsidRPr="00D02804">
              <w:rPr>
                <w:rFonts w:ascii="Verdana" w:hAnsi="Verdana"/>
                <w:sz w:val="20"/>
                <w:szCs w:val="24"/>
              </w:rPr>
              <w:t>Auditorías internas</w:t>
            </w:r>
          </w:p>
        </w:tc>
        <w:tc>
          <w:tcPr>
            <w:tcW w:w="5529" w:type="dxa"/>
            <w:shd w:val="clear" w:color="auto" w:fill="D3DFEE"/>
            <w:vAlign w:val="center"/>
          </w:tcPr>
          <w:p w:rsidR="00DA252E" w:rsidRPr="00D02804" w:rsidRDefault="00DA252E" w:rsidP="00DA252E">
            <w:pPr>
              <w:spacing w:after="0" w:line="240" w:lineRule="auto"/>
              <w:jc w:val="center"/>
              <w:rPr>
                <w:rFonts w:ascii="Verdana" w:hAnsi="Verdana"/>
                <w:sz w:val="20"/>
                <w:szCs w:val="24"/>
              </w:rPr>
            </w:pPr>
            <w:r w:rsidRPr="00D02804">
              <w:rPr>
                <w:rFonts w:ascii="Verdana" w:hAnsi="Verdana"/>
                <w:sz w:val="20"/>
                <w:szCs w:val="24"/>
              </w:rPr>
              <w:t>Existen registradas 4 no conformidades referentes análisis de proceso, que corresponde a eje de calidad.</w:t>
            </w:r>
          </w:p>
        </w:tc>
      </w:tr>
      <w:tr w:rsidR="00DA252E" w:rsidRPr="00D02804" w:rsidTr="00DA252E">
        <w:tc>
          <w:tcPr>
            <w:tcW w:w="2235" w:type="dxa"/>
            <w:shd w:val="clear" w:color="auto" w:fill="A7BFDE"/>
            <w:vAlign w:val="center"/>
          </w:tcPr>
          <w:p w:rsidR="00DA252E" w:rsidRPr="00D02804" w:rsidRDefault="00DA252E" w:rsidP="00DA252E">
            <w:pPr>
              <w:spacing w:after="0" w:line="240" w:lineRule="auto"/>
              <w:jc w:val="center"/>
              <w:rPr>
                <w:rFonts w:ascii="Verdana" w:hAnsi="Verdana"/>
                <w:b/>
                <w:bCs/>
                <w:sz w:val="20"/>
                <w:szCs w:val="24"/>
              </w:rPr>
            </w:pPr>
            <w:r w:rsidRPr="00D02804">
              <w:rPr>
                <w:rFonts w:ascii="Verdana" w:hAnsi="Verdana"/>
                <w:bCs/>
                <w:sz w:val="20"/>
                <w:szCs w:val="24"/>
              </w:rPr>
              <w:t>Acciones de mejoramiento por proceso</w:t>
            </w:r>
          </w:p>
          <w:p w:rsidR="00DA252E" w:rsidRPr="00D02804" w:rsidRDefault="00DA252E" w:rsidP="00DA252E">
            <w:pPr>
              <w:spacing w:after="0" w:line="240" w:lineRule="auto"/>
              <w:jc w:val="center"/>
              <w:rPr>
                <w:rFonts w:ascii="Verdana" w:hAnsi="Verdana"/>
                <w:b/>
                <w:bCs/>
                <w:sz w:val="20"/>
                <w:szCs w:val="24"/>
              </w:rPr>
            </w:pPr>
          </w:p>
        </w:tc>
        <w:tc>
          <w:tcPr>
            <w:tcW w:w="2409" w:type="dxa"/>
            <w:shd w:val="clear" w:color="auto" w:fill="A7BFDE"/>
            <w:vAlign w:val="center"/>
          </w:tcPr>
          <w:p w:rsidR="00DA252E" w:rsidRPr="00D02804" w:rsidRDefault="00DA252E" w:rsidP="00DA252E">
            <w:pPr>
              <w:spacing w:after="0" w:line="240" w:lineRule="auto"/>
              <w:jc w:val="center"/>
              <w:rPr>
                <w:rFonts w:ascii="Verdana" w:hAnsi="Verdana"/>
                <w:sz w:val="20"/>
                <w:szCs w:val="24"/>
              </w:rPr>
            </w:pPr>
            <w:r w:rsidRPr="00D02804">
              <w:rPr>
                <w:rFonts w:ascii="Verdana" w:hAnsi="Verdana"/>
                <w:sz w:val="20"/>
                <w:szCs w:val="24"/>
              </w:rPr>
              <w:t>Auditorías internas</w:t>
            </w:r>
          </w:p>
        </w:tc>
        <w:tc>
          <w:tcPr>
            <w:tcW w:w="5529" w:type="dxa"/>
            <w:shd w:val="clear" w:color="auto" w:fill="A7BFDE"/>
            <w:vAlign w:val="center"/>
          </w:tcPr>
          <w:p w:rsidR="00DA252E" w:rsidRPr="00D02804" w:rsidRDefault="00DA252E" w:rsidP="00DA252E">
            <w:pPr>
              <w:spacing w:after="0" w:line="240" w:lineRule="auto"/>
              <w:jc w:val="center"/>
              <w:rPr>
                <w:rFonts w:ascii="Verdana" w:hAnsi="Verdana"/>
                <w:sz w:val="20"/>
                <w:szCs w:val="24"/>
              </w:rPr>
            </w:pPr>
            <w:r w:rsidRPr="00D02804">
              <w:rPr>
                <w:rFonts w:ascii="Verdana" w:hAnsi="Verdana"/>
                <w:sz w:val="20"/>
                <w:szCs w:val="24"/>
              </w:rPr>
              <w:t>Existen un total de 21 acciones de mejoramiento provenientes de la auditoría externa al Sistema de Gestión Integral realizada en el 2014 y del análisis de los procesos, en donde se refleja la importancia de fortalecer los instrumentos para el análisis y seguimiento a las acciones implementadas  en la gestión así como los que evalúan la retroalimentación del cliente.</w:t>
            </w:r>
          </w:p>
        </w:tc>
      </w:tr>
    </w:tbl>
    <w:p w:rsidR="00DA252E" w:rsidRDefault="00DA252E" w:rsidP="00DA252E">
      <w:pPr>
        <w:spacing w:after="0" w:line="240" w:lineRule="auto"/>
        <w:rPr>
          <w:rFonts w:ascii="Verdana" w:hAnsi="Verdana"/>
          <w:i/>
          <w:color w:val="808080" w:themeColor="background1" w:themeShade="80"/>
        </w:rPr>
      </w:pPr>
    </w:p>
    <w:p w:rsidR="00DA252E" w:rsidRDefault="00DA252E" w:rsidP="00DA252E">
      <w:pPr>
        <w:spacing w:after="0" w:line="240" w:lineRule="auto"/>
        <w:rPr>
          <w:rFonts w:ascii="Verdana" w:hAnsi="Verdana"/>
          <w:i/>
          <w:color w:val="808080" w:themeColor="background1" w:themeShade="80"/>
        </w:rPr>
      </w:pPr>
    </w:p>
    <w:p w:rsidR="00DA252E" w:rsidRDefault="00DA252E" w:rsidP="00DA252E">
      <w:pPr>
        <w:spacing w:after="0" w:line="240" w:lineRule="auto"/>
        <w:rPr>
          <w:rFonts w:ascii="Verdana" w:hAnsi="Verdana" w:cs="Arial"/>
          <w:sz w:val="24"/>
          <w:szCs w:val="24"/>
        </w:rPr>
      </w:pPr>
      <w:r w:rsidRPr="00F71B84">
        <w:rPr>
          <w:rFonts w:ascii="Verdana" w:hAnsi="Verdana" w:cs="Arial"/>
          <w:sz w:val="24"/>
          <w:szCs w:val="24"/>
        </w:rPr>
        <w:t>Avance en los planes de mejoramiento.</w:t>
      </w:r>
    </w:p>
    <w:p w:rsidR="0051259B" w:rsidRPr="00F71B84" w:rsidRDefault="0051259B" w:rsidP="00DA252E">
      <w:pPr>
        <w:spacing w:after="0" w:line="240" w:lineRule="auto"/>
        <w:rPr>
          <w:rFonts w:ascii="Verdana" w:hAnsi="Verdana" w:cs="Arial"/>
          <w:sz w:val="24"/>
          <w:szCs w:val="24"/>
        </w:rPr>
      </w:pPr>
    </w:p>
    <w:p w:rsidR="00DA252E" w:rsidRDefault="00DA252E" w:rsidP="00FF784D">
      <w:pPr>
        <w:pStyle w:val="Prrafodelista"/>
        <w:numPr>
          <w:ilvl w:val="0"/>
          <w:numId w:val="23"/>
        </w:numPr>
        <w:spacing w:after="0" w:line="240" w:lineRule="auto"/>
        <w:jc w:val="both"/>
        <w:rPr>
          <w:rFonts w:ascii="Verdana" w:hAnsi="Verdana" w:cs="Arial"/>
          <w:sz w:val="24"/>
          <w:szCs w:val="24"/>
        </w:rPr>
      </w:pPr>
      <w:r w:rsidRPr="00F71B84">
        <w:rPr>
          <w:rFonts w:ascii="Verdana" w:hAnsi="Verdana" w:cs="Arial"/>
          <w:sz w:val="24"/>
          <w:szCs w:val="24"/>
        </w:rPr>
        <w:t>El DPS cumple con los requisitos en la prestación de sus servicios.</w:t>
      </w:r>
    </w:p>
    <w:p w:rsidR="00DA252E" w:rsidRPr="009C5459" w:rsidRDefault="00DA252E" w:rsidP="00DA252E">
      <w:pPr>
        <w:spacing w:after="0" w:line="240" w:lineRule="auto"/>
        <w:jc w:val="both"/>
        <w:rPr>
          <w:rFonts w:ascii="Verdana" w:hAnsi="Verdana" w:cs="Arial"/>
          <w:sz w:val="24"/>
          <w:szCs w:val="24"/>
        </w:rPr>
      </w:pPr>
    </w:p>
    <w:p w:rsidR="00DA252E" w:rsidRDefault="00DA252E" w:rsidP="00FF784D">
      <w:pPr>
        <w:pStyle w:val="Prrafodelista"/>
        <w:numPr>
          <w:ilvl w:val="0"/>
          <w:numId w:val="23"/>
        </w:numPr>
        <w:spacing w:after="0" w:line="240" w:lineRule="auto"/>
        <w:jc w:val="both"/>
        <w:rPr>
          <w:rFonts w:ascii="Verdana" w:hAnsi="Verdana" w:cs="Arial"/>
          <w:sz w:val="24"/>
          <w:szCs w:val="24"/>
        </w:rPr>
      </w:pPr>
      <w:r w:rsidRPr="00F71B84">
        <w:rPr>
          <w:rFonts w:ascii="Verdana" w:hAnsi="Verdana" w:cs="Arial"/>
          <w:sz w:val="24"/>
          <w:szCs w:val="24"/>
        </w:rPr>
        <w:t>Se identificaron observaciones que se adoptaron como acciones de mejora y sobre las cuales se realiza el seguimiento a su implementación y la evaluación de su eficacia se evidenciara en la</w:t>
      </w:r>
      <w:r w:rsidR="007060A3">
        <w:rPr>
          <w:rFonts w:ascii="Verdana" w:hAnsi="Verdana" w:cs="Arial"/>
          <w:sz w:val="24"/>
          <w:szCs w:val="24"/>
        </w:rPr>
        <w:t>s</w:t>
      </w:r>
      <w:r w:rsidRPr="00F71B84">
        <w:rPr>
          <w:rFonts w:ascii="Verdana" w:hAnsi="Verdana" w:cs="Arial"/>
          <w:sz w:val="24"/>
          <w:szCs w:val="24"/>
        </w:rPr>
        <w:t xml:space="preserve"> próxima auditorias</w:t>
      </w:r>
      <w:r>
        <w:rPr>
          <w:rFonts w:ascii="Verdana" w:hAnsi="Verdana" w:cs="Arial"/>
          <w:sz w:val="24"/>
          <w:szCs w:val="24"/>
        </w:rPr>
        <w:t>.</w:t>
      </w:r>
    </w:p>
    <w:p w:rsidR="00DA252E" w:rsidRPr="009C5459" w:rsidRDefault="00DA252E" w:rsidP="00DA252E">
      <w:pPr>
        <w:spacing w:after="0" w:line="240" w:lineRule="auto"/>
        <w:jc w:val="both"/>
        <w:rPr>
          <w:rFonts w:ascii="Verdana" w:hAnsi="Verdana" w:cs="Arial"/>
          <w:sz w:val="24"/>
          <w:szCs w:val="24"/>
        </w:rPr>
      </w:pPr>
    </w:p>
    <w:p w:rsidR="00DA252E" w:rsidRPr="00F71B84" w:rsidRDefault="00DA252E" w:rsidP="00FF784D">
      <w:pPr>
        <w:pStyle w:val="Prrafodelista"/>
        <w:numPr>
          <w:ilvl w:val="0"/>
          <w:numId w:val="23"/>
        </w:numPr>
        <w:spacing w:after="0" w:line="240" w:lineRule="auto"/>
        <w:jc w:val="both"/>
        <w:rPr>
          <w:rFonts w:ascii="Verdana" w:hAnsi="Verdana" w:cs="Arial"/>
          <w:sz w:val="24"/>
          <w:szCs w:val="24"/>
        </w:rPr>
      </w:pPr>
      <w:r w:rsidRPr="00F71B84">
        <w:rPr>
          <w:rFonts w:ascii="Verdana" w:hAnsi="Verdana" w:cs="Arial"/>
          <w:sz w:val="24"/>
          <w:szCs w:val="24"/>
        </w:rPr>
        <w:t xml:space="preserve">Para mejorar la efectividad de los planes de mejoramiento,  las áreas competentes realizan un acompañamiento riguroso a los procesos con el fin de que el tratamiento a las acciones  permitan evidenciar la eficacia de los planes. </w:t>
      </w:r>
    </w:p>
    <w:p w:rsidR="00DA252E" w:rsidRDefault="00DA252E" w:rsidP="00DA252E">
      <w:pPr>
        <w:spacing w:after="0" w:line="240" w:lineRule="auto"/>
        <w:jc w:val="both"/>
        <w:rPr>
          <w:rFonts w:ascii="Verdana" w:hAnsi="Verdana"/>
          <w:color w:val="548DD4" w:themeColor="text2" w:themeTint="99"/>
          <w:sz w:val="24"/>
          <w:szCs w:val="24"/>
        </w:rPr>
      </w:pPr>
    </w:p>
    <w:p w:rsidR="00DA252E" w:rsidRDefault="00DA252E" w:rsidP="00DA252E">
      <w:pPr>
        <w:spacing w:after="0" w:line="240" w:lineRule="auto"/>
        <w:jc w:val="both"/>
        <w:rPr>
          <w:rFonts w:ascii="Verdana" w:hAnsi="Verdana"/>
          <w:color w:val="548DD4" w:themeColor="text2" w:themeTint="99"/>
          <w:sz w:val="24"/>
          <w:szCs w:val="24"/>
        </w:rPr>
      </w:pPr>
    </w:p>
    <w:p w:rsidR="00DA252E" w:rsidRDefault="00DA252E" w:rsidP="00DA252E">
      <w:pPr>
        <w:spacing w:after="0" w:line="240" w:lineRule="auto"/>
        <w:jc w:val="both"/>
        <w:rPr>
          <w:rFonts w:ascii="Verdana" w:hAnsi="Verdana"/>
          <w:color w:val="548DD4" w:themeColor="text2" w:themeTint="99"/>
          <w:sz w:val="24"/>
          <w:szCs w:val="24"/>
        </w:rPr>
      </w:pPr>
    </w:p>
    <w:p w:rsidR="00DA252E" w:rsidRPr="007060A3" w:rsidRDefault="00DA252E" w:rsidP="00DA252E">
      <w:pPr>
        <w:spacing w:after="0" w:line="240" w:lineRule="auto"/>
        <w:jc w:val="both"/>
        <w:rPr>
          <w:rFonts w:ascii="Verdana" w:hAnsi="Verdana"/>
          <w:b/>
          <w:color w:val="548DD4" w:themeColor="text2" w:themeTint="99"/>
          <w:sz w:val="24"/>
          <w:szCs w:val="24"/>
          <w:u w:val="single"/>
        </w:rPr>
      </w:pPr>
      <w:r w:rsidRPr="007060A3">
        <w:rPr>
          <w:rFonts w:ascii="Verdana" w:hAnsi="Verdana"/>
          <w:b/>
          <w:color w:val="548DD4" w:themeColor="text2" w:themeTint="99"/>
          <w:sz w:val="24"/>
          <w:szCs w:val="24"/>
          <w:u w:val="single"/>
        </w:rPr>
        <w:t>PLAN DE FORTALECIMIENTO</w:t>
      </w:r>
      <w:r w:rsidR="00CB5CC4">
        <w:rPr>
          <w:rFonts w:ascii="Verdana" w:hAnsi="Verdana"/>
          <w:b/>
          <w:color w:val="548DD4" w:themeColor="text2" w:themeTint="99"/>
          <w:sz w:val="24"/>
          <w:szCs w:val="24"/>
          <w:u w:val="single"/>
        </w:rPr>
        <w:t xml:space="preserve"> </w:t>
      </w:r>
      <w:r w:rsidRPr="007060A3">
        <w:rPr>
          <w:rFonts w:ascii="Verdana" w:hAnsi="Verdana"/>
          <w:b/>
          <w:color w:val="548DD4" w:themeColor="text2" w:themeTint="99"/>
          <w:sz w:val="24"/>
          <w:szCs w:val="24"/>
          <w:u w:val="single"/>
        </w:rPr>
        <w:t>-</w:t>
      </w:r>
      <w:r w:rsidR="00CB5CC4">
        <w:rPr>
          <w:rFonts w:ascii="Verdana" w:hAnsi="Verdana"/>
          <w:b/>
          <w:color w:val="548DD4" w:themeColor="text2" w:themeTint="99"/>
          <w:sz w:val="24"/>
          <w:szCs w:val="24"/>
          <w:u w:val="single"/>
        </w:rPr>
        <w:t xml:space="preserve"> </w:t>
      </w:r>
      <w:r w:rsidRPr="007060A3">
        <w:rPr>
          <w:rFonts w:ascii="Verdana" w:hAnsi="Verdana"/>
          <w:b/>
          <w:color w:val="548DD4" w:themeColor="text2" w:themeTint="99"/>
          <w:sz w:val="24"/>
          <w:szCs w:val="24"/>
          <w:u w:val="single"/>
        </w:rPr>
        <w:t>ACTUALIZACIÓN MECI</w:t>
      </w:r>
    </w:p>
    <w:p w:rsidR="00DA252E" w:rsidRDefault="00DA252E" w:rsidP="00DA252E">
      <w:pPr>
        <w:autoSpaceDE w:val="0"/>
        <w:autoSpaceDN w:val="0"/>
        <w:adjustRightInd w:val="0"/>
        <w:spacing w:after="0" w:line="240" w:lineRule="auto"/>
        <w:jc w:val="both"/>
        <w:rPr>
          <w:rFonts w:ascii="Verdana" w:hAnsi="Verdana" w:cs="Arial"/>
          <w:sz w:val="24"/>
          <w:szCs w:val="24"/>
        </w:rPr>
      </w:pPr>
    </w:p>
    <w:p w:rsidR="00DA252E" w:rsidRDefault="00DA252E" w:rsidP="00DA252E">
      <w:pPr>
        <w:autoSpaceDE w:val="0"/>
        <w:autoSpaceDN w:val="0"/>
        <w:adjustRightInd w:val="0"/>
        <w:spacing w:after="0" w:line="240" w:lineRule="auto"/>
        <w:jc w:val="both"/>
        <w:rPr>
          <w:rFonts w:ascii="Verdana" w:hAnsi="Verdana" w:cs="Arial"/>
          <w:sz w:val="24"/>
          <w:szCs w:val="24"/>
        </w:rPr>
      </w:pPr>
      <w:r w:rsidRPr="00F71B84">
        <w:rPr>
          <w:rFonts w:ascii="Verdana" w:hAnsi="Verdana" w:cs="Arial"/>
          <w:sz w:val="24"/>
          <w:szCs w:val="24"/>
        </w:rPr>
        <w:t xml:space="preserve">El Decreto 943 del 21 de Mayo de 2014, “Por el cual se actualiza el Modelo Estándar de Control Interno para el Estado Colombiano - MECI”,  hace que el DPS </w:t>
      </w:r>
      <w:r w:rsidRPr="00F71B84">
        <w:rPr>
          <w:rFonts w:ascii="Verdana" w:hAnsi="Verdana" w:cs="Arial"/>
          <w:sz w:val="24"/>
          <w:szCs w:val="24"/>
        </w:rPr>
        <w:lastRenderedPageBreak/>
        <w:t xml:space="preserve">responda a los requerimientos de dicho decreto, para ello la Oficina Asesora de Planeación, Monitoreo y Evaluación como representante de la Alta Dirección para el fortalecimiento MECI, lideró la revisión de los lineamientos exigidos por el decreto en mención. En primer lugar, se asistió a la capacitación convocada por la Función </w:t>
      </w:r>
      <w:r w:rsidR="00CB5CC4" w:rsidRPr="00F71B84">
        <w:rPr>
          <w:rFonts w:ascii="Verdana" w:hAnsi="Verdana" w:cs="Arial"/>
          <w:sz w:val="24"/>
          <w:szCs w:val="24"/>
        </w:rPr>
        <w:t>Pública</w:t>
      </w:r>
      <w:r w:rsidRPr="00F71B84">
        <w:rPr>
          <w:rFonts w:ascii="Verdana" w:hAnsi="Verdana" w:cs="Arial"/>
          <w:sz w:val="24"/>
          <w:szCs w:val="24"/>
        </w:rPr>
        <w:t xml:space="preserve"> el primero de agosto de 2014, en la cual dio a conocer los cambios en el Modelo y las fases para su implementación y/o fortalecimiento.</w:t>
      </w:r>
    </w:p>
    <w:p w:rsidR="00DA252E" w:rsidRPr="00F71B84" w:rsidRDefault="00DA252E" w:rsidP="00DA252E">
      <w:pPr>
        <w:autoSpaceDE w:val="0"/>
        <w:autoSpaceDN w:val="0"/>
        <w:adjustRightInd w:val="0"/>
        <w:spacing w:after="0" w:line="240" w:lineRule="auto"/>
        <w:jc w:val="both"/>
        <w:rPr>
          <w:rFonts w:ascii="Verdana" w:hAnsi="Verdana" w:cs="Arial"/>
          <w:sz w:val="24"/>
          <w:szCs w:val="24"/>
        </w:rPr>
      </w:pPr>
      <w:r w:rsidRPr="00F71B84">
        <w:rPr>
          <w:rFonts w:ascii="Verdana" w:hAnsi="Verdana" w:cs="Arial"/>
          <w:sz w:val="24"/>
          <w:szCs w:val="24"/>
        </w:rPr>
        <w:t xml:space="preserve"> </w:t>
      </w:r>
    </w:p>
    <w:p w:rsidR="00DA252E" w:rsidRDefault="00DA252E" w:rsidP="00DA252E">
      <w:pPr>
        <w:autoSpaceDE w:val="0"/>
        <w:autoSpaceDN w:val="0"/>
        <w:adjustRightInd w:val="0"/>
        <w:spacing w:after="0" w:line="240" w:lineRule="auto"/>
        <w:jc w:val="both"/>
        <w:rPr>
          <w:rFonts w:ascii="Verdana" w:hAnsi="Verdana" w:cs="Arial"/>
          <w:sz w:val="24"/>
          <w:szCs w:val="24"/>
        </w:rPr>
      </w:pPr>
      <w:r w:rsidRPr="00F71B84">
        <w:rPr>
          <w:rFonts w:ascii="Verdana" w:hAnsi="Verdana" w:cs="Arial"/>
          <w:sz w:val="24"/>
          <w:szCs w:val="24"/>
        </w:rPr>
        <w:t xml:space="preserve">Paso seguido, la Oficina Asesora de Planeación, convocó a los miembros del equipo MECI compuesto por funcionarios de la misma Oficina Asesora de Planeación quién lidera el equipo, Talento Humano, Comunicaciones,  Gestión Documental, Control Interno, Oficina de Tecnología de la Información y Participación Ciudadana e Innovación Social. </w:t>
      </w:r>
    </w:p>
    <w:p w:rsidR="00DA252E" w:rsidRPr="00F71B84" w:rsidRDefault="00DA252E" w:rsidP="00DA252E">
      <w:pPr>
        <w:autoSpaceDE w:val="0"/>
        <w:autoSpaceDN w:val="0"/>
        <w:adjustRightInd w:val="0"/>
        <w:spacing w:after="0" w:line="240" w:lineRule="auto"/>
        <w:jc w:val="both"/>
        <w:rPr>
          <w:rFonts w:ascii="Verdana" w:hAnsi="Verdana" w:cs="Arial"/>
          <w:sz w:val="24"/>
          <w:szCs w:val="24"/>
        </w:rPr>
      </w:pPr>
    </w:p>
    <w:p w:rsidR="00DA252E" w:rsidRPr="00F71B84" w:rsidRDefault="00DA252E" w:rsidP="00DA252E">
      <w:pPr>
        <w:autoSpaceDE w:val="0"/>
        <w:autoSpaceDN w:val="0"/>
        <w:adjustRightInd w:val="0"/>
        <w:spacing w:after="0" w:line="240" w:lineRule="auto"/>
        <w:jc w:val="both"/>
        <w:rPr>
          <w:rFonts w:ascii="Verdana" w:hAnsi="Verdana" w:cs="Arial"/>
          <w:sz w:val="24"/>
          <w:szCs w:val="24"/>
        </w:rPr>
      </w:pPr>
      <w:r w:rsidRPr="00F71B84">
        <w:rPr>
          <w:rFonts w:ascii="Verdana" w:hAnsi="Verdana" w:cs="Arial"/>
          <w:sz w:val="24"/>
          <w:szCs w:val="24"/>
        </w:rPr>
        <w:t xml:space="preserve">Este equipo MECI a través de reuniones realizadas lideradas por la Oficina Asesora de Planeación,  realizó la fase del diagnóstico donde se identificaron las brechas del DPS con respecto al nuevo modelo y a partir de este, se estableció el plan de fortalecimiento para subsanar dichas  brechas, el cual constituye otra de las fases de la actualización. </w:t>
      </w:r>
    </w:p>
    <w:p w:rsidR="00DA252E" w:rsidRDefault="00DA252E" w:rsidP="00DA252E">
      <w:pPr>
        <w:autoSpaceDE w:val="0"/>
        <w:autoSpaceDN w:val="0"/>
        <w:adjustRightInd w:val="0"/>
        <w:spacing w:after="0" w:line="240" w:lineRule="auto"/>
        <w:jc w:val="both"/>
        <w:rPr>
          <w:rFonts w:ascii="Verdana" w:hAnsi="Verdana" w:cs="Arial"/>
          <w:sz w:val="24"/>
          <w:szCs w:val="24"/>
        </w:rPr>
      </w:pPr>
    </w:p>
    <w:p w:rsidR="00DA252E" w:rsidRDefault="00DA252E" w:rsidP="00DA252E">
      <w:pPr>
        <w:autoSpaceDE w:val="0"/>
        <w:autoSpaceDN w:val="0"/>
        <w:adjustRightInd w:val="0"/>
        <w:spacing w:after="0" w:line="240" w:lineRule="auto"/>
        <w:jc w:val="both"/>
        <w:rPr>
          <w:rFonts w:ascii="Verdana" w:hAnsi="Verdana" w:cs="Arial"/>
          <w:sz w:val="24"/>
          <w:szCs w:val="24"/>
        </w:rPr>
      </w:pPr>
      <w:r w:rsidRPr="00F71B84">
        <w:rPr>
          <w:rFonts w:ascii="Verdana" w:hAnsi="Verdana" w:cs="Arial"/>
          <w:sz w:val="24"/>
          <w:szCs w:val="24"/>
        </w:rPr>
        <w:t xml:space="preserve">El plan contiene 31 actividades para fortalecer y mejorar las debilidades halladas, </w:t>
      </w:r>
      <w:r w:rsidRPr="00A92EA4">
        <w:rPr>
          <w:rFonts w:ascii="Verdana" w:hAnsi="Verdana" w:cs="Arial"/>
          <w:sz w:val="24"/>
          <w:szCs w:val="24"/>
        </w:rPr>
        <w:t>especialmente:</w:t>
      </w:r>
    </w:p>
    <w:p w:rsidR="00DA252E" w:rsidRPr="00A92EA4" w:rsidRDefault="00DA252E" w:rsidP="00DA252E">
      <w:pPr>
        <w:autoSpaceDE w:val="0"/>
        <w:autoSpaceDN w:val="0"/>
        <w:adjustRightInd w:val="0"/>
        <w:spacing w:after="0" w:line="240" w:lineRule="auto"/>
        <w:jc w:val="both"/>
        <w:rPr>
          <w:rFonts w:ascii="Verdana" w:hAnsi="Verdana" w:cs="Arial"/>
          <w:sz w:val="24"/>
          <w:szCs w:val="24"/>
        </w:rPr>
      </w:pPr>
    </w:p>
    <w:p w:rsidR="00DA252E" w:rsidRDefault="00DA252E" w:rsidP="00FF784D">
      <w:pPr>
        <w:pStyle w:val="Prrafodelista"/>
        <w:numPr>
          <w:ilvl w:val="0"/>
          <w:numId w:val="22"/>
        </w:numPr>
        <w:autoSpaceDE w:val="0"/>
        <w:autoSpaceDN w:val="0"/>
        <w:adjustRightInd w:val="0"/>
        <w:spacing w:after="0" w:line="240" w:lineRule="auto"/>
        <w:jc w:val="both"/>
        <w:rPr>
          <w:rFonts w:ascii="Verdana" w:hAnsi="Verdana" w:cs="Arial"/>
          <w:sz w:val="24"/>
          <w:szCs w:val="24"/>
        </w:rPr>
      </w:pPr>
      <w:r w:rsidRPr="00A92EA4">
        <w:rPr>
          <w:rFonts w:ascii="Verdana" w:hAnsi="Verdana" w:cs="Arial"/>
          <w:sz w:val="24"/>
          <w:szCs w:val="24"/>
        </w:rPr>
        <w:t>En el modulo de Control de Planeación y Gestión, fortalecer el modelo de planeación para el DPS; la identificación clara de las necesidades de los beneficiarios de la Entidad; seguimiento a los controles; la Administración y gestión del riesgo y su divulgación.</w:t>
      </w:r>
    </w:p>
    <w:p w:rsidR="00DA252E" w:rsidRPr="00A92EA4" w:rsidRDefault="00DA252E" w:rsidP="00DA252E">
      <w:pPr>
        <w:pStyle w:val="Prrafodelista"/>
        <w:autoSpaceDE w:val="0"/>
        <w:autoSpaceDN w:val="0"/>
        <w:adjustRightInd w:val="0"/>
        <w:spacing w:after="0" w:line="240" w:lineRule="auto"/>
        <w:jc w:val="both"/>
        <w:rPr>
          <w:rFonts w:ascii="Verdana" w:hAnsi="Verdana" w:cs="Arial"/>
          <w:sz w:val="24"/>
          <w:szCs w:val="24"/>
        </w:rPr>
      </w:pPr>
    </w:p>
    <w:p w:rsidR="00DA252E" w:rsidRDefault="00DA252E" w:rsidP="00FF784D">
      <w:pPr>
        <w:pStyle w:val="Prrafodelista"/>
        <w:numPr>
          <w:ilvl w:val="0"/>
          <w:numId w:val="22"/>
        </w:numPr>
        <w:autoSpaceDE w:val="0"/>
        <w:autoSpaceDN w:val="0"/>
        <w:adjustRightInd w:val="0"/>
        <w:spacing w:after="0" w:line="240" w:lineRule="auto"/>
        <w:jc w:val="both"/>
        <w:rPr>
          <w:rFonts w:ascii="Verdana" w:hAnsi="Verdana" w:cs="Arial"/>
          <w:sz w:val="24"/>
          <w:szCs w:val="24"/>
        </w:rPr>
      </w:pPr>
      <w:r w:rsidRPr="00A92EA4">
        <w:rPr>
          <w:rFonts w:ascii="Verdana" w:hAnsi="Verdana" w:cs="Arial"/>
          <w:sz w:val="24"/>
          <w:szCs w:val="24"/>
        </w:rPr>
        <w:t xml:space="preserve">En el modulo de </w:t>
      </w:r>
      <w:r w:rsidRPr="00A92EA4">
        <w:rPr>
          <w:rFonts w:ascii="Verdana" w:hAnsi="Verdana" w:cs="Arial"/>
          <w:bCs/>
          <w:sz w:val="24"/>
          <w:szCs w:val="24"/>
        </w:rPr>
        <w:t xml:space="preserve">Control de Evaluación y Seguimiento, </w:t>
      </w:r>
      <w:r w:rsidRPr="00A92EA4">
        <w:rPr>
          <w:rFonts w:ascii="Verdana" w:hAnsi="Verdana" w:cs="Arial"/>
          <w:sz w:val="24"/>
          <w:szCs w:val="24"/>
        </w:rPr>
        <w:t xml:space="preserve"> fortalecer la cultura de autocontrol y autoevaluación en los procesos y la socialización de los resultados de planes de mejoramiento que realiza la </w:t>
      </w:r>
      <w:r>
        <w:rPr>
          <w:rFonts w:ascii="Verdana" w:hAnsi="Verdana" w:cs="Arial"/>
          <w:sz w:val="24"/>
          <w:szCs w:val="24"/>
        </w:rPr>
        <w:t>E</w:t>
      </w:r>
      <w:r w:rsidRPr="00A92EA4">
        <w:rPr>
          <w:rFonts w:ascii="Verdana" w:hAnsi="Verdana" w:cs="Arial"/>
          <w:sz w:val="24"/>
          <w:szCs w:val="24"/>
        </w:rPr>
        <w:t>ntidad.</w:t>
      </w:r>
    </w:p>
    <w:p w:rsidR="00DA252E" w:rsidRPr="009C5459" w:rsidRDefault="00DA252E" w:rsidP="00DA252E">
      <w:pPr>
        <w:autoSpaceDE w:val="0"/>
        <w:autoSpaceDN w:val="0"/>
        <w:adjustRightInd w:val="0"/>
        <w:spacing w:after="0" w:line="240" w:lineRule="auto"/>
        <w:jc w:val="both"/>
        <w:rPr>
          <w:rFonts w:ascii="Verdana" w:hAnsi="Verdana" w:cs="Arial"/>
          <w:sz w:val="24"/>
          <w:szCs w:val="24"/>
        </w:rPr>
      </w:pPr>
    </w:p>
    <w:p w:rsidR="00DA252E" w:rsidRPr="00F71B84" w:rsidRDefault="00DA252E" w:rsidP="00FF784D">
      <w:pPr>
        <w:pStyle w:val="Prrafodelista"/>
        <w:numPr>
          <w:ilvl w:val="0"/>
          <w:numId w:val="22"/>
        </w:numPr>
        <w:autoSpaceDE w:val="0"/>
        <w:autoSpaceDN w:val="0"/>
        <w:adjustRightInd w:val="0"/>
        <w:spacing w:after="0" w:line="240" w:lineRule="auto"/>
        <w:jc w:val="both"/>
        <w:rPr>
          <w:rFonts w:ascii="Verdana" w:hAnsi="Verdana" w:cs="Arial"/>
          <w:sz w:val="24"/>
          <w:szCs w:val="24"/>
        </w:rPr>
      </w:pPr>
      <w:r w:rsidRPr="00A92EA4">
        <w:rPr>
          <w:rFonts w:ascii="Verdana" w:hAnsi="Verdana" w:cs="Arial"/>
          <w:sz w:val="24"/>
          <w:szCs w:val="24"/>
        </w:rPr>
        <w:t xml:space="preserve">En el Eje Transversal de Información y Comunicación,  fortalecer la Publicación de todos los trámites y servicios ofrecidos a los ciudadanos en la Página Web de la entidad; los mecanismos para recepción, registro y atención de sugerencias o solicitudes de los funcionarios; facilitar el acceso a la Normatividad interna y a todos los documentos y formatos que maneja la entidad; divulgación </w:t>
      </w:r>
      <w:r w:rsidRPr="00F71B84">
        <w:rPr>
          <w:rFonts w:ascii="Verdana" w:hAnsi="Verdana" w:cs="Arial"/>
          <w:sz w:val="24"/>
          <w:szCs w:val="24"/>
        </w:rPr>
        <w:t xml:space="preserve">del plan de comunicaciones de la entidad; el manejo organizado y sistematizado de los recursos (físicos, humanos, financieros y tecnológicos); los mecanismos de consulta con distintos grupos de interés </w:t>
      </w:r>
      <w:r w:rsidRPr="00F71B84">
        <w:rPr>
          <w:rFonts w:ascii="Verdana" w:hAnsi="Verdana" w:cs="Arial"/>
          <w:sz w:val="24"/>
          <w:szCs w:val="24"/>
        </w:rPr>
        <w:lastRenderedPageBreak/>
        <w:t xml:space="preserve">(Necesidades y prioridades); actualizar la página Web de la entidad con información pertinente de acuerdo  a lo establecido en Gobierno en línea y el manejo de la información bajo parámetros de un sistema de seguridad de la información. </w:t>
      </w:r>
      <w:r w:rsidRPr="00F71B84">
        <w:rPr>
          <w:rFonts w:ascii="Verdana" w:hAnsi="Verdana" w:cs="Arial"/>
          <w:b/>
          <w:sz w:val="24"/>
          <w:szCs w:val="24"/>
        </w:rPr>
        <w:t xml:space="preserve"> </w:t>
      </w:r>
    </w:p>
    <w:p w:rsidR="00DA252E" w:rsidRDefault="00DA252E" w:rsidP="00DA252E">
      <w:pPr>
        <w:spacing w:after="0" w:line="240" w:lineRule="auto"/>
        <w:jc w:val="both"/>
        <w:rPr>
          <w:rFonts w:ascii="Verdana" w:hAnsi="Verdana" w:cs="Arial"/>
          <w:sz w:val="24"/>
          <w:szCs w:val="24"/>
        </w:rPr>
      </w:pPr>
    </w:p>
    <w:p w:rsidR="00DA252E" w:rsidRDefault="00DA252E" w:rsidP="00DA252E">
      <w:pPr>
        <w:spacing w:after="0" w:line="240" w:lineRule="auto"/>
        <w:jc w:val="both"/>
        <w:rPr>
          <w:rFonts w:ascii="Verdana" w:hAnsi="Verdana" w:cs="Arial"/>
          <w:sz w:val="24"/>
          <w:szCs w:val="24"/>
        </w:rPr>
      </w:pPr>
      <w:r w:rsidRPr="00F71B84">
        <w:rPr>
          <w:rFonts w:ascii="Verdana" w:hAnsi="Verdana" w:cs="Arial"/>
          <w:sz w:val="24"/>
          <w:szCs w:val="24"/>
        </w:rPr>
        <w:t>Dicho plan fue aprobado por el Comité Coordinador de Control Interno en reunión virtual del mes diciembre de 2014.</w:t>
      </w:r>
    </w:p>
    <w:p w:rsidR="0051259B" w:rsidRDefault="0051259B" w:rsidP="00DA252E">
      <w:pPr>
        <w:spacing w:after="0" w:line="240" w:lineRule="auto"/>
        <w:jc w:val="both"/>
        <w:rPr>
          <w:rFonts w:ascii="Verdana" w:hAnsi="Verdana" w:cs="Arial"/>
          <w:sz w:val="24"/>
          <w:szCs w:val="24"/>
        </w:rPr>
      </w:pPr>
    </w:p>
    <w:p w:rsidR="00DA252E" w:rsidRDefault="00DA252E" w:rsidP="00DA252E">
      <w:pPr>
        <w:spacing w:after="0" w:line="240" w:lineRule="auto"/>
        <w:jc w:val="both"/>
        <w:rPr>
          <w:rFonts w:ascii="Verdana" w:hAnsi="Verdana"/>
          <w:sz w:val="24"/>
          <w:szCs w:val="24"/>
        </w:rPr>
      </w:pPr>
    </w:p>
    <w:p w:rsidR="00DA252E" w:rsidRPr="00F71B84" w:rsidRDefault="00DA252E" w:rsidP="00DA252E">
      <w:pPr>
        <w:spacing w:after="0" w:line="240" w:lineRule="auto"/>
        <w:jc w:val="both"/>
        <w:rPr>
          <w:rFonts w:ascii="Verdana" w:hAnsi="Verdana"/>
          <w:sz w:val="24"/>
          <w:szCs w:val="24"/>
        </w:rPr>
      </w:pPr>
    </w:p>
    <w:p w:rsidR="00DA252E" w:rsidRDefault="00DA252E" w:rsidP="00DA252E">
      <w:pPr>
        <w:spacing w:after="0" w:line="240" w:lineRule="auto"/>
        <w:rPr>
          <w:rFonts w:ascii="Verdana" w:hAnsi="Verdana"/>
          <w:sz w:val="24"/>
          <w:szCs w:val="24"/>
        </w:rPr>
      </w:pPr>
    </w:p>
    <w:p w:rsidR="00DA252E" w:rsidRDefault="00DA252E" w:rsidP="00DA252E">
      <w:pPr>
        <w:spacing w:after="0" w:line="240" w:lineRule="auto"/>
        <w:rPr>
          <w:rFonts w:ascii="Verdana" w:hAnsi="Verdana"/>
          <w:sz w:val="24"/>
          <w:szCs w:val="24"/>
        </w:rPr>
      </w:pPr>
    </w:p>
    <w:p w:rsidR="00DA252E" w:rsidRDefault="00DA252E" w:rsidP="00DA252E">
      <w:pPr>
        <w:spacing w:after="0" w:line="240" w:lineRule="auto"/>
        <w:rPr>
          <w:rFonts w:ascii="Verdana" w:hAnsi="Verdana"/>
          <w:sz w:val="24"/>
          <w:szCs w:val="24"/>
        </w:rPr>
      </w:pPr>
    </w:p>
    <w:p w:rsidR="00DA252E" w:rsidRDefault="00DA252E" w:rsidP="00DA252E">
      <w:pPr>
        <w:spacing w:after="0" w:line="240" w:lineRule="auto"/>
        <w:rPr>
          <w:rFonts w:ascii="Verdana" w:hAnsi="Verdana"/>
          <w:sz w:val="24"/>
          <w:szCs w:val="24"/>
        </w:rPr>
      </w:pPr>
    </w:p>
    <w:p w:rsidR="00DA252E" w:rsidRDefault="00304AB7" w:rsidP="00DA252E">
      <w:pPr>
        <w:spacing w:after="0" w:line="240" w:lineRule="auto"/>
        <w:rPr>
          <w:rFonts w:ascii="Verdana" w:hAnsi="Verdana"/>
          <w:sz w:val="24"/>
          <w:szCs w:val="24"/>
        </w:rPr>
      </w:pPr>
      <w:r>
        <w:rPr>
          <w:rFonts w:ascii="Verdana" w:hAnsi="Verdana"/>
          <w:noProof/>
          <w:sz w:val="24"/>
          <w:szCs w:val="24"/>
          <w:lang w:eastAsia="es-CO"/>
        </w:rPr>
        <w:drawing>
          <wp:anchor distT="0" distB="0" distL="114300" distR="114300" simplePos="0" relativeHeight="251725824" behindDoc="0" locked="0" layoutInCell="1" allowOverlap="1">
            <wp:simplePos x="0" y="0"/>
            <wp:positionH relativeFrom="column">
              <wp:posOffset>6461760</wp:posOffset>
            </wp:positionH>
            <wp:positionV relativeFrom="paragraph">
              <wp:posOffset>3260090</wp:posOffset>
            </wp:positionV>
            <wp:extent cx="504825" cy="361950"/>
            <wp:effectExtent l="19050" t="0" r="0" b="0"/>
            <wp:wrapThrough wrapText="bothSides">
              <wp:wrapPolygon edited="0">
                <wp:start x="-815" y="0"/>
                <wp:lineTo x="-815" y="20463"/>
                <wp:lineTo x="21192" y="20463"/>
                <wp:lineTo x="21192" y="0"/>
                <wp:lineTo x="-815" y="0"/>
              </wp:wrapPolygon>
            </wp:wrapThrough>
            <wp:docPr id="73" name="Objeto 10">
              <a:hlinkClick xmlns:a="http://schemas.openxmlformats.org/drawingml/2006/main" r:id="rId29" tooltip="Ir a la pagina de CONTENIDO."/>
            </wp:docPr>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4056" cy="360040"/>
                      <a:chOff x="683568" y="5517232"/>
                      <a:chExt cx="504056" cy="360040"/>
                    </a:xfrm>
                  </a:grpSpPr>
                  <a:sp>
                    <a:nvSpPr>
                      <a:cNvPr id="36" name="35 Botón de acción: Inicio"/>
                      <a:cNvSpPr/>
                    </a:nvSpPr>
                    <a:spPr>
                      <a:xfrm>
                        <a:off x="683568" y="5517232"/>
                        <a:ext cx="504056" cy="360040"/>
                      </a:xfrm>
                      <a:prstGeom prst="actionButtonHome">
                        <a:avLst/>
                      </a:prstGeom>
                      <a:solidFill>
                        <a:schemeClr val="accent5">
                          <a:lumMod val="60000"/>
                          <a:lumOff val="40000"/>
                        </a:schemeClr>
                      </a:soli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00DA252E">
        <w:rPr>
          <w:rFonts w:ascii="Verdana" w:hAnsi="Verdana"/>
          <w:sz w:val="24"/>
          <w:szCs w:val="24"/>
        </w:rPr>
        <w:br w:type="page"/>
      </w:r>
    </w:p>
    <w:p w:rsidR="00DA252E" w:rsidRDefault="00DA252E" w:rsidP="00DA252E">
      <w:pPr>
        <w:spacing w:after="0" w:line="240" w:lineRule="auto"/>
        <w:rPr>
          <w:rFonts w:ascii="Verdana" w:hAnsi="Verdana"/>
          <w:sz w:val="24"/>
          <w:szCs w:val="24"/>
        </w:rPr>
      </w:pPr>
    </w:p>
    <w:p w:rsidR="00DA252E" w:rsidRDefault="00DA252E" w:rsidP="00DA252E">
      <w:pPr>
        <w:spacing w:after="0" w:line="240" w:lineRule="auto"/>
        <w:rPr>
          <w:rFonts w:ascii="Verdana" w:hAnsi="Verdana"/>
          <w:sz w:val="24"/>
          <w:szCs w:val="24"/>
        </w:rPr>
      </w:pPr>
    </w:p>
    <w:p w:rsidR="00DA252E" w:rsidRDefault="00DA252E" w:rsidP="00DA252E">
      <w:pPr>
        <w:spacing w:after="0" w:line="240" w:lineRule="auto"/>
        <w:rPr>
          <w:rFonts w:ascii="Verdana" w:hAnsi="Verdana"/>
          <w:sz w:val="24"/>
          <w:szCs w:val="24"/>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4A4C17" w:rsidRPr="004A4C17" w:rsidRDefault="004A4C17" w:rsidP="004A4C17">
      <w:pPr>
        <w:spacing w:after="0" w:line="240" w:lineRule="auto"/>
        <w:jc w:val="both"/>
        <w:rPr>
          <w:rFonts w:ascii="Verdana" w:hAnsi="Verdana" w:cs="Futura Bk BT"/>
          <w:color w:val="548DD4" w:themeColor="text2" w:themeTint="99"/>
          <w:sz w:val="28"/>
        </w:rPr>
      </w:pPr>
      <w:r w:rsidRPr="004A4C17">
        <w:rPr>
          <w:rFonts w:ascii="Verdana" w:hAnsi="Verdana"/>
          <w:b/>
          <w:bCs/>
          <w:color w:val="548DD4" w:themeColor="text2" w:themeTint="99"/>
          <w:sz w:val="40"/>
          <w:szCs w:val="40"/>
        </w:rPr>
        <w:t>I</w:t>
      </w:r>
      <w:r w:rsidR="00126BC7">
        <w:rPr>
          <w:rFonts w:ascii="Verdana" w:hAnsi="Verdana"/>
          <w:b/>
          <w:bCs/>
          <w:color w:val="548DD4" w:themeColor="text2" w:themeTint="99"/>
          <w:sz w:val="40"/>
          <w:szCs w:val="40"/>
        </w:rPr>
        <w:t>I</w:t>
      </w:r>
      <w:r w:rsidRPr="004A4C17">
        <w:rPr>
          <w:rFonts w:ascii="Verdana" w:hAnsi="Verdana"/>
          <w:b/>
          <w:bCs/>
          <w:color w:val="548DD4" w:themeColor="text2" w:themeTint="99"/>
          <w:sz w:val="40"/>
          <w:szCs w:val="40"/>
        </w:rPr>
        <w:t xml:space="preserve">. </w:t>
      </w:r>
      <w:bookmarkStart w:id="85" w:name="ANSPE"/>
      <w:r w:rsidR="00126BC7">
        <w:rPr>
          <w:rFonts w:ascii="Verdana" w:hAnsi="Verdana"/>
          <w:b/>
          <w:bCs/>
          <w:color w:val="548DD4" w:themeColor="text2" w:themeTint="99"/>
          <w:sz w:val="40"/>
          <w:szCs w:val="40"/>
        </w:rPr>
        <w:t>AGENCIA NACIONAL PARA LA SUPERACION DE LA POBREZA EXTREMA - ANSPE</w:t>
      </w:r>
      <w:bookmarkEnd w:id="85"/>
    </w:p>
    <w:p w:rsidR="004A4C17" w:rsidRDefault="004A4C17" w:rsidP="004A4C17">
      <w:pPr>
        <w:pStyle w:val="Prrafodelista"/>
        <w:spacing w:after="0" w:line="240" w:lineRule="auto"/>
        <w:ind w:left="1710"/>
        <w:jc w:val="both"/>
        <w:rPr>
          <w:rFonts w:ascii="Verdana" w:hAnsi="Verdana" w:cs="Futura Bk BT"/>
          <w:color w:val="548DD4" w:themeColor="text2" w:themeTint="99"/>
          <w:sz w:val="28"/>
        </w:rPr>
      </w:pPr>
    </w:p>
    <w:p w:rsidR="007D5E94" w:rsidRDefault="00C272DA" w:rsidP="004A4C17">
      <w:pPr>
        <w:pStyle w:val="Prrafodelista"/>
        <w:spacing w:after="0" w:line="240" w:lineRule="auto"/>
        <w:ind w:left="1710"/>
        <w:jc w:val="both"/>
        <w:rPr>
          <w:rFonts w:ascii="Verdana" w:hAnsi="Verdana" w:cs="Futura Bk BT"/>
          <w:color w:val="548DD4" w:themeColor="text2" w:themeTint="99"/>
          <w:sz w:val="28"/>
        </w:rPr>
      </w:pPr>
      <w:r>
        <w:rPr>
          <w:rFonts w:ascii="Verdana" w:hAnsi="Verdana" w:cs="Futura Bk BT"/>
          <w:noProof/>
          <w:color w:val="548DD4" w:themeColor="text2" w:themeTint="99"/>
          <w:sz w:val="28"/>
          <w:lang w:eastAsia="es-CO"/>
        </w:rPr>
        <w:drawing>
          <wp:anchor distT="0" distB="0" distL="114300" distR="114300" simplePos="0" relativeHeight="251697152" behindDoc="0" locked="0" layoutInCell="1" allowOverlap="1">
            <wp:simplePos x="0" y="0"/>
            <wp:positionH relativeFrom="column">
              <wp:posOffset>1517650</wp:posOffset>
            </wp:positionH>
            <wp:positionV relativeFrom="paragraph">
              <wp:posOffset>187960</wp:posOffset>
            </wp:positionV>
            <wp:extent cx="3625850" cy="850900"/>
            <wp:effectExtent l="19050" t="0" r="0" b="0"/>
            <wp:wrapThrough wrapText="bothSides">
              <wp:wrapPolygon edited="0">
                <wp:start x="-113" y="0"/>
                <wp:lineTo x="-113" y="21278"/>
                <wp:lineTo x="21562" y="21278"/>
                <wp:lineTo x="21562" y="0"/>
                <wp:lineTo x="-113" y="0"/>
              </wp:wrapPolygon>
            </wp:wrapThrough>
            <wp:docPr id="3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625850" cy="850900"/>
                    </a:xfrm>
                    <a:prstGeom prst="rect">
                      <a:avLst/>
                    </a:prstGeom>
                    <a:noFill/>
                    <a:ln w="9525">
                      <a:noFill/>
                      <a:miter lim="800000"/>
                      <a:headEnd/>
                      <a:tailEnd/>
                    </a:ln>
                  </pic:spPr>
                </pic:pic>
              </a:graphicData>
            </a:graphic>
          </wp:anchor>
        </w:drawing>
      </w: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FC7F0E" w:rsidRDefault="00FC7F0E" w:rsidP="004A4C17">
      <w:pPr>
        <w:pStyle w:val="Prrafodelista"/>
        <w:spacing w:after="0" w:line="240" w:lineRule="auto"/>
        <w:ind w:left="1710"/>
        <w:jc w:val="both"/>
        <w:rPr>
          <w:rFonts w:ascii="Verdana" w:hAnsi="Verdana" w:cs="Futura Bk BT"/>
          <w:color w:val="548DD4" w:themeColor="text2" w:themeTint="99"/>
          <w:sz w:val="28"/>
        </w:rPr>
      </w:pPr>
    </w:p>
    <w:p w:rsidR="00FC7F0E" w:rsidRDefault="00FC7F0E" w:rsidP="004A4C17">
      <w:pPr>
        <w:pStyle w:val="Prrafodelista"/>
        <w:spacing w:after="0" w:line="240" w:lineRule="auto"/>
        <w:ind w:left="1710"/>
        <w:jc w:val="both"/>
        <w:rPr>
          <w:rFonts w:ascii="Verdana" w:hAnsi="Verdana" w:cs="Futura Bk BT"/>
          <w:color w:val="548DD4" w:themeColor="text2" w:themeTint="99"/>
          <w:sz w:val="28"/>
        </w:rPr>
      </w:pPr>
    </w:p>
    <w:p w:rsidR="00FC7F0E" w:rsidRDefault="00FC7F0E" w:rsidP="004A4C17">
      <w:pPr>
        <w:pStyle w:val="Prrafodelista"/>
        <w:spacing w:after="0" w:line="240" w:lineRule="auto"/>
        <w:ind w:left="1710"/>
        <w:jc w:val="both"/>
        <w:rPr>
          <w:rFonts w:ascii="Verdana" w:hAnsi="Verdana" w:cs="Futura Bk BT"/>
          <w:color w:val="548DD4" w:themeColor="text2" w:themeTint="99"/>
          <w:sz w:val="28"/>
        </w:rPr>
      </w:pPr>
    </w:p>
    <w:p w:rsidR="00FC7F0E" w:rsidRDefault="00FC7F0E" w:rsidP="004A4C17">
      <w:pPr>
        <w:pStyle w:val="Prrafodelista"/>
        <w:spacing w:after="0" w:line="240" w:lineRule="auto"/>
        <w:ind w:left="1710"/>
        <w:jc w:val="both"/>
        <w:rPr>
          <w:rFonts w:ascii="Verdana" w:hAnsi="Verdana" w:cs="Futura Bk BT"/>
          <w:color w:val="548DD4" w:themeColor="text2" w:themeTint="99"/>
          <w:sz w:val="28"/>
        </w:rPr>
      </w:pPr>
    </w:p>
    <w:p w:rsidR="00FC7F0E" w:rsidRDefault="00FC7F0E" w:rsidP="004A4C17">
      <w:pPr>
        <w:pStyle w:val="Prrafodelista"/>
        <w:spacing w:after="0" w:line="240" w:lineRule="auto"/>
        <w:ind w:left="1710"/>
        <w:jc w:val="both"/>
        <w:rPr>
          <w:rFonts w:ascii="Verdana" w:hAnsi="Verdana" w:cs="Futura Bk BT"/>
          <w:color w:val="548DD4" w:themeColor="text2" w:themeTint="99"/>
          <w:sz w:val="28"/>
        </w:rPr>
      </w:pPr>
    </w:p>
    <w:p w:rsidR="00FC7F0E" w:rsidRDefault="00FC7F0E" w:rsidP="004A4C17">
      <w:pPr>
        <w:pStyle w:val="Prrafodelista"/>
        <w:spacing w:after="0" w:line="240" w:lineRule="auto"/>
        <w:ind w:left="1710"/>
        <w:jc w:val="both"/>
        <w:rPr>
          <w:rFonts w:ascii="Verdana" w:hAnsi="Verdana" w:cs="Futura Bk BT"/>
          <w:color w:val="548DD4" w:themeColor="text2" w:themeTint="99"/>
          <w:sz w:val="28"/>
        </w:rPr>
      </w:pPr>
    </w:p>
    <w:p w:rsidR="00FC7F0E" w:rsidRDefault="00FC7F0E" w:rsidP="004A4C17">
      <w:pPr>
        <w:pStyle w:val="Prrafodelista"/>
        <w:spacing w:after="0" w:line="240" w:lineRule="auto"/>
        <w:ind w:left="1710"/>
        <w:jc w:val="both"/>
        <w:rPr>
          <w:rFonts w:ascii="Verdana" w:hAnsi="Verdana" w:cs="Futura Bk BT"/>
          <w:color w:val="548DD4" w:themeColor="text2" w:themeTint="99"/>
          <w:sz w:val="28"/>
        </w:rPr>
      </w:pPr>
    </w:p>
    <w:p w:rsidR="00FC7F0E" w:rsidRDefault="00FC7F0E" w:rsidP="004A4C17">
      <w:pPr>
        <w:pStyle w:val="Prrafodelista"/>
        <w:spacing w:after="0" w:line="240" w:lineRule="auto"/>
        <w:ind w:left="1710"/>
        <w:jc w:val="both"/>
        <w:rPr>
          <w:rFonts w:ascii="Verdana" w:hAnsi="Verdana" w:cs="Futura Bk BT"/>
          <w:color w:val="548DD4" w:themeColor="text2" w:themeTint="99"/>
          <w:sz w:val="28"/>
        </w:rPr>
      </w:pPr>
    </w:p>
    <w:p w:rsidR="00FC7F0E" w:rsidRDefault="00FC7F0E" w:rsidP="004A4C17">
      <w:pPr>
        <w:pStyle w:val="Prrafodelista"/>
        <w:spacing w:after="0" w:line="240" w:lineRule="auto"/>
        <w:ind w:left="1710"/>
        <w:jc w:val="both"/>
        <w:rPr>
          <w:rFonts w:ascii="Verdana" w:hAnsi="Verdana" w:cs="Futura Bk BT"/>
          <w:color w:val="548DD4" w:themeColor="text2" w:themeTint="99"/>
          <w:sz w:val="28"/>
        </w:rPr>
      </w:pPr>
    </w:p>
    <w:p w:rsidR="00FC7F0E" w:rsidRDefault="00FC7F0E" w:rsidP="004A4C17">
      <w:pPr>
        <w:pStyle w:val="Prrafodelista"/>
        <w:spacing w:after="0" w:line="240" w:lineRule="auto"/>
        <w:ind w:left="1710"/>
        <w:jc w:val="both"/>
        <w:rPr>
          <w:rFonts w:ascii="Verdana" w:hAnsi="Verdana" w:cs="Futura Bk BT"/>
          <w:color w:val="548DD4" w:themeColor="text2" w:themeTint="99"/>
          <w:sz w:val="28"/>
        </w:rPr>
      </w:pPr>
    </w:p>
    <w:p w:rsidR="00FC7F0E" w:rsidRDefault="00D11249" w:rsidP="004A4C17">
      <w:pPr>
        <w:pStyle w:val="Prrafodelista"/>
        <w:spacing w:after="0" w:line="240" w:lineRule="auto"/>
        <w:ind w:left="1710"/>
        <w:jc w:val="both"/>
        <w:rPr>
          <w:rFonts w:ascii="Verdana" w:hAnsi="Verdana" w:cs="Futura Bk BT"/>
          <w:color w:val="548DD4" w:themeColor="text2" w:themeTint="99"/>
          <w:sz w:val="28"/>
        </w:rPr>
      </w:pPr>
      <w:r>
        <w:rPr>
          <w:rFonts w:ascii="Verdana" w:hAnsi="Verdana" w:cs="Futura Bk BT"/>
          <w:noProof/>
          <w:color w:val="548DD4" w:themeColor="text2" w:themeTint="99"/>
          <w:sz w:val="28"/>
          <w:lang w:eastAsia="es-CO"/>
        </w:rPr>
        <w:drawing>
          <wp:anchor distT="0" distB="0" distL="114300" distR="114300" simplePos="0" relativeHeight="251748352" behindDoc="0" locked="0" layoutInCell="1" allowOverlap="1">
            <wp:simplePos x="0" y="0"/>
            <wp:positionH relativeFrom="column">
              <wp:posOffset>6353810</wp:posOffset>
            </wp:positionH>
            <wp:positionV relativeFrom="paragraph">
              <wp:posOffset>55245</wp:posOffset>
            </wp:positionV>
            <wp:extent cx="501650" cy="355600"/>
            <wp:effectExtent l="19050" t="0" r="0" b="0"/>
            <wp:wrapThrough wrapText="bothSides">
              <wp:wrapPolygon edited="0">
                <wp:start x="-820" y="0"/>
                <wp:lineTo x="-820" y="20829"/>
                <wp:lineTo x="21327" y="20829"/>
                <wp:lineTo x="21327" y="0"/>
                <wp:lineTo x="-820" y="0"/>
              </wp:wrapPolygon>
            </wp:wrapThrough>
            <wp:docPr id="85" name="Objeto 10">
              <a:hlinkClick xmlns:a="http://schemas.openxmlformats.org/drawingml/2006/main" r:id="rId30" tooltip="Ir a la pagina de CONTENIDO."/>
            </wp:docPr>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4056" cy="360040"/>
                      <a:chOff x="683568" y="5517232"/>
                      <a:chExt cx="504056" cy="360040"/>
                    </a:xfrm>
                  </a:grpSpPr>
                  <a:sp>
                    <a:nvSpPr>
                      <a:cNvPr id="36" name="35 Botón de acción: Inicio"/>
                      <a:cNvSpPr/>
                    </a:nvSpPr>
                    <a:spPr>
                      <a:xfrm>
                        <a:off x="683568" y="5517232"/>
                        <a:ext cx="504056" cy="360040"/>
                      </a:xfrm>
                      <a:prstGeom prst="actionButtonHome">
                        <a:avLst/>
                      </a:prstGeom>
                      <a:solidFill>
                        <a:schemeClr val="accent5">
                          <a:lumMod val="60000"/>
                          <a:lumOff val="40000"/>
                        </a:schemeClr>
                      </a:soli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FC7F0E" w:rsidRPr="00021B2F" w:rsidRDefault="0088494C" w:rsidP="00FC7F0E">
      <w:pPr>
        <w:spacing w:after="0" w:line="240" w:lineRule="auto"/>
        <w:rPr>
          <w:rFonts w:ascii="Verdana" w:hAnsi="Verdana"/>
          <w:b/>
          <w:sz w:val="24"/>
          <w:szCs w:val="24"/>
        </w:rPr>
      </w:pPr>
      <w:r>
        <w:rPr>
          <w:rFonts w:ascii="Verdana" w:hAnsi="Verdana"/>
          <w:b/>
          <w:noProof/>
          <w:sz w:val="24"/>
          <w:szCs w:val="24"/>
          <w:lang w:eastAsia="es-CO"/>
        </w:rPr>
        <w:lastRenderedPageBreak/>
        <w:drawing>
          <wp:anchor distT="0" distB="0" distL="114300" distR="114300" simplePos="0" relativeHeight="251761664" behindDoc="0" locked="0" layoutInCell="1" allowOverlap="1">
            <wp:simplePos x="0" y="0"/>
            <wp:positionH relativeFrom="column">
              <wp:posOffset>-34290</wp:posOffset>
            </wp:positionH>
            <wp:positionV relativeFrom="paragraph">
              <wp:posOffset>100965</wp:posOffset>
            </wp:positionV>
            <wp:extent cx="6200775" cy="6962775"/>
            <wp:effectExtent l="19050" t="0" r="9525" b="0"/>
            <wp:wrapTopAndBottom/>
            <wp:docPr id="455" name="Imagen 2" descr="apoyos AS (74).JPG"/>
            <wp:cNvGraphicFramePr/>
            <a:graphic xmlns:a="http://schemas.openxmlformats.org/drawingml/2006/main">
              <a:graphicData uri="http://schemas.openxmlformats.org/drawingml/2006/picture">
                <pic:pic xmlns:pic="http://schemas.openxmlformats.org/drawingml/2006/picture">
                  <pic:nvPicPr>
                    <pic:cNvPr id="15362" name="Imagen 47" descr="apoyos AS (74).JPG"/>
                    <pic:cNvPicPr>
                      <a:picLocks noChangeAspect="1"/>
                    </pic:cNvPicPr>
                  </pic:nvPicPr>
                  <pic:blipFill>
                    <a:blip r:embed="rId31" cstate="print"/>
                    <a:srcRect/>
                    <a:stretch>
                      <a:fillRect/>
                    </a:stretch>
                  </pic:blipFill>
                  <pic:spPr bwMode="auto">
                    <a:xfrm>
                      <a:off x="0" y="0"/>
                      <a:ext cx="6200775" cy="6962775"/>
                    </a:xfrm>
                    <a:prstGeom prst="rect">
                      <a:avLst/>
                    </a:prstGeom>
                    <a:noFill/>
                    <a:ln w="9525">
                      <a:noFill/>
                      <a:miter lim="800000"/>
                      <a:headEnd/>
                      <a:tailEnd/>
                    </a:ln>
                  </pic:spPr>
                </pic:pic>
              </a:graphicData>
            </a:graphic>
          </wp:anchor>
        </w:drawing>
      </w:r>
    </w:p>
    <w:p w:rsidR="00FC7F0E" w:rsidRPr="000B1CBE" w:rsidRDefault="000B1CBE" w:rsidP="00FC7F0E">
      <w:pPr>
        <w:spacing w:after="0" w:line="240" w:lineRule="auto"/>
        <w:jc w:val="both"/>
        <w:rPr>
          <w:rFonts w:ascii="Verdana" w:hAnsi="Verdana"/>
          <w:b/>
          <w:bCs/>
          <w:color w:val="548DD4" w:themeColor="text2" w:themeTint="99"/>
          <w:sz w:val="28"/>
          <w:szCs w:val="40"/>
        </w:rPr>
      </w:pPr>
      <w:r w:rsidRPr="000B1CBE">
        <w:rPr>
          <w:rFonts w:ascii="Verdana" w:hAnsi="Verdana"/>
          <w:b/>
          <w:bCs/>
          <w:noProof/>
          <w:color w:val="548DD4" w:themeColor="text2" w:themeTint="99"/>
          <w:sz w:val="32"/>
          <w:szCs w:val="40"/>
          <w:lang w:eastAsia="es-CO"/>
        </w:rPr>
        <w:lastRenderedPageBreak/>
        <w:drawing>
          <wp:inline distT="0" distB="0" distL="0" distR="0">
            <wp:extent cx="216024" cy="216024"/>
            <wp:effectExtent l="19050" t="0" r="0" b="0"/>
            <wp:docPr id="462"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5868144" y="2852936"/>
                      <a:chExt cx="216024" cy="216024"/>
                    </a:xfrm>
                  </a:grpSpPr>
                  <a:sp>
                    <a:nvSpPr>
                      <a:cNvPr id="37" name="36 Rectángulo redondeado"/>
                      <a:cNvSpPr/>
                    </a:nvSpPr>
                    <a:spPr>
                      <a:xfrm>
                        <a:off x="5868144" y="2852936"/>
                        <a:ext cx="216024" cy="216024"/>
                      </a:xfrm>
                      <a:prstGeom prst="roundRect">
                        <a:avLst/>
                      </a:prstGeom>
                      <a:gradFill flip="none" rotWithShape="1">
                        <a:gsLst>
                          <a:gs pos="0">
                            <a:srgbClr val="CCECFF">
                              <a:shade val="30000"/>
                              <a:satMod val="115000"/>
                            </a:srgbClr>
                          </a:gs>
                          <a:gs pos="50000">
                            <a:srgbClr val="CCECFF">
                              <a:shade val="67500"/>
                              <a:satMod val="115000"/>
                            </a:srgbClr>
                          </a:gs>
                          <a:gs pos="100000">
                            <a:srgbClr val="CCECFF">
                              <a:shade val="100000"/>
                              <a:satMod val="115000"/>
                            </a:srgb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hAnsi="Verdana"/>
          <w:b/>
          <w:bCs/>
          <w:color w:val="548DD4" w:themeColor="text2" w:themeTint="99"/>
          <w:sz w:val="32"/>
          <w:szCs w:val="40"/>
        </w:rPr>
        <w:t xml:space="preserve">  </w:t>
      </w:r>
      <w:r w:rsidR="00FC7F0E" w:rsidRPr="000B1CBE">
        <w:rPr>
          <w:rFonts w:ascii="Verdana" w:hAnsi="Verdana"/>
          <w:b/>
          <w:bCs/>
          <w:color w:val="548DD4" w:themeColor="text2" w:themeTint="99"/>
          <w:sz w:val="28"/>
          <w:szCs w:val="40"/>
        </w:rPr>
        <w:t>PRESUPUESTO</w:t>
      </w:r>
      <w:r w:rsidR="00FC7F0E" w:rsidRPr="000B1CBE">
        <w:rPr>
          <w:rFonts w:ascii="Verdana" w:hAnsi="Verdana"/>
          <w:b/>
          <w:bCs/>
          <w:color w:val="548DD4" w:themeColor="text2" w:themeTint="99"/>
          <w:sz w:val="28"/>
          <w:szCs w:val="40"/>
        </w:rPr>
        <w:tab/>
      </w:r>
    </w:p>
    <w:p w:rsidR="00AA0FE4" w:rsidRDefault="00AA0FE4" w:rsidP="00FC7F0E">
      <w:pPr>
        <w:spacing w:after="0" w:line="240" w:lineRule="auto"/>
        <w:jc w:val="both"/>
        <w:rPr>
          <w:rFonts w:ascii="Verdana" w:hAnsi="Verdana"/>
          <w:b/>
          <w:bCs/>
          <w:color w:val="548DD4" w:themeColor="text2" w:themeTint="99"/>
          <w:sz w:val="32"/>
          <w:szCs w:val="40"/>
        </w:rPr>
      </w:pPr>
    </w:p>
    <w:p w:rsidR="00AA0FE4" w:rsidRPr="00021B2F" w:rsidRDefault="00AA0FE4" w:rsidP="00FC7F0E">
      <w:pPr>
        <w:spacing w:after="0" w:line="240" w:lineRule="auto"/>
        <w:jc w:val="both"/>
        <w:rPr>
          <w:rFonts w:ascii="Verdana" w:hAnsi="Verdana"/>
          <w:b/>
          <w:color w:val="4F81BD" w:themeColor="accent1"/>
          <w:sz w:val="24"/>
          <w:szCs w:val="24"/>
        </w:rPr>
      </w:pPr>
    </w:p>
    <w:p w:rsidR="00FC7F0E" w:rsidRPr="002B617A" w:rsidRDefault="00C10531" w:rsidP="00C10531">
      <w:pPr>
        <w:pStyle w:val="Sinespaciado"/>
        <w:rPr>
          <w:rFonts w:ascii="Verdana" w:eastAsia="Calibri" w:hAnsi="Verdana"/>
          <w:b/>
          <w:color w:val="548DD4" w:themeColor="text2" w:themeTint="99"/>
        </w:rPr>
      </w:pPr>
      <w:r w:rsidRPr="002B617A">
        <w:rPr>
          <w:rFonts w:ascii="Verdana" w:eastAsia="Calibri" w:hAnsi="Verdana"/>
          <w:b/>
          <w:color w:val="548DD4" w:themeColor="text2" w:themeTint="99"/>
        </w:rPr>
        <w:t>EJECUCIÓN PRESUPUESTAL INGRESOS Y GASTOS</w:t>
      </w:r>
    </w:p>
    <w:p w:rsidR="00FC7F0E" w:rsidRPr="00021B2F" w:rsidRDefault="00FC7F0E" w:rsidP="00FC7F0E">
      <w:pPr>
        <w:pStyle w:val="Sinespaciado"/>
        <w:rPr>
          <w:rFonts w:ascii="Verdana" w:eastAsia="Calibri" w:hAnsi="Verdana"/>
          <w:b/>
          <w:color w:val="365F91" w:themeColor="accent1" w:themeShade="BF"/>
        </w:rPr>
      </w:pPr>
    </w:p>
    <w:p w:rsidR="00FC7F0E" w:rsidRDefault="00C10531" w:rsidP="007C60AE">
      <w:pPr>
        <w:autoSpaceDE w:val="0"/>
        <w:autoSpaceDN w:val="0"/>
        <w:adjustRightInd w:val="0"/>
        <w:spacing w:after="0" w:line="240" w:lineRule="auto"/>
        <w:rPr>
          <w:rFonts w:ascii="Verdana" w:hAnsi="Verdana" w:cs="Arial Narrow"/>
          <w:sz w:val="24"/>
          <w:szCs w:val="24"/>
        </w:rPr>
      </w:pPr>
      <w:r>
        <w:rPr>
          <w:rFonts w:ascii="Verdana" w:hAnsi="Verdana"/>
          <w:noProof/>
          <w:sz w:val="24"/>
          <w:szCs w:val="24"/>
          <w:lang w:eastAsia="es-CO"/>
        </w:rPr>
        <w:drawing>
          <wp:anchor distT="0" distB="0" distL="114300" distR="114300" simplePos="0" relativeHeight="251683840" behindDoc="0" locked="0" layoutInCell="1" allowOverlap="1">
            <wp:simplePos x="0" y="0"/>
            <wp:positionH relativeFrom="column">
              <wp:posOffset>-44450</wp:posOffset>
            </wp:positionH>
            <wp:positionV relativeFrom="paragraph">
              <wp:posOffset>772160</wp:posOffset>
            </wp:positionV>
            <wp:extent cx="6267450" cy="1879600"/>
            <wp:effectExtent l="19050" t="0" r="0" b="0"/>
            <wp:wrapTopAndBottom/>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67450" cy="1879600"/>
                    </a:xfrm>
                    <a:prstGeom prst="rect">
                      <a:avLst/>
                    </a:prstGeom>
                    <a:noFill/>
                    <a:ln>
                      <a:noFill/>
                    </a:ln>
                  </pic:spPr>
                </pic:pic>
              </a:graphicData>
            </a:graphic>
          </wp:anchor>
        </w:drawing>
      </w:r>
      <w:r w:rsidR="00FC7F0E" w:rsidRPr="00021B2F">
        <w:rPr>
          <w:rFonts w:ascii="Verdana" w:hAnsi="Verdana"/>
          <w:sz w:val="24"/>
          <w:szCs w:val="24"/>
        </w:rPr>
        <w:t>Con corte a 31 de diciembre de 2014, la Agencia alcanzó una ejecución del 98% de sus compromisos y un 96% de las obligaciones, c</w:t>
      </w:r>
      <w:r w:rsidR="00FC7F0E" w:rsidRPr="00021B2F">
        <w:rPr>
          <w:rFonts w:ascii="Verdana" w:hAnsi="Verdana" w:cs="Arial Narrow"/>
          <w:sz w:val="24"/>
          <w:szCs w:val="24"/>
        </w:rPr>
        <w:t>omo se detalla por concepto de gasto a continuación:</w:t>
      </w:r>
    </w:p>
    <w:p w:rsidR="00C10531" w:rsidRPr="00021B2F" w:rsidRDefault="00C10531" w:rsidP="00C10531">
      <w:pPr>
        <w:autoSpaceDE w:val="0"/>
        <w:autoSpaceDN w:val="0"/>
        <w:adjustRightInd w:val="0"/>
        <w:jc w:val="right"/>
        <w:rPr>
          <w:rFonts w:ascii="Verdana" w:hAnsi="Verdana" w:cs="Arial Narrow"/>
          <w:b/>
          <w:sz w:val="18"/>
          <w:szCs w:val="18"/>
        </w:rPr>
      </w:pPr>
      <w:r w:rsidRPr="00021B2F">
        <w:rPr>
          <w:rFonts w:ascii="Verdana" w:hAnsi="Verdana" w:cs="Arial Narrow"/>
          <w:b/>
          <w:sz w:val="18"/>
          <w:szCs w:val="18"/>
        </w:rPr>
        <w:t xml:space="preserve">Tabla </w:t>
      </w:r>
      <w:r>
        <w:rPr>
          <w:rFonts w:ascii="Verdana" w:hAnsi="Verdana" w:cs="Arial Narrow"/>
          <w:b/>
          <w:sz w:val="18"/>
          <w:szCs w:val="18"/>
        </w:rPr>
        <w:t>1</w:t>
      </w:r>
      <w:r w:rsidRPr="00021B2F">
        <w:rPr>
          <w:rFonts w:ascii="Verdana" w:hAnsi="Verdana" w:cs="Arial Narrow"/>
          <w:b/>
          <w:sz w:val="18"/>
          <w:szCs w:val="18"/>
        </w:rPr>
        <w:t xml:space="preserve">. </w:t>
      </w:r>
      <w:r>
        <w:rPr>
          <w:rFonts w:ascii="Verdana" w:hAnsi="Verdana" w:cs="Arial Narrow"/>
          <w:b/>
          <w:sz w:val="18"/>
          <w:szCs w:val="18"/>
        </w:rPr>
        <w:t>Ejecución Presupuestal</w:t>
      </w:r>
      <w:r w:rsidRPr="00021B2F">
        <w:rPr>
          <w:rFonts w:ascii="Verdana" w:hAnsi="Verdana" w:cs="Arial Narrow"/>
          <w:b/>
          <w:sz w:val="18"/>
          <w:szCs w:val="18"/>
        </w:rPr>
        <w:t xml:space="preserve"> ANSPE 2014</w:t>
      </w:r>
    </w:p>
    <w:p w:rsidR="00FC7F0E" w:rsidRPr="00021B2F" w:rsidRDefault="00FC7F0E" w:rsidP="00FC7F0E">
      <w:pPr>
        <w:pStyle w:val="Sinespaciado"/>
        <w:jc w:val="both"/>
        <w:rPr>
          <w:rFonts w:ascii="Verdana" w:hAnsi="Verdana"/>
        </w:rPr>
      </w:pPr>
      <w:r w:rsidRPr="00021B2F">
        <w:rPr>
          <w:rFonts w:ascii="Verdana" w:hAnsi="Verdana"/>
        </w:rPr>
        <w:t>Entre las principales modificaciones al presupuesto de la vigencia 2014, se destacan:</w:t>
      </w:r>
    </w:p>
    <w:p w:rsidR="00FC7F0E" w:rsidRPr="00021B2F" w:rsidRDefault="00FC7F0E" w:rsidP="00FC7F0E">
      <w:pPr>
        <w:pStyle w:val="Sinespaciado"/>
        <w:jc w:val="both"/>
        <w:rPr>
          <w:rFonts w:ascii="Verdana" w:hAnsi="Verdana"/>
        </w:rPr>
      </w:pPr>
    </w:p>
    <w:p w:rsidR="00FC7F0E" w:rsidRDefault="00FC7F0E" w:rsidP="00FF784D">
      <w:pPr>
        <w:pStyle w:val="Sinespaciado"/>
        <w:numPr>
          <w:ilvl w:val="0"/>
          <w:numId w:val="45"/>
        </w:numPr>
        <w:jc w:val="both"/>
        <w:rPr>
          <w:rFonts w:ascii="Verdana" w:hAnsi="Verdana"/>
        </w:rPr>
      </w:pPr>
      <w:r w:rsidRPr="00021B2F">
        <w:rPr>
          <w:rFonts w:ascii="Verdana" w:hAnsi="Verdana"/>
        </w:rPr>
        <w:t>En los meses de septiembre y noviembre se distribuyeron recursos en el Presupuesto de Inversión por valor de $35.000 y Funcionamiento por valor de $1.100 provenientes del Ministerio de Hacienda y Crédito Público para la Agencia, para un total de $36.100 millones.</w:t>
      </w:r>
    </w:p>
    <w:p w:rsidR="00FC7F0E" w:rsidRPr="00021B2F" w:rsidRDefault="00FC7F0E" w:rsidP="00FF784D">
      <w:pPr>
        <w:pStyle w:val="Sinespaciado"/>
        <w:numPr>
          <w:ilvl w:val="0"/>
          <w:numId w:val="45"/>
        </w:numPr>
        <w:jc w:val="both"/>
        <w:rPr>
          <w:rFonts w:ascii="Verdana" w:hAnsi="Verdana"/>
        </w:rPr>
      </w:pPr>
      <w:r w:rsidRPr="00021B2F">
        <w:rPr>
          <w:rFonts w:ascii="Verdana" w:hAnsi="Verdana"/>
        </w:rPr>
        <w:t>En los meses de junio, septiembre y diciembre se distribuyeron recursos en el Presupuesto de Inversión del Departamento Nacional de Planeación para la Agencia, por valor de $32.350 millones.</w:t>
      </w:r>
    </w:p>
    <w:p w:rsidR="00FC7F0E" w:rsidRPr="00021B2F" w:rsidRDefault="00FC7F0E" w:rsidP="00FC7F0E">
      <w:pPr>
        <w:pStyle w:val="Sinespaciado"/>
        <w:jc w:val="both"/>
        <w:rPr>
          <w:rFonts w:ascii="Verdana" w:hAnsi="Verdana"/>
        </w:rPr>
      </w:pPr>
    </w:p>
    <w:p w:rsidR="007C60AE" w:rsidRDefault="007C60AE" w:rsidP="00C10531">
      <w:pPr>
        <w:spacing w:after="0" w:line="240" w:lineRule="auto"/>
        <w:jc w:val="both"/>
        <w:rPr>
          <w:rFonts w:ascii="Verdana" w:hAnsi="Verdana"/>
          <w:b/>
          <w:color w:val="548DD4" w:themeColor="text2" w:themeTint="99"/>
          <w:sz w:val="24"/>
          <w:szCs w:val="24"/>
          <w:u w:val="single"/>
        </w:rPr>
      </w:pPr>
    </w:p>
    <w:p w:rsidR="00FC7F0E" w:rsidRPr="002B617A" w:rsidRDefault="00C10531" w:rsidP="00C10531">
      <w:pPr>
        <w:spacing w:after="0" w:line="240" w:lineRule="auto"/>
        <w:jc w:val="both"/>
        <w:rPr>
          <w:rFonts w:ascii="Verdana" w:hAnsi="Verdana"/>
          <w:b/>
          <w:color w:val="548DD4" w:themeColor="text2" w:themeTint="99"/>
          <w:sz w:val="24"/>
          <w:szCs w:val="24"/>
        </w:rPr>
      </w:pPr>
      <w:r w:rsidRPr="002B617A">
        <w:rPr>
          <w:rFonts w:ascii="Verdana" w:hAnsi="Verdana"/>
          <w:b/>
          <w:color w:val="548DD4" w:themeColor="text2" w:themeTint="99"/>
          <w:sz w:val="24"/>
          <w:szCs w:val="24"/>
        </w:rPr>
        <w:t>COMPARATIVO CON RESPECTO AL MISMO PERÍODO DEL AÑO ANTERIOR</w:t>
      </w:r>
    </w:p>
    <w:p w:rsidR="00FC7F0E" w:rsidRPr="00021B2F" w:rsidRDefault="00FC7F0E" w:rsidP="00FC7F0E">
      <w:pPr>
        <w:pStyle w:val="Prrafodelista"/>
        <w:spacing w:after="0" w:line="240" w:lineRule="auto"/>
        <w:jc w:val="both"/>
        <w:rPr>
          <w:rFonts w:ascii="Verdana" w:hAnsi="Verdana"/>
          <w:b/>
          <w:sz w:val="24"/>
          <w:szCs w:val="24"/>
        </w:rPr>
      </w:pPr>
    </w:p>
    <w:p w:rsidR="00FC7F0E" w:rsidRPr="00021B2F" w:rsidRDefault="00FC7F0E" w:rsidP="00C10531">
      <w:pPr>
        <w:jc w:val="both"/>
        <w:rPr>
          <w:rFonts w:ascii="Verdana" w:hAnsi="Verdana"/>
          <w:sz w:val="24"/>
          <w:szCs w:val="24"/>
        </w:rPr>
      </w:pPr>
      <w:r w:rsidRPr="00021B2F">
        <w:rPr>
          <w:rFonts w:ascii="Verdana" w:hAnsi="Verdana"/>
          <w:sz w:val="24"/>
          <w:szCs w:val="24"/>
        </w:rPr>
        <w:t xml:space="preserve">El Presupuesto asignado a la Agencia por valor de $231.866 para la vigencia 2014, presentó un incrementó en 6.8%, respecto al Presupuesto Asignado por valor de $217.192 para la vigencia fiscal 2013. </w:t>
      </w:r>
    </w:p>
    <w:p w:rsidR="00FC7F0E" w:rsidRPr="00021B2F" w:rsidRDefault="00FC7F0E" w:rsidP="00FC7F0E">
      <w:pPr>
        <w:rPr>
          <w:rFonts w:ascii="Verdana" w:hAnsi="Verdana"/>
          <w:sz w:val="24"/>
          <w:szCs w:val="24"/>
        </w:rPr>
      </w:pPr>
    </w:p>
    <w:p w:rsidR="00FC7F0E" w:rsidRPr="00021B2F" w:rsidRDefault="00FC7F0E" w:rsidP="00FC7F0E">
      <w:pPr>
        <w:jc w:val="center"/>
        <w:rPr>
          <w:rFonts w:ascii="Verdana" w:hAnsi="Verdana"/>
          <w:sz w:val="24"/>
          <w:szCs w:val="24"/>
        </w:rPr>
      </w:pPr>
      <w:r w:rsidRPr="000839F6">
        <w:rPr>
          <w:rFonts w:ascii="Verdana" w:hAnsi="Verdana"/>
          <w:noProof/>
          <w:sz w:val="18"/>
          <w:szCs w:val="18"/>
          <w:lang w:eastAsia="es-CO"/>
        </w:rPr>
        <w:drawing>
          <wp:inline distT="0" distB="0" distL="0" distR="0">
            <wp:extent cx="5397500" cy="3244481"/>
            <wp:effectExtent l="19050" t="0" r="0" b="0"/>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0802" cy="3258488"/>
                    </a:xfrm>
                    <a:prstGeom prst="rect">
                      <a:avLst/>
                    </a:prstGeom>
                    <a:noFill/>
                  </pic:spPr>
                </pic:pic>
              </a:graphicData>
            </a:graphic>
          </wp:inline>
        </w:drawing>
      </w:r>
    </w:p>
    <w:p w:rsidR="00FC7F0E" w:rsidRPr="00C10531" w:rsidRDefault="007C60AE" w:rsidP="00C10531">
      <w:pPr>
        <w:jc w:val="both"/>
        <w:rPr>
          <w:rFonts w:ascii="Verdana" w:hAnsi="Verdana"/>
          <w:sz w:val="24"/>
          <w:szCs w:val="24"/>
        </w:rPr>
      </w:pPr>
      <w:r>
        <w:rPr>
          <w:rFonts w:ascii="Verdana" w:hAnsi="Verdana"/>
          <w:noProof/>
          <w:sz w:val="24"/>
          <w:szCs w:val="24"/>
          <w:lang w:eastAsia="es-CO"/>
        </w:rPr>
        <w:drawing>
          <wp:anchor distT="0" distB="0" distL="114300" distR="114300" simplePos="0" relativeHeight="251684864" behindDoc="0" locked="0" layoutInCell="1" allowOverlap="1">
            <wp:simplePos x="0" y="0"/>
            <wp:positionH relativeFrom="column">
              <wp:posOffset>-107950</wp:posOffset>
            </wp:positionH>
            <wp:positionV relativeFrom="paragraph">
              <wp:posOffset>778510</wp:posOffset>
            </wp:positionV>
            <wp:extent cx="6445250" cy="1206500"/>
            <wp:effectExtent l="19050" t="0" r="0" b="0"/>
            <wp:wrapTopAndBottom/>
            <wp:docPr id="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296" b="13333"/>
                    <a:stretch>
                      <a:fillRect/>
                    </a:stretch>
                  </pic:blipFill>
                  <pic:spPr bwMode="auto">
                    <a:xfrm>
                      <a:off x="0" y="0"/>
                      <a:ext cx="6445250" cy="1206500"/>
                    </a:xfrm>
                    <a:prstGeom prst="rect">
                      <a:avLst/>
                    </a:prstGeom>
                    <a:noFill/>
                    <a:ln>
                      <a:noFill/>
                    </a:ln>
                  </pic:spPr>
                </pic:pic>
              </a:graphicData>
            </a:graphic>
          </wp:anchor>
        </w:drawing>
      </w:r>
      <w:r w:rsidR="00FC7F0E" w:rsidRPr="00C10531">
        <w:rPr>
          <w:rFonts w:ascii="Verdana" w:hAnsi="Verdana"/>
          <w:sz w:val="24"/>
          <w:szCs w:val="24"/>
        </w:rPr>
        <w:t>Para la Vigencia fiscal 2014, la Agencia logró obligaciones del 96%, lo cual representó un aumento del 4% respecto a la vigencia anterior, reduciendo el rezago presupuestal de 7% a 4.5% de la Apropiación:</w:t>
      </w:r>
    </w:p>
    <w:p w:rsidR="007C60AE" w:rsidRDefault="00F44A26" w:rsidP="007C60AE">
      <w:pPr>
        <w:spacing w:after="0" w:line="240" w:lineRule="auto"/>
        <w:ind w:left="360"/>
        <w:jc w:val="right"/>
        <w:rPr>
          <w:rFonts w:ascii="Verdana" w:hAnsi="Verdana"/>
          <w:b/>
          <w:sz w:val="18"/>
          <w:szCs w:val="18"/>
        </w:rPr>
      </w:pPr>
      <w:r>
        <w:rPr>
          <w:rFonts w:ascii="Verdana" w:hAnsi="Verdana"/>
        </w:rPr>
        <w:t xml:space="preserve"> </w:t>
      </w:r>
      <w:r w:rsidR="007C60AE">
        <w:rPr>
          <w:rFonts w:ascii="Verdana" w:hAnsi="Verdana"/>
          <w:b/>
          <w:sz w:val="18"/>
          <w:szCs w:val="18"/>
        </w:rPr>
        <w:t>T</w:t>
      </w:r>
      <w:r w:rsidR="007C60AE" w:rsidRPr="00F44A26">
        <w:rPr>
          <w:rFonts w:ascii="Verdana" w:hAnsi="Verdana"/>
          <w:b/>
          <w:sz w:val="18"/>
          <w:szCs w:val="18"/>
        </w:rPr>
        <w:t>abla 2.</w:t>
      </w:r>
      <w:r w:rsidR="007C60AE">
        <w:rPr>
          <w:rFonts w:ascii="Verdana" w:hAnsi="Verdana"/>
          <w:b/>
          <w:sz w:val="18"/>
          <w:szCs w:val="18"/>
        </w:rPr>
        <w:t xml:space="preserve">  </w:t>
      </w:r>
    </w:p>
    <w:p w:rsidR="00F44A26" w:rsidRPr="00F44A26" w:rsidRDefault="007C60AE" w:rsidP="007C60AE">
      <w:pPr>
        <w:pStyle w:val="Prrafodelista"/>
        <w:spacing w:after="0" w:line="240" w:lineRule="auto"/>
        <w:jc w:val="right"/>
        <w:rPr>
          <w:rFonts w:ascii="Verdana" w:hAnsi="Verdana"/>
          <w:b/>
          <w:sz w:val="18"/>
          <w:szCs w:val="18"/>
        </w:rPr>
      </w:pPr>
      <w:r>
        <w:rPr>
          <w:rFonts w:ascii="Verdana" w:hAnsi="Verdana"/>
          <w:b/>
          <w:sz w:val="18"/>
          <w:szCs w:val="18"/>
        </w:rPr>
        <w:t xml:space="preserve"> </w:t>
      </w:r>
      <w:r w:rsidR="00F44A26" w:rsidRPr="00F44A26">
        <w:rPr>
          <w:rFonts w:ascii="Verdana" w:hAnsi="Verdana"/>
          <w:b/>
          <w:sz w:val="18"/>
          <w:szCs w:val="18"/>
        </w:rPr>
        <w:t>Ejecución presupuestal comparativa ANSPE 2014</w:t>
      </w:r>
    </w:p>
    <w:p w:rsidR="00F44A26" w:rsidRDefault="00F44A26" w:rsidP="007C60AE">
      <w:pPr>
        <w:pStyle w:val="Prrafodelista"/>
        <w:spacing w:after="0" w:line="240" w:lineRule="auto"/>
        <w:jc w:val="right"/>
        <w:rPr>
          <w:rFonts w:ascii="Verdana" w:hAnsi="Verdana"/>
          <w:sz w:val="24"/>
          <w:szCs w:val="24"/>
        </w:rPr>
      </w:pPr>
    </w:p>
    <w:p w:rsidR="00F44A26" w:rsidRDefault="00F44A26" w:rsidP="00F44A26">
      <w:pPr>
        <w:pStyle w:val="Prrafodelista"/>
        <w:spacing w:after="0" w:line="240" w:lineRule="auto"/>
        <w:jc w:val="both"/>
        <w:rPr>
          <w:rFonts w:ascii="Verdana" w:hAnsi="Verdana"/>
          <w:sz w:val="24"/>
          <w:szCs w:val="24"/>
        </w:rPr>
      </w:pPr>
    </w:p>
    <w:p w:rsidR="00114EC3" w:rsidRDefault="00F44A26" w:rsidP="00F44A26">
      <w:pPr>
        <w:spacing w:after="0" w:line="240" w:lineRule="auto"/>
        <w:jc w:val="both"/>
        <w:rPr>
          <w:rFonts w:ascii="Verdana" w:hAnsi="Verdana"/>
          <w:b/>
          <w:color w:val="548DD4" w:themeColor="text2" w:themeTint="99"/>
          <w:sz w:val="24"/>
          <w:szCs w:val="24"/>
        </w:rPr>
      </w:pPr>
      <w:r w:rsidRPr="002B617A">
        <w:rPr>
          <w:rFonts w:ascii="Verdana" w:hAnsi="Verdana"/>
          <w:b/>
          <w:color w:val="548DD4" w:themeColor="text2" w:themeTint="99"/>
          <w:sz w:val="24"/>
          <w:szCs w:val="24"/>
        </w:rPr>
        <w:t>ESTADOS FINANCIEROS DE LAS ÚLTIMAS DOS VIGENCIAS</w:t>
      </w:r>
    </w:p>
    <w:p w:rsidR="00FC7F0E" w:rsidRPr="002B617A" w:rsidRDefault="00114EC3" w:rsidP="00F44A26">
      <w:pPr>
        <w:spacing w:after="0" w:line="240" w:lineRule="auto"/>
        <w:jc w:val="both"/>
        <w:rPr>
          <w:rFonts w:ascii="Verdana" w:hAnsi="Verdana"/>
          <w:b/>
          <w:color w:val="548DD4" w:themeColor="text2" w:themeTint="99"/>
          <w:sz w:val="24"/>
          <w:szCs w:val="24"/>
        </w:rPr>
      </w:pPr>
      <w:r>
        <w:rPr>
          <w:rFonts w:ascii="Verdana" w:hAnsi="Verdana"/>
          <w:sz w:val="24"/>
          <w:szCs w:val="24"/>
        </w:rPr>
        <w:t xml:space="preserve">Ver Anexo 2A Estados financieros Nov 2014 y Anexo 2B Estados Financieros 2013. </w:t>
      </w:r>
    </w:p>
    <w:p w:rsidR="00FC7F0E" w:rsidRPr="00021B2F" w:rsidRDefault="00FC7F0E" w:rsidP="00FC7F0E">
      <w:pPr>
        <w:spacing w:after="0" w:line="240" w:lineRule="auto"/>
        <w:jc w:val="both"/>
        <w:rPr>
          <w:rFonts w:ascii="Verdana" w:hAnsi="Verdana"/>
          <w:sz w:val="24"/>
          <w:szCs w:val="24"/>
        </w:rPr>
      </w:pPr>
    </w:p>
    <w:p w:rsidR="00F44A26" w:rsidRDefault="00F44A26" w:rsidP="00FC7F0E">
      <w:pPr>
        <w:spacing w:after="0" w:line="240" w:lineRule="auto"/>
        <w:jc w:val="both"/>
        <w:rPr>
          <w:rFonts w:ascii="Verdana" w:hAnsi="Verdana"/>
          <w:b/>
          <w:color w:val="4F81BD" w:themeColor="accent1"/>
          <w:sz w:val="32"/>
          <w:szCs w:val="24"/>
        </w:rPr>
      </w:pPr>
    </w:p>
    <w:p w:rsidR="00FC7F0E" w:rsidRPr="00BB6307" w:rsidRDefault="00BB6307" w:rsidP="00FC7F0E">
      <w:pPr>
        <w:spacing w:after="0" w:line="240" w:lineRule="auto"/>
        <w:jc w:val="both"/>
        <w:rPr>
          <w:rFonts w:ascii="Verdana" w:hAnsi="Verdana"/>
          <w:b/>
          <w:color w:val="4F81BD" w:themeColor="accent1"/>
          <w:sz w:val="28"/>
          <w:szCs w:val="24"/>
        </w:rPr>
      </w:pPr>
      <w:r w:rsidRPr="00BB6307">
        <w:rPr>
          <w:rFonts w:ascii="Verdana" w:hAnsi="Verdana"/>
          <w:b/>
          <w:noProof/>
          <w:color w:val="4F81BD" w:themeColor="accent1"/>
          <w:sz w:val="32"/>
          <w:szCs w:val="24"/>
          <w:lang w:eastAsia="es-CO"/>
        </w:rPr>
        <w:lastRenderedPageBreak/>
        <w:drawing>
          <wp:inline distT="0" distB="0" distL="0" distR="0">
            <wp:extent cx="216024" cy="216024"/>
            <wp:effectExtent l="19050" t="0" r="0" b="0"/>
            <wp:docPr id="469"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5868144" y="2852936"/>
                      <a:chExt cx="216024" cy="216024"/>
                    </a:xfrm>
                  </a:grpSpPr>
                  <a:sp>
                    <a:nvSpPr>
                      <a:cNvPr id="37" name="36 Rectángulo redondeado"/>
                      <a:cNvSpPr/>
                    </a:nvSpPr>
                    <a:spPr>
                      <a:xfrm>
                        <a:off x="5868144" y="2852936"/>
                        <a:ext cx="216024" cy="216024"/>
                      </a:xfrm>
                      <a:prstGeom prst="roundRect">
                        <a:avLst/>
                      </a:prstGeom>
                      <a:gradFill flip="none" rotWithShape="1">
                        <a:gsLst>
                          <a:gs pos="0">
                            <a:srgbClr val="CCECFF">
                              <a:shade val="30000"/>
                              <a:satMod val="115000"/>
                            </a:srgbClr>
                          </a:gs>
                          <a:gs pos="50000">
                            <a:srgbClr val="CCECFF">
                              <a:shade val="67500"/>
                              <a:satMod val="115000"/>
                            </a:srgbClr>
                          </a:gs>
                          <a:gs pos="100000">
                            <a:srgbClr val="CCECFF">
                              <a:shade val="100000"/>
                              <a:satMod val="115000"/>
                            </a:srgb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hAnsi="Verdana"/>
          <w:b/>
          <w:color w:val="4F81BD" w:themeColor="accent1"/>
          <w:sz w:val="32"/>
          <w:szCs w:val="24"/>
        </w:rPr>
        <w:t xml:space="preserve"> </w:t>
      </w:r>
      <w:r w:rsidR="00FC7F0E" w:rsidRPr="00BB6307">
        <w:rPr>
          <w:rFonts w:ascii="Verdana" w:hAnsi="Verdana"/>
          <w:b/>
          <w:color w:val="4F81BD" w:themeColor="accent1"/>
          <w:sz w:val="28"/>
          <w:szCs w:val="24"/>
        </w:rPr>
        <w:t>CUMPLIMIENTO DE METAS</w:t>
      </w:r>
    </w:p>
    <w:p w:rsidR="00B81369" w:rsidRDefault="00FC7F0E" w:rsidP="00B81369">
      <w:pPr>
        <w:spacing w:after="0" w:line="240" w:lineRule="auto"/>
        <w:jc w:val="both"/>
        <w:rPr>
          <w:rFonts w:ascii="Verdana" w:hAnsi="Verdana"/>
          <w:b/>
          <w:color w:val="0070C0"/>
          <w:sz w:val="24"/>
          <w:szCs w:val="24"/>
        </w:rPr>
      </w:pPr>
      <w:r w:rsidRPr="00021B2F">
        <w:rPr>
          <w:rFonts w:ascii="Verdana" w:hAnsi="Verdana"/>
          <w:b/>
          <w:color w:val="4F81BD" w:themeColor="accent1"/>
          <w:sz w:val="24"/>
          <w:szCs w:val="24"/>
        </w:rPr>
        <w:tab/>
      </w:r>
    </w:p>
    <w:p w:rsidR="00AA0FE4" w:rsidRDefault="00AA0FE4" w:rsidP="00B81369">
      <w:pPr>
        <w:spacing w:after="0" w:line="240" w:lineRule="auto"/>
        <w:jc w:val="both"/>
        <w:rPr>
          <w:rFonts w:ascii="Verdana" w:hAnsi="Verdana"/>
          <w:b/>
          <w:color w:val="0070C0"/>
          <w:sz w:val="24"/>
          <w:szCs w:val="24"/>
        </w:rPr>
      </w:pPr>
    </w:p>
    <w:p w:rsidR="00FC7F0E" w:rsidRPr="00BB6307" w:rsidRDefault="00B81369" w:rsidP="00B81369">
      <w:pPr>
        <w:spacing w:after="0" w:line="240" w:lineRule="auto"/>
        <w:jc w:val="both"/>
        <w:rPr>
          <w:rFonts w:ascii="Verdana" w:hAnsi="Verdana"/>
          <w:b/>
          <w:color w:val="0070C0"/>
          <w:sz w:val="24"/>
          <w:szCs w:val="24"/>
        </w:rPr>
      </w:pPr>
      <w:r w:rsidRPr="00BB6307">
        <w:rPr>
          <w:rFonts w:ascii="Verdana" w:hAnsi="Verdana"/>
          <w:b/>
          <w:color w:val="0070C0"/>
          <w:sz w:val="24"/>
          <w:szCs w:val="24"/>
        </w:rPr>
        <w:t>PLAN DE ACCIÓN</w:t>
      </w:r>
    </w:p>
    <w:p w:rsidR="00FC7F0E" w:rsidRPr="00021B2F" w:rsidRDefault="00FC7F0E" w:rsidP="00FC7F0E">
      <w:pPr>
        <w:pStyle w:val="Prrafodelista"/>
        <w:spacing w:after="0" w:line="240" w:lineRule="auto"/>
        <w:jc w:val="both"/>
        <w:rPr>
          <w:rFonts w:ascii="Verdana" w:hAnsi="Verdana"/>
          <w:sz w:val="24"/>
          <w:szCs w:val="24"/>
        </w:rPr>
      </w:pPr>
    </w:p>
    <w:p w:rsidR="00FC7F0E" w:rsidRPr="00021B2F" w:rsidRDefault="00FC7F0E" w:rsidP="00FC7F0E">
      <w:pPr>
        <w:spacing w:after="0" w:line="240" w:lineRule="auto"/>
        <w:jc w:val="both"/>
        <w:rPr>
          <w:rFonts w:ascii="Verdana" w:hAnsi="Verdana"/>
          <w:sz w:val="24"/>
          <w:szCs w:val="24"/>
        </w:rPr>
      </w:pPr>
      <w:r w:rsidRPr="00021B2F">
        <w:rPr>
          <w:rFonts w:ascii="Verdana" w:hAnsi="Verdana"/>
          <w:sz w:val="24"/>
          <w:szCs w:val="24"/>
        </w:rPr>
        <w:t xml:space="preserve">Para la vigencia 2014 </w:t>
      </w:r>
      <w:r w:rsidR="00456C99">
        <w:rPr>
          <w:rFonts w:ascii="Verdana" w:hAnsi="Verdana"/>
          <w:sz w:val="24"/>
          <w:szCs w:val="24"/>
        </w:rPr>
        <w:t xml:space="preserve"> </w:t>
      </w:r>
      <w:r w:rsidRPr="00021B2F">
        <w:rPr>
          <w:rFonts w:ascii="Verdana" w:hAnsi="Verdana"/>
          <w:sz w:val="24"/>
          <w:szCs w:val="24"/>
        </w:rPr>
        <w:t>la Agencia formuló un Plan de Acción con 68 indicadores, en el cual se consolidó la gestión realizada para el cumplimiento de las principales metas misionales (Indicadores Plan Nacional de Desarrollo, SINERGIA Seguimiento, sistema de Seguimiento a Proyectos de Inversión, tableros de control transversales) y administrativas (SISTEDA, Gobierno en Línea). Al cierre de 2014, el nivel de cumplimiento del Plan de Acción se situó en 86%, como se observa en la siguiente tabla:</w:t>
      </w:r>
    </w:p>
    <w:p w:rsidR="00FC7F0E" w:rsidRPr="00021B2F" w:rsidRDefault="00FC7F0E" w:rsidP="00FC7F0E">
      <w:pPr>
        <w:spacing w:after="0" w:line="240" w:lineRule="auto"/>
        <w:ind w:left="360"/>
        <w:jc w:val="both"/>
        <w:rPr>
          <w:rFonts w:ascii="Verdana" w:hAnsi="Verdana"/>
          <w:sz w:val="24"/>
          <w:szCs w:val="24"/>
        </w:rPr>
      </w:pPr>
    </w:p>
    <w:tbl>
      <w:tblPr>
        <w:tblW w:w="5000" w:type="pct"/>
        <w:tblLayout w:type="fixed"/>
        <w:tblCellMar>
          <w:left w:w="70" w:type="dxa"/>
          <w:right w:w="70" w:type="dxa"/>
        </w:tblCellMar>
        <w:tblLook w:val="04A0"/>
      </w:tblPr>
      <w:tblGrid>
        <w:gridCol w:w="2588"/>
        <w:gridCol w:w="1294"/>
        <w:gridCol w:w="1584"/>
        <w:gridCol w:w="1436"/>
        <w:gridCol w:w="1584"/>
        <w:gridCol w:w="1626"/>
      </w:tblGrid>
      <w:tr w:rsidR="00FC7F0E" w:rsidRPr="00021B2F" w:rsidTr="00FC7F0E">
        <w:trPr>
          <w:trHeight w:val="300"/>
        </w:trPr>
        <w:tc>
          <w:tcPr>
            <w:tcW w:w="1280" w:type="pct"/>
            <w:tcBorders>
              <w:top w:val="nil"/>
              <w:left w:val="nil"/>
              <w:bottom w:val="single" w:sz="12" w:space="0" w:color="FFFFFF"/>
              <w:right w:val="single" w:sz="4" w:space="0" w:color="FFFFFF"/>
            </w:tcBorders>
            <w:shd w:val="clear" w:color="4F81BD" w:fill="4F81BD"/>
            <w:noWrap/>
            <w:vAlign w:val="center"/>
            <w:hideMark/>
          </w:tcPr>
          <w:p w:rsidR="00FC7F0E" w:rsidRPr="00021B2F" w:rsidRDefault="00FC7F0E" w:rsidP="00FC7F0E">
            <w:pPr>
              <w:spacing w:after="0" w:line="240" w:lineRule="auto"/>
              <w:jc w:val="both"/>
              <w:rPr>
                <w:rFonts w:ascii="Verdana" w:hAnsi="Verdana"/>
                <w:color w:val="FFFFFF" w:themeColor="background1"/>
                <w:sz w:val="18"/>
                <w:szCs w:val="18"/>
              </w:rPr>
            </w:pPr>
            <w:r w:rsidRPr="00021B2F">
              <w:rPr>
                <w:rFonts w:ascii="Verdana" w:hAnsi="Verdana"/>
                <w:b/>
                <w:bCs/>
                <w:color w:val="FFFFFF" w:themeColor="background1"/>
                <w:sz w:val="18"/>
                <w:szCs w:val="18"/>
              </w:rPr>
              <w:t>Plan de Acción 2014</w:t>
            </w:r>
          </w:p>
        </w:tc>
        <w:tc>
          <w:tcPr>
            <w:tcW w:w="640" w:type="pct"/>
            <w:tcBorders>
              <w:top w:val="nil"/>
              <w:left w:val="single" w:sz="4" w:space="0" w:color="FFFFFF"/>
              <w:bottom w:val="single" w:sz="12" w:space="0" w:color="FFFFFF"/>
              <w:right w:val="single" w:sz="4" w:space="0" w:color="FFFFFF"/>
            </w:tcBorders>
            <w:shd w:val="clear" w:color="4F81BD" w:fill="4F81BD"/>
            <w:noWrap/>
            <w:vAlign w:val="center"/>
            <w:hideMark/>
          </w:tcPr>
          <w:p w:rsidR="00FC7F0E" w:rsidRPr="00021B2F" w:rsidRDefault="00FC7F0E" w:rsidP="00FC7F0E">
            <w:pPr>
              <w:spacing w:after="0" w:line="240" w:lineRule="auto"/>
              <w:jc w:val="both"/>
              <w:rPr>
                <w:rFonts w:ascii="Verdana" w:hAnsi="Verdana"/>
                <w:color w:val="FFFFFF" w:themeColor="background1"/>
                <w:sz w:val="18"/>
                <w:szCs w:val="18"/>
              </w:rPr>
            </w:pPr>
            <w:r w:rsidRPr="00021B2F">
              <w:rPr>
                <w:rFonts w:ascii="Verdana" w:hAnsi="Verdana"/>
                <w:b/>
                <w:bCs/>
                <w:color w:val="FFFFFF" w:themeColor="background1"/>
                <w:sz w:val="18"/>
                <w:szCs w:val="18"/>
              </w:rPr>
              <w:t>No. Productos</w:t>
            </w:r>
          </w:p>
        </w:tc>
        <w:tc>
          <w:tcPr>
            <w:tcW w:w="783" w:type="pct"/>
            <w:tcBorders>
              <w:top w:val="nil"/>
              <w:left w:val="single" w:sz="4" w:space="0" w:color="FFFFFF"/>
              <w:bottom w:val="single" w:sz="12" w:space="0" w:color="FFFFFF"/>
              <w:right w:val="single" w:sz="4" w:space="0" w:color="FFFFFF"/>
            </w:tcBorders>
            <w:shd w:val="clear" w:color="4F81BD" w:fill="4F81BD"/>
            <w:noWrap/>
            <w:vAlign w:val="center"/>
            <w:hideMark/>
          </w:tcPr>
          <w:p w:rsidR="00FC7F0E" w:rsidRPr="00021B2F" w:rsidRDefault="00FC7F0E" w:rsidP="00FC7F0E">
            <w:pPr>
              <w:spacing w:after="0" w:line="240" w:lineRule="auto"/>
              <w:jc w:val="both"/>
              <w:rPr>
                <w:rFonts w:ascii="Verdana" w:hAnsi="Verdana"/>
                <w:color w:val="FFFFFF" w:themeColor="background1"/>
                <w:sz w:val="18"/>
                <w:szCs w:val="18"/>
              </w:rPr>
            </w:pPr>
            <w:r w:rsidRPr="00021B2F">
              <w:rPr>
                <w:rFonts w:ascii="Verdana" w:hAnsi="Verdana"/>
                <w:b/>
                <w:bCs/>
                <w:color w:val="FFFFFF" w:themeColor="background1"/>
                <w:sz w:val="18"/>
                <w:szCs w:val="18"/>
              </w:rPr>
              <w:t>Avance a 31 de marzo</w:t>
            </w:r>
          </w:p>
        </w:tc>
        <w:tc>
          <w:tcPr>
            <w:tcW w:w="710" w:type="pct"/>
            <w:tcBorders>
              <w:top w:val="nil"/>
              <w:left w:val="single" w:sz="4" w:space="0" w:color="FFFFFF"/>
              <w:bottom w:val="single" w:sz="12" w:space="0" w:color="FFFFFF"/>
              <w:right w:val="single" w:sz="4" w:space="0" w:color="FFFFFF"/>
            </w:tcBorders>
            <w:shd w:val="clear" w:color="4F81BD" w:fill="4F81BD"/>
            <w:noWrap/>
            <w:vAlign w:val="center"/>
            <w:hideMark/>
          </w:tcPr>
          <w:p w:rsidR="00FC7F0E" w:rsidRPr="00021B2F" w:rsidRDefault="00FC7F0E" w:rsidP="00FC7F0E">
            <w:pPr>
              <w:spacing w:after="0" w:line="240" w:lineRule="auto"/>
              <w:jc w:val="both"/>
              <w:rPr>
                <w:rFonts w:ascii="Verdana" w:hAnsi="Verdana"/>
                <w:color w:val="FFFFFF" w:themeColor="background1"/>
                <w:sz w:val="18"/>
                <w:szCs w:val="18"/>
              </w:rPr>
            </w:pPr>
            <w:r w:rsidRPr="00021B2F">
              <w:rPr>
                <w:rFonts w:ascii="Verdana" w:hAnsi="Verdana"/>
                <w:b/>
                <w:bCs/>
                <w:color w:val="FFFFFF" w:themeColor="background1"/>
                <w:sz w:val="18"/>
                <w:szCs w:val="18"/>
              </w:rPr>
              <w:t xml:space="preserve"> Avance a 30 de junio</w:t>
            </w:r>
          </w:p>
        </w:tc>
        <w:tc>
          <w:tcPr>
            <w:tcW w:w="783" w:type="pct"/>
            <w:tcBorders>
              <w:top w:val="nil"/>
              <w:left w:val="single" w:sz="4" w:space="0" w:color="FFFFFF"/>
              <w:bottom w:val="single" w:sz="12" w:space="0" w:color="FFFFFF"/>
              <w:right w:val="single" w:sz="4" w:space="0" w:color="FFFFFF"/>
            </w:tcBorders>
            <w:shd w:val="clear" w:color="4F81BD" w:fill="4F81BD"/>
            <w:noWrap/>
            <w:vAlign w:val="center"/>
            <w:hideMark/>
          </w:tcPr>
          <w:p w:rsidR="00FC7F0E" w:rsidRPr="00021B2F" w:rsidRDefault="00FC7F0E" w:rsidP="00FC7F0E">
            <w:pPr>
              <w:spacing w:after="0" w:line="240" w:lineRule="auto"/>
              <w:jc w:val="both"/>
              <w:rPr>
                <w:rFonts w:ascii="Verdana" w:hAnsi="Verdana"/>
                <w:color w:val="FFFFFF" w:themeColor="background1"/>
                <w:sz w:val="18"/>
                <w:szCs w:val="18"/>
              </w:rPr>
            </w:pPr>
            <w:r w:rsidRPr="00021B2F">
              <w:rPr>
                <w:rFonts w:ascii="Verdana" w:hAnsi="Verdana"/>
                <w:b/>
                <w:bCs/>
                <w:color w:val="FFFFFF" w:themeColor="background1"/>
                <w:sz w:val="18"/>
                <w:szCs w:val="18"/>
              </w:rPr>
              <w:t>Avance a 30  septiembre</w:t>
            </w:r>
          </w:p>
        </w:tc>
        <w:tc>
          <w:tcPr>
            <w:tcW w:w="804" w:type="pct"/>
            <w:tcBorders>
              <w:top w:val="nil"/>
              <w:left w:val="single" w:sz="4" w:space="0" w:color="FFFFFF"/>
              <w:bottom w:val="single" w:sz="12" w:space="0" w:color="FFFFFF"/>
              <w:right w:val="single" w:sz="4" w:space="0" w:color="FFFFFF"/>
            </w:tcBorders>
            <w:shd w:val="clear" w:color="4F81BD" w:fill="4F81BD"/>
            <w:noWrap/>
            <w:vAlign w:val="center"/>
            <w:hideMark/>
          </w:tcPr>
          <w:p w:rsidR="00FC7F0E" w:rsidRPr="00021B2F" w:rsidRDefault="00FC7F0E" w:rsidP="00FC7F0E">
            <w:pPr>
              <w:spacing w:after="0" w:line="240" w:lineRule="auto"/>
              <w:jc w:val="both"/>
              <w:rPr>
                <w:rFonts w:ascii="Verdana" w:hAnsi="Verdana"/>
                <w:color w:val="FFFFFF" w:themeColor="background1"/>
                <w:sz w:val="18"/>
                <w:szCs w:val="18"/>
              </w:rPr>
            </w:pPr>
            <w:r w:rsidRPr="00021B2F">
              <w:rPr>
                <w:rFonts w:ascii="Verdana" w:hAnsi="Verdana"/>
                <w:b/>
                <w:bCs/>
                <w:color w:val="FFFFFF" w:themeColor="background1"/>
                <w:sz w:val="18"/>
                <w:szCs w:val="18"/>
              </w:rPr>
              <w:t>Avance a 31 diciembre</w:t>
            </w:r>
          </w:p>
        </w:tc>
      </w:tr>
      <w:tr w:rsidR="00FC7F0E" w:rsidRPr="00021B2F" w:rsidTr="00FC7F0E">
        <w:trPr>
          <w:trHeight w:val="300"/>
        </w:trPr>
        <w:tc>
          <w:tcPr>
            <w:tcW w:w="1280" w:type="pct"/>
            <w:tcBorders>
              <w:top w:val="single" w:sz="4" w:space="0" w:color="FFFFFF"/>
              <w:left w:val="nil"/>
              <w:bottom w:val="single" w:sz="4" w:space="0" w:color="FFFFFF"/>
              <w:right w:val="single" w:sz="4" w:space="0" w:color="FFFFFF"/>
            </w:tcBorders>
            <w:shd w:val="clear" w:color="B8CCE4" w:fill="B8CCE4"/>
            <w:noWrap/>
            <w:vAlign w:val="center"/>
            <w:hideMark/>
          </w:tcPr>
          <w:p w:rsidR="00FC7F0E" w:rsidRPr="00021B2F" w:rsidRDefault="00FC7F0E" w:rsidP="00FC7F0E">
            <w:pPr>
              <w:spacing w:after="0" w:line="240" w:lineRule="auto"/>
              <w:jc w:val="both"/>
              <w:rPr>
                <w:rFonts w:ascii="Verdana" w:hAnsi="Verdana"/>
                <w:sz w:val="18"/>
                <w:szCs w:val="18"/>
              </w:rPr>
            </w:pPr>
            <w:r w:rsidRPr="00021B2F">
              <w:rPr>
                <w:rFonts w:ascii="Verdana" w:hAnsi="Verdana"/>
                <w:sz w:val="18"/>
                <w:szCs w:val="18"/>
              </w:rPr>
              <w:t>Indicadores misionales y operativos</w:t>
            </w:r>
          </w:p>
        </w:tc>
        <w:tc>
          <w:tcPr>
            <w:tcW w:w="640" w:type="pct"/>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7F0E" w:rsidRPr="00021B2F" w:rsidRDefault="00FC7F0E" w:rsidP="00FC7F0E">
            <w:pPr>
              <w:spacing w:after="0" w:line="240" w:lineRule="auto"/>
              <w:jc w:val="center"/>
              <w:rPr>
                <w:rFonts w:ascii="Verdana" w:hAnsi="Verdana"/>
                <w:sz w:val="18"/>
                <w:szCs w:val="18"/>
              </w:rPr>
            </w:pPr>
            <w:r w:rsidRPr="00021B2F">
              <w:rPr>
                <w:rFonts w:ascii="Verdana" w:hAnsi="Verdana"/>
                <w:sz w:val="18"/>
                <w:szCs w:val="18"/>
              </w:rPr>
              <w:t>68</w:t>
            </w:r>
          </w:p>
        </w:tc>
        <w:tc>
          <w:tcPr>
            <w:tcW w:w="783" w:type="pct"/>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7F0E" w:rsidRPr="00021B2F" w:rsidRDefault="00FC7F0E" w:rsidP="00FC7F0E">
            <w:pPr>
              <w:spacing w:after="0" w:line="240" w:lineRule="auto"/>
              <w:jc w:val="center"/>
              <w:rPr>
                <w:rFonts w:ascii="Verdana" w:hAnsi="Verdana"/>
                <w:sz w:val="18"/>
                <w:szCs w:val="18"/>
              </w:rPr>
            </w:pPr>
            <w:r w:rsidRPr="00021B2F">
              <w:rPr>
                <w:rFonts w:ascii="Verdana" w:hAnsi="Verdana"/>
                <w:sz w:val="18"/>
                <w:szCs w:val="18"/>
              </w:rPr>
              <w:t>37%</w:t>
            </w:r>
          </w:p>
        </w:tc>
        <w:tc>
          <w:tcPr>
            <w:tcW w:w="710" w:type="pct"/>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7F0E" w:rsidRPr="00021B2F" w:rsidRDefault="00FC7F0E" w:rsidP="00FC7F0E">
            <w:pPr>
              <w:spacing w:after="0" w:line="240" w:lineRule="auto"/>
              <w:jc w:val="center"/>
              <w:rPr>
                <w:rFonts w:ascii="Verdana" w:hAnsi="Verdana"/>
                <w:sz w:val="18"/>
                <w:szCs w:val="18"/>
              </w:rPr>
            </w:pPr>
            <w:r w:rsidRPr="00021B2F">
              <w:rPr>
                <w:rFonts w:ascii="Verdana" w:hAnsi="Verdana"/>
                <w:sz w:val="18"/>
                <w:szCs w:val="18"/>
              </w:rPr>
              <w:t>61%</w:t>
            </w:r>
          </w:p>
        </w:tc>
        <w:tc>
          <w:tcPr>
            <w:tcW w:w="783" w:type="pct"/>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7F0E" w:rsidRPr="00021B2F" w:rsidRDefault="00FC7F0E" w:rsidP="00FC7F0E">
            <w:pPr>
              <w:spacing w:after="0" w:line="240" w:lineRule="auto"/>
              <w:jc w:val="center"/>
              <w:rPr>
                <w:rFonts w:ascii="Verdana" w:hAnsi="Verdana"/>
                <w:sz w:val="18"/>
                <w:szCs w:val="18"/>
              </w:rPr>
            </w:pPr>
            <w:r w:rsidRPr="00021B2F">
              <w:rPr>
                <w:rFonts w:ascii="Verdana" w:hAnsi="Verdana"/>
                <w:sz w:val="18"/>
                <w:szCs w:val="18"/>
              </w:rPr>
              <w:t>78%</w:t>
            </w:r>
          </w:p>
        </w:tc>
        <w:tc>
          <w:tcPr>
            <w:tcW w:w="804" w:type="pct"/>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7F0E" w:rsidRPr="00021B2F" w:rsidRDefault="00FC7F0E" w:rsidP="00FC7F0E">
            <w:pPr>
              <w:spacing w:after="0" w:line="240" w:lineRule="auto"/>
              <w:jc w:val="center"/>
              <w:rPr>
                <w:rFonts w:ascii="Verdana" w:hAnsi="Verdana"/>
                <w:sz w:val="18"/>
                <w:szCs w:val="18"/>
              </w:rPr>
            </w:pPr>
            <w:r w:rsidRPr="00021B2F">
              <w:rPr>
                <w:rFonts w:ascii="Verdana" w:hAnsi="Verdana"/>
                <w:b/>
                <w:bCs/>
                <w:sz w:val="18"/>
                <w:szCs w:val="18"/>
              </w:rPr>
              <w:t>87%</w:t>
            </w:r>
          </w:p>
        </w:tc>
      </w:tr>
    </w:tbl>
    <w:p w:rsidR="00B81369" w:rsidRPr="00B81369" w:rsidRDefault="00B81369" w:rsidP="00B81369">
      <w:pPr>
        <w:pStyle w:val="Prrafodelista"/>
        <w:spacing w:after="0" w:line="240" w:lineRule="auto"/>
        <w:jc w:val="right"/>
        <w:rPr>
          <w:rFonts w:ascii="Verdana" w:hAnsi="Verdana"/>
          <w:b/>
          <w:szCs w:val="18"/>
        </w:rPr>
      </w:pPr>
      <w:r w:rsidRPr="00B81369">
        <w:rPr>
          <w:rFonts w:ascii="Verdana" w:hAnsi="Verdana"/>
          <w:b/>
          <w:szCs w:val="18"/>
        </w:rPr>
        <w:t>Tabla 3. Avance del Plan de Acción ANSPE 2014</w:t>
      </w:r>
    </w:p>
    <w:p w:rsidR="00FC7F0E" w:rsidRPr="00B81369" w:rsidRDefault="00FC7F0E" w:rsidP="00456C99">
      <w:pPr>
        <w:pStyle w:val="Prrafodelista"/>
        <w:spacing w:after="0" w:line="240" w:lineRule="auto"/>
        <w:jc w:val="right"/>
        <w:rPr>
          <w:rFonts w:ascii="Verdana" w:hAnsi="Verdana"/>
          <w:szCs w:val="18"/>
        </w:rPr>
      </w:pPr>
      <w:r w:rsidRPr="00B81369">
        <w:rPr>
          <w:rFonts w:ascii="Verdana" w:hAnsi="Verdana"/>
          <w:szCs w:val="18"/>
        </w:rPr>
        <w:t>Fuente: Oficina Asesora de Planeación ANSPE, según lo reportado por las áreas en sus planes de acción. Corte: 31 de diciembre 2014.</w:t>
      </w:r>
    </w:p>
    <w:p w:rsidR="00FC7F0E" w:rsidRPr="00021B2F" w:rsidRDefault="00FC7F0E" w:rsidP="00B81369">
      <w:pPr>
        <w:spacing w:after="0" w:line="240" w:lineRule="auto"/>
        <w:jc w:val="right"/>
        <w:rPr>
          <w:rFonts w:ascii="Verdana" w:hAnsi="Verdana"/>
          <w:sz w:val="24"/>
          <w:szCs w:val="24"/>
        </w:rPr>
      </w:pPr>
    </w:p>
    <w:p w:rsidR="00B81369" w:rsidRDefault="00B81369" w:rsidP="00B81369">
      <w:pPr>
        <w:spacing w:after="0" w:line="240" w:lineRule="auto"/>
        <w:jc w:val="both"/>
        <w:rPr>
          <w:rFonts w:ascii="Verdana" w:hAnsi="Verdana"/>
          <w:b/>
          <w:color w:val="0070C0"/>
          <w:sz w:val="24"/>
          <w:szCs w:val="24"/>
        </w:rPr>
      </w:pPr>
    </w:p>
    <w:p w:rsidR="00FC7F0E" w:rsidRDefault="00B81369" w:rsidP="00B81369">
      <w:pPr>
        <w:spacing w:after="0" w:line="240" w:lineRule="auto"/>
        <w:jc w:val="both"/>
        <w:rPr>
          <w:rFonts w:ascii="Verdana" w:hAnsi="Verdana"/>
          <w:b/>
          <w:color w:val="0070C0"/>
          <w:sz w:val="24"/>
          <w:szCs w:val="24"/>
        </w:rPr>
      </w:pPr>
      <w:r w:rsidRPr="00B81369">
        <w:rPr>
          <w:rFonts w:ascii="Verdana" w:hAnsi="Verdana"/>
          <w:b/>
          <w:color w:val="0070C0"/>
          <w:sz w:val="24"/>
          <w:szCs w:val="24"/>
        </w:rPr>
        <w:t>OBJETIVOS, ESTRATEGIAS, PROYECTOS, METAS, RESPONSABLES</w:t>
      </w:r>
    </w:p>
    <w:p w:rsidR="00456C99" w:rsidRPr="00B81369" w:rsidRDefault="00456C99" w:rsidP="00B81369">
      <w:pPr>
        <w:spacing w:after="0" w:line="240" w:lineRule="auto"/>
        <w:jc w:val="both"/>
        <w:rPr>
          <w:rFonts w:ascii="Verdana" w:hAnsi="Verdana"/>
          <w:b/>
          <w:color w:val="0070C0"/>
          <w:sz w:val="24"/>
          <w:szCs w:val="24"/>
        </w:rPr>
      </w:pPr>
    </w:p>
    <w:p w:rsidR="00FC7F0E" w:rsidRPr="00021B2F" w:rsidRDefault="00FC7F0E" w:rsidP="00B81369">
      <w:pPr>
        <w:spacing w:after="0" w:line="240" w:lineRule="auto"/>
        <w:jc w:val="both"/>
        <w:rPr>
          <w:rFonts w:ascii="Verdana" w:hAnsi="Verdana"/>
          <w:sz w:val="24"/>
          <w:szCs w:val="24"/>
        </w:rPr>
      </w:pPr>
      <w:r w:rsidRPr="00021B2F">
        <w:rPr>
          <w:rFonts w:ascii="Verdana" w:hAnsi="Verdana"/>
          <w:sz w:val="24"/>
          <w:szCs w:val="24"/>
        </w:rPr>
        <w:t xml:space="preserve">En 2014 la ANSPE ajustó su Mapa Estratégico como carta de navegación en el accionar de la Entidad, en el cual se definieron los objetivos estratégicos, principales metas y responsables, con el fin de cumplir con la misión y visión de la Agencia, de la siguiente forma: </w:t>
      </w:r>
    </w:p>
    <w:p w:rsidR="00FC7F0E" w:rsidRPr="00021B2F" w:rsidRDefault="00FC7F0E" w:rsidP="00FC7F0E">
      <w:pPr>
        <w:spacing w:after="0" w:line="240" w:lineRule="auto"/>
        <w:ind w:left="360"/>
        <w:jc w:val="both"/>
        <w:rPr>
          <w:rFonts w:ascii="Verdana" w:hAnsi="Verdana"/>
          <w:sz w:val="24"/>
          <w:szCs w:val="24"/>
        </w:rPr>
      </w:pPr>
    </w:p>
    <w:p w:rsidR="00FC7F0E" w:rsidRPr="00021B2F" w:rsidRDefault="00456C99" w:rsidP="00FC7F0E">
      <w:pPr>
        <w:spacing w:after="0" w:line="240" w:lineRule="auto"/>
        <w:ind w:left="720"/>
        <w:contextualSpacing/>
        <w:jc w:val="center"/>
        <w:rPr>
          <w:rFonts w:ascii="Verdana" w:hAnsi="Verdana"/>
          <w:sz w:val="24"/>
          <w:szCs w:val="24"/>
        </w:rPr>
      </w:pPr>
      <w:r>
        <w:rPr>
          <w:rFonts w:ascii="Verdana" w:hAnsi="Verdana"/>
          <w:noProof/>
          <w:sz w:val="24"/>
          <w:szCs w:val="24"/>
          <w:lang w:eastAsia="es-CO"/>
        </w:rPr>
        <w:lastRenderedPageBreak/>
        <w:drawing>
          <wp:anchor distT="0" distB="0" distL="114300" distR="114300" simplePos="0" relativeHeight="251686912" behindDoc="0" locked="0" layoutInCell="1" allowOverlap="1">
            <wp:simplePos x="0" y="0"/>
            <wp:positionH relativeFrom="column">
              <wp:posOffset>-133350</wp:posOffset>
            </wp:positionH>
            <wp:positionV relativeFrom="paragraph">
              <wp:posOffset>208280</wp:posOffset>
            </wp:positionV>
            <wp:extent cx="6770370" cy="5060950"/>
            <wp:effectExtent l="19050" t="19050" r="11430" b="25400"/>
            <wp:wrapTopAndBottom/>
            <wp:docPr id="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05"/>
                    <a:stretch/>
                  </pic:blipFill>
                  <pic:spPr bwMode="auto">
                    <a:xfrm>
                      <a:off x="0" y="0"/>
                      <a:ext cx="6770370" cy="5060950"/>
                    </a:xfrm>
                    <a:prstGeom prst="rect">
                      <a:avLst/>
                    </a:prstGeom>
                    <a:noFill/>
                    <a:ln>
                      <a:solidFill>
                        <a:sysClr val="window" lastClr="FFFFFF">
                          <a:lumMod val="50000"/>
                        </a:sysClr>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C7F0E" w:rsidRPr="00021B2F" w:rsidRDefault="00FC7F0E" w:rsidP="00FC7F0E">
      <w:pPr>
        <w:spacing w:after="0" w:line="240" w:lineRule="auto"/>
        <w:ind w:left="720"/>
        <w:contextualSpacing/>
        <w:jc w:val="center"/>
        <w:rPr>
          <w:rFonts w:ascii="Verdana" w:hAnsi="Verdana"/>
          <w:sz w:val="24"/>
          <w:szCs w:val="24"/>
        </w:rPr>
      </w:pPr>
    </w:p>
    <w:p w:rsidR="00FC7F0E" w:rsidRDefault="00FC7F0E" w:rsidP="00FC7F0E">
      <w:pPr>
        <w:spacing w:after="0" w:line="240" w:lineRule="auto"/>
        <w:ind w:left="720"/>
        <w:contextualSpacing/>
        <w:jc w:val="both"/>
        <w:rPr>
          <w:rFonts w:ascii="Verdana" w:hAnsi="Verdana"/>
          <w:sz w:val="24"/>
          <w:szCs w:val="24"/>
        </w:rPr>
      </w:pPr>
    </w:p>
    <w:p w:rsidR="00B81369" w:rsidRDefault="00B81369" w:rsidP="00FC7F0E">
      <w:pPr>
        <w:spacing w:after="0" w:line="240" w:lineRule="auto"/>
        <w:ind w:left="720"/>
        <w:contextualSpacing/>
        <w:jc w:val="both"/>
        <w:rPr>
          <w:rFonts w:ascii="Verdana" w:hAnsi="Verdana"/>
          <w:sz w:val="24"/>
          <w:szCs w:val="24"/>
        </w:rPr>
      </w:pPr>
    </w:p>
    <w:p w:rsidR="00B81369" w:rsidRDefault="00B81369" w:rsidP="00FC7F0E">
      <w:pPr>
        <w:spacing w:after="0" w:line="240" w:lineRule="auto"/>
        <w:ind w:left="720"/>
        <w:contextualSpacing/>
        <w:jc w:val="both"/>
        <w:rPr>
          <w:rFonts w:ascii="Verdana" w:hAnsi="Verdana"/>
          <w:sz w:val="24"/>
          <w:szCs w:val="24"/>
        </w:rPr>
      </w:pPr>
    </w:p>
    <w:p w:rsidR="00B81369" w:rsidRDefault="00B81369" w:rsidP="00FC7F0E">
      <w:pPr>
        <w:spacing w:after="0" w:line="240" w:lineRule="auto"/>
        <w:ind w:left="720"/>
        <w:contextualSpacing/>
        <w:jc w:val="both"/>
        <w:rPr>
          <w:rFonts w:ascii="Verdana" w:hAnsi="Verdana"/>
          <w:sz w:val="24"/>
          <w:szCs w:val="24"/>
        </w:rPr>
      </w:pPr>
    </w:p>
    <w:p w:rsidR="00B81369" w:rsidRDefault="00B81369" w:rsidP="00FC7F0E">
      <w:pPr>
        <w:spacing w:after="0" w:line="240" w:lineRule="auto"/>
        <w:ind w:left="720"/>
        <w:contextualSpacing/>
        <w:jc w:val="both"/>
        <w:rPr>
          <w:rFonts w:ascii="Verdana" w:hAnsi="Verdana"/>
          <w:sz w:val="24"/>
          <w:szCs w:val="24"/>
        </w:rPr>
      </w:pPr>
    </w:p>
    <w:p w:rsidR="00B81369" w:rsidRDefault="00B81369" w:rsidP="00FC7F0E">
      <w:pPr>
        <w:spacing w:after="0" w:line="240" w:lineRule="auto"/>
        <w:ind w:left="720"/>
        <w:contextualSpacing/>
        <w:jc w:val="both"/>
        <w:rPr>
          <w:rFonts w:ascii="Verdana" w:hAnsi="Verdana"/>
          <w:sz w:val="24"/>
          <w:szCs w:val="24"/>
        </w:rPr>
      </w:pPr>
    </w:p>
    <w:p w:rsidR="00B81369" w:rsidRDefault="00456C99" w:rsidP="00FC7F0E">
      <w:pPr>
        <w:spacing w:after="0" w:line="240" w:lineRule="auto"/>
        <w:ind w:left="720"/>
        <w:contextualSpacing/>
        <w:jc w:val="both"/>
        <w:rPr>
          <w:rFonts w:ascii="Verdana" w:hAnsi="Verdana"/>
          <w:sz w:val="24"/>
          <w:szCs w:val="24"/>
        </w:rPr>
      </w:pPr>
      <w:r>
        <w:rPr>
          <w:rFonts w:ascii="Verdana" w:hAnsi="Verdana"/>
          <w:noProof/>
          <w:sz w:val="24"/>
          <w:szCs w:val="24"/>
          <w:lang w:eastAsia="es-CO"/>
        </w:rPr>
        <w:lastRenderedPageBreak/>
        <w:drawing>
          <wp:anchor distT="0" distB="0" distL="114300" distR="114300" simplePos="0" relativeHeight="251685888" behindDoc="0" locked="0" layoutInCell="1" allowOverlap="1">
            <wp:simplePos x="0" y="0"/>
            <wp:positionH relativeFrom="column">
              <wp:posOffset>-69850</wp:posOffset>
            </wp:positionH>
            <wp:positionV relativeFrom="paragraph">
              <wp:posOffset>332105</wp:posOffset>
            </wp:positionV>
            <wp:extent cx="6328410" cy="5543550"/>
            <wp:effectExtent l="19050" t="19050" r="15240" b="19050"/>
            <wp:wrapTopAndBottom/>
            <wp:docPr id="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28410" cy="5543550"/>
                    </a:xfrm>
                    <a:prstGeom prst="rect">
                      <a:avLst/>
                    </a:prstGeom>
                    <a:noFill/>
                    <a:ln>
                      <a:solidFill>
                        <a:sysClr val="window" lastClr="FFFFFF">
                          <a:lumMod val="50000"/>
                        </a:sysClr>
                      </a:solidFill>
                    </a:ln>
                  </pic:spPr>
                </pic:pic>
              </a:graphicData>
            </a:graphic>
          </wp:anchor>
        </w:drawing>
      </w:r>
    </w:p>
    <w:p w:rsidR="00B81369" w:rsidRDefault="00B81369" w:rsidP="00FC7F0E">
      <w:pPr>
        <w:spacing w:after="0" w:line="240" w:lineRule="auto"/>
        <w:ind w:left="720"/>
        <w:contextualSpacing/>
        <w:jc w:val="both"/>
        <w:rPr>
          <w:rFonts w:ascii="Verdana" w:hAnsi="Verdana"/>
          <w:sz w:val="24"/>
          <w:szCs w:val="24"/>
        </w:rPr>
      </w:pPr>
    </w:p>
    <w:p w:rsidR="00B81369" w:rsidRDefault="00B81369" w:rsidP="00FC7F0E">
      <w:pPr>
        <w:spacing w:after="0" w:line="240" w:lineRule="auto"/>
        <w:ind w:left="720"/>
        <w:contextualSpacing/>
        <w:jc w:val="both"/>
        <w:rPr>
          <w:rFonts w:ascii="Verdana" w:hAnsi="Verdana"/>
          <w:sz w:val="24"/>
          <w:szCs w:val="24"/>
        </w:rPr>
      </w:pPr>
    </w:p>
    <w:p w:rsidR="00252FE2" w:rsidRDefault="00252FE2" w:rsidP="00FC7F0E">
      <w:pPr>
        <w:spacing w:after="0" w:line="240" w:lineRule="auto"/>
        <w:ind w:left="720"/>
        <w:contextualSpacing/>
        <w:jc w:val="both"/>
        <w:rPr>
          <w:rFonts w:ascii="Verdana" w:hAnsi="Verdana"/>
          <w:sz w:val="24"/>
          <w:szCs w:val="24"/>
        </w:rPr>
      </w:pPr>
    </w:p>
    <w:p w:rsidR="00252FE2" w:rsidRDefault="00252FE2" w:rsidP="00FC7F0E">
      <w:pPr>
        <w:spacing w:after="0" w:line="240" w:lineRule="auto"/>
        <w:ind w:left="720"/>
        <w:contextualSpacing/>
        <w:jc w:val="both"/>
        <w:rPr>
          <w:rFonts w:ascii="Verdana" w:hAnsi="Verdana"/>
          <w:sz w:val="24"/>
          <w:szCs w:val="24"/>
        </w:rPr>
      </w:pPr>
    </w:p>
    <w:p w:rsidR="00B81369" w:rsidRDefault="00B81369" w:rsidP="00FC7F0E">
      <w:pPr>
        <w:spacing w:after="0" w:line="240" w:lineRule="auto"/>
        <w:ind w:left="720"/>
        <w:contextualSpacing/>
        <w:jc w:val="both"/>
        <w:rPr>
          <w:rFonts w:ascii="Verdana" w:hAnsi="Verdana"/>
          <w:sz w:val="24"/>
          <w:szCs w:val="24"/>
        </w:rPr>
      </w:pPr>
    </w:p>
    <w:p w:rsidR="00B81369" w:rsidRDefault="00B81369" w:rsidP="00FC7F0E">
      <w:pPr>
        <w:spacing w:after="0" w:line="240" w:lineRule="auto"/>
        <w:ind w:left="720"/>
        <w:contextualSpacing/>
        <w:jc w:val="both"/>
        <w:rPr>
          <w:rFonts w:ascii="Verdana" w:hAnsi="Verdana"/>
          <w:sz w:val="24"/>
          <w:szCs w:val="24"/>
        </w:rPr>
      </w:pPr>
    </w:p>
    <w:p w:rsidR="00B81369" w:rsidRDefault="00B81369" w:rsidP="00456C99">
      <w:pPr>
        <w:pStyle w:val="Prrafodelista"/>
        <w:spacing w:after="0" w:line="240" w:lineRule="auto"/>
        <w:jc w:val="both"/>
        <w:rPr>
          <w:rFonts w:ascii="Verdana" w:hAnsi="Verdana"/>
          <w:sz w:val="24"/>
          <w:szCs w:val="24"/>
        </w:rPr>
      </w:pPr>
    </w:p>
    <w:p w:rsidR="00FC7F0E" w:rsidRPr="00252FE2" w:rsidRDefault="00252FE2" w:rsidP="00456C99">
      <w:pPr>
        <w:spacing w:after="0" w:line="240" w:lineRule="auto"/>
        <w:jc w:val="both"/>
        <w:rPr>
          <w:rFonts w:ascii="Verdana" w:hAnsi="Verdana"/>
          <w:b/>
          <w:color w:val="548DD4" w:themeColor="text2" w:themeTint="99"/>
          <w:sz w:val="24"/>
          <w:szCs w:val="24"/>
        </w:rPr>
      </w:pPr>
      <w:r w:rsidRPr="00252FE2">
        <w:rPr>
          <w:rFonts w:ascii="Verdana" w:hAnsi="Verdana"/>
          <w:b/>
          <w:color w:val="548DD4" w:themeColor="text2" w:themeTint="99"/>
          <w:sz w:val="24"/>
          <w:szCs w:val="24"/>
        </w:rPr>
        <w:lastRenderedPageBreak/>
        <w:t>PLAN GENERAL DE COMPRAS</w:t>
      </w:r>
    </w:p>
    <w:p w:rsidR="00252FE2" w:rsidRPr="00AA0FE4" w:rsidRDefault="00252FE2" w:rsidP="00456C99">
      <w:pPr>
        <w:spacing w:after="0" w:line="240" w:lineRule="auto"/>
        <w:jc w:val="both"/>
        <w:rPr>
          <w:rFonts w:ascii="Verdana" w:hAnsi="Verdana"/>
          <w:b/>
          <w:color w:val="548DD4" w:themeColor="text2" w:themeTint="99"/>
          <w:sz w:val="28"/>
          <w:szCs w:val="24"/>
          <w:u w:val="single"/>
        </w:rPr>
      </w:pPr>
    </w:p>
    <w:p w:rsidR="00FC7F0E" w:rsidRPr="000839F6" w:rsidRDefault="00FC7F0E" w:rsidP="00FC7F0E">
      <w:pPr>
        <w:pStyle w:val="Prrafodelista"/>
        <w:spacing w:after="0" w:line="240" w:lineRule="auto"/>
        <w:jc w:val="both"/>
        <w:rPr>
          <w:rFonts w:ascii="Verdana" w:hAnsi="Verdana"/>
          <w:sz w:val="24"/>
          <w:szCs w:val="24"/>
        </w:rPr>
      </w:pPr>
    </w:p>
    <w:p w:rsidR="00FC7F0E" w:rsidRPr="00021B2F" w:rsidRDefault="00FC7F0E" w:rsidP="00FC7F0E">
      <w:pPr>
        <w:spacing w:after="160" w:line="252" w:lineRule="auto"/>
        <w:jc w:val="both"/>
        <w:rPr>
          <w:rFonts w:ascii="Verdana" w:hAnsi="Verdana" w:cs="Arial"/>
          <w:vanish/>
          <w:sz w:val="24"/>
          <w:szCs w:val="24"/>
          <w:specVanish/>
        </w:rPr>
      </w:pPr>
      <w:r w:rsidRPr="00021B2F">
        <w:rPr>
          <w:rFonts w:ascii="Verdana" w:hAnsi="Verdana" w:cs="Arial"/>
          <w:sz w:val="24"/>
          <w:szCs w:val="24"/>
        </w:rPr>
        <w:t xml:space="preserve">Conforme a la Ley 1712 de 2014 se publicó con plazo al 31 de Enero de 2014 el Plan Anual de Adquisiciones-PAA en la página web de la entidad. Este también se publicó en la página del Sistema Electrónico de Contratación Pública SECOP, con base en los lineamientos definidos en la Guía para la elaboración de PAA Colombia Compra Eficiente. </w:t>
      </w:r>
    </w:p>
    <w:p w:rsidR="00FC7F0E" w:rsidRPr="00021B2F" w:rsidRDefault="00FC7F0E" w:rsidP="00FC7F0E">
      <w:pPr>
        <w:spacing w:after="160" w:line="252" w:lineRule="auto"/>
        <w:jc w:val="both"/>
        <w:rPr>
          <w:rFonts w:ascii="Verdana" w:hAnsi="Verdana"/>
          <w:sz w:val="24"/>
          <w:szCs w:val="24"/>
        </w:rPr>
      </w:pPr>
      <w:r w:rsidRPr="00021B2F">
        <w:rPr>
          <w:rFonts w:ascii="Verdana" w:hAnsi="Verdana" w:cs="Arial"/>
          <w:sz w:val="24"/>
          <w:szCs w:val="24"/>
        </w:rPr>
        <w:t xml:space="preserve"> Se designó desde la OAP un funcionario encargado para el seguimiento del PAA, quien es el responsable de hacer el seguimiento mensual para su actualización y ajustes, dependiendo de las necesidades de las diferentes áreas de la Entidad. </w:t>
      </w:r>
    </w:p>
    <w:p w:rsidR="00FC7F0E" w:rsidRPr="00021B2F" w:rsidRDefault="00FC7F0E" w:rsidP="00FC7F0E">
      <w:pPr>
        <w:pStyle w:val="Prrafodelista"/>
        <w:spacing w:after="0" w:line="240" w:lineRule="auto"/>
        <w:jc w:val="center"/>
        <w:rPr>
          <w:rFonts w:ascii="Verdana" w:hAnsi="Verdana"/>
          <w:sz w:val="24"/>
          <w:szCs w:val="24"/>
          <w:highlight w:val="yellow"/>
        </w:rPr>
      </w:pPr>
    </w:p>
    <w:p w:rsidR="00FC7F0E" w:rsidRDefault="00456C99" w:rsidP="00FC7F0E">
      <w:pPr>
        <w:pStyle w:val="Prrafodelista"/>
        <w:spacing w:after="0" w:line="240" w:lineRule="auto"/>
        <w:jc w:val="both"/>
        <w:rPr>
          <w:rFonts w:ascii="Verdana" w:hAnsi="Verdana"/>
          <w:sz w:val="24"/>
          <w:szCs w:val="24"/>
          <w:highlight w:val="yellow"/>
        </w:rPr>
      </w:pPr>
      <w:r w:rsidRPr="00021B2F">
        <w:rPr>
          <w:rFonts w:ascii="Verdana" w:hAnsi="Verdana"/>
          <w:noProof/>
          <w:sz w:val="24"/>
          <w:szCs w:val="24"/>
          <w:lang w:eastAsia="es-CO"/>
        </w:rPr>
        <w:drawing>
          <wp:inline distT="0" distB="0" distL="0" distR="0">
            <wp:extent cx="5618480" cy="2914650"/>
            <wp:effectExtent l="19050" t="0" r="20320" b="0"/>
            <wp:docPr id="5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56C99" w:rsidRDefault="00456C99" w:rsidP="00FC7F0E">
      <w:pPr>
        <w:pStyle w:val="Prrafodelista"/>
        <w:spacing w:after="0" w:line="240" w:lineRule="auto"/>
        <w:jc w:val="both"/>
        <w:rPr>
          <w:rFonts w:ascii="Verdana" w:hAnsi="Verdana"/>
          <w:sz w:val="24"/>
          <w:szCs w:val="24"/>
          <w:highlight w:val="yellow"/>
        </w:rPr>
      </w:pPr>
    </w:p>
    <w:p w:rsidR="00456C99" w:rsidRDefault="00456C99" w:rsidP="00FC7F0E">
      <w:pPr>
        <w:pStyle w:val="Prrafodelista"/>
        <w:spacing w:after="0" w:line="240" w:lineRule="auto"/>
        <w:jc w:val="both"/>
        <w:rPr>
          <w:rFonts w:ascii="Verdana" w:hAnsi="Verdana"/>
          <w:sz w:val="24"/>
          <w:szCs w:val="24"/>
          <w:highlight w:val="yellow"/>
        </w:rPr>
      </w:pPr>
    </w:p>
    <w:p w:rsidR="00456C99" w:rsidRDefault="00456C99" w:rsidP="00FC7F0E">
      <w:pPr>
        <w:pStyle w:val="Prrafodelista"/>
        <w:spacing w:after="0" w:line="240" w:lineRule="auto"/>
        <w:jc w:val="both"/>
        <w:rPr>
          <w:rFonts w:ascii="Verdana" w:hAnsi="Verdana"/>
          <w:sz w:val="24"/>
          <w:szCs w:val="24"/>
          <w:highlight w:val="yellow"/>
        </w:rPr>
      </w:pPr>
    </w:p>
    <w:p w:rsidR="00252FE2" w:rsidRPr="00021B2F" w:rsidRDefault="00252FE2" w:rsidP="00FC7F0E">
      <w:pPr>
        <w:pStyle w:val="Prrafodelista"/>
        <w:spacing w:after="0" w:line="240" w:lineRule="auto"/>
        <w:jc w:val="both"/>
        <w:rPr>
          <w:rFonts w:ascii="Verdana" w:hAnsi="Verdana"/>
          <w:sz w:val="24"/>
          <w:szCs w:val="24"/>
          <w:highlight w:val="yellow"/>
        </w:rPr>
      </w:pPr>
    </w:p>
    <w:p w:rsidR="00FC7F0E" w:rsidRPr="00021B2F" w:rsidRDefault="00FC7F0E" w:rsidP="00FF784D">
      <w:pPr>
        <w:pStyle w:val="Prrafodelista"/>
        <w:numPr>
          <w:ilvl w:val="0"/>
          <w:numId w:val="44"/>
        </w:numPr>
        <w:spacing w:after="0" w:line="240" w:lineRule="auto"/>
        <w:jc w:val="both"/>
        <w:rPr>
          <w:rFonts w:ascii="Verdana" w:hAnsi="Verdana"/>
          <w:sz w:val="24"/>
          <w:szCs w:val="24"/>
        </w:rPr>
      </w:pPr>
      <w:r w:rsidRPr="00021B2F">
        <w:rPr>
          <w:rFonts w:ascii="Verdana" w:hAnsi="Verdana"/>
          <w:sz w:val="24"/>
          <w:szCs w:val="24"/>
        </w:rPr>
        <w:t>Distribución presupuestal de sus proyectos de inversión: proyectos y programas en ejecución  a la fecha y los proyectos y programas a ejecutar por la entidad durante el resto de la vigencia.</w:t>
      </w:r>
    </w:p>
    <w:p w:rsidR="00FC7F0E" w:rsidRDefault="00FC7F0E" w:rsidP="00FC7F0E">
      <w:pPr>
        <w:spacing w:after="0" w:line="240" w:lineRule="auto"/>
        <w:jc w:val="both"/>
        <w:rPr>
          <w:rFonts w:ascii="Verdana" w:hAnsi="Verdana"/>
          <w:sz w:val="24"/>
          <w:szCs w:val="24"/>
        </w:rPr>
      </w:pPr>
    </w:p>
    <w:p w:rsidR="00456C99" w:rsidRDefault="00456C99" w:rsidP="00FC7F0E">
      <w:pPr>
        <w:spacing w:after="0" w:line="240" w:lineRule="auto"/>
        <w:jc w:val="both"/>
        <w:rPr>
          <w:rFonts w:ascii="Verdana" w:hAnsi="Verdana"/>
          <w:sz w:val="24"/>
          <w:szCs w:val="24"/>
        </w:rPr>
      </w:pPr>
    </w:p>
    <w:p w:rsidR="00456C99" w:rsidRPr="00021B2F" w:rsidRDefault="00456C99" w:rsidP="00FC7F0E">
      <w:pPr>
        <w:spacing w:after="0" w:line="240" w:lineRule="auto"/>
        <w:jc w:val="both"/>
        <w:rPr>
          <w:rFonts w:ascii="Verdana" w:hAnsi="Verdana"/>
          <w:sz w:val="24"/>
          <w:szCs w:val="24"/>
        </w:rPr>
      </w:pPr>
    </w:p>
    <w:p w:rsidR="00456C99" w:rsidRDefault="00456C99" w:rsidP="00FC7F0E">
      <w:pPr>
        <w:spacing w:after="0" w:line="240" w:lineRule="auto"/>
        <w:jc w:val="center"/>
        <w:rPr>
          <w:rFonts w:ascii="Verdana" w:hAnsi="Verdana"/>
          <w:b/>
          <w:sz w:val="18"/>
          <w:szCs w:val="18"/>
        </w:rPr>
      </w:pPr>
    </w:p>
    <w:tbl>
      <w:tblPr>
        <w:tblW w:w="9972" w:type="dxa"/>
        <w:jc w:val="center"/>
        <w:tblCellMar>
          <w:left w:w="70" w:type="dxa"/>
          <w:right w:w="70" w:type="dxa"/>
        </w:tblCellMar>
        <w:tblLook w:val="04A0"/>
      </w:tblPr>
      <w:tblGrid>
        <w:gridCol w:w="2414"/>
        <w:gridCol w:w="1346"/>
        <w:gridCol w:w="1627"/>
        <w:gridCol w:w="1363"/>
        <w:gridCol w:w="1295"/>
        <w:gridCol w:w="1039"/>
        <w:gridCol w:w="888"/>
      </w:tblGrid>
      <w:tr w:rsidR="00FC7F0E" w:rsidRPr="00021B2F" w:rsidTr="00456C99">
        <w:trPr>
          <w:trHeight w:val="261"/>
          <w:jc w:val="center"/>
        </w:trPr>
        <w:tc>
          <w:tcPr>
            <w:tcW w:w="2414" w:type="dxa"/>
            <w:tcBorders>
              <w:top w:val="nil"/>
              <w:left w:val="nil"/>
              <w:bottom w:val="single" w:sz="12" w:space="0" w:color="FFFFFF"/>
              <w:right w:val="single" w:sz="4" w:space="0" w:color="FFFFFF"/>
            </w:tcBorders>
            <w:shd w:val="clear" w:color="4F81BD" w:fill="4F81BD"/>
            <w:vAlign w:val="bottom"/>
            <w:hideMark/>
          </w:tcPr>
          <w:p w:rsidR="00FC7F0E" w:rsidRPr="006D5E18" w:rsidRDefault="00FC7F0E" w:rsidP="00FC7F0E">
            <w:pPr>
              <w:spacing w:after="0" w:line="240" w:lineRule="auto"/>
              <w:jc w:val="center"/>
              <w:rPr>
                <w:rFonts w:ascii="Verdana" w:eastAsia="Times New Roman" w:hAnsi="Verdana" w:cs="Times New Roman"/>
                <w:b/>
                <w:bCs/>
                <w:color w:val="FFFFFF"/>
                <w:sz w:val="18"/>
                <w:szCs w:val="18"/>
                <w:lang w:eastAsia="es-CO"/>
              </w:rPr>
            </w:pPr>
            <w:r w:rsidRPr="006D5E18">
              <w:rPr>
                <w:rFonts w:ascii="Verdana" w:eastAsia="Times New Roman" w:hAnsi="Verdana" w:cs="Times New Roman"/>
                <w:b/>
                <w:bCs/>
                <w:color w:val="FFFFFF"/>
                <w:sz w:val="18"/>
                <w:szCs w:val="18"/>
                <w:lang w:eastAsia="es-CO"/>
              </w:rPr>
              <w:lastRenderedPageBreak/>
              <w:t>Rubro</w:t>
            </w:r>
          </w:p>
        </w:tc>
        <w:tc>
          <w:tcPr>
            <w:tcW w:w="1346" w:type="dxa"/>
            <w:tcBorders>
              <w:top w:val="nil"/>
              <w:left w:val="single" w:sz="4" w:space="0" w:color="FFFFFF"/>
              <w:bottom w:val="single" w:sz="12" w:space="0" w:color="FFFFFF"/>
              <w:right w:val="single" w:sz="4" w:space="0" w:color="FFFFFF"/>
            </w:tcBorders>
            <w:shd w:val="clear" w:color="4F81BD" w:fill="4F81BD"/>
            <w:noWrap/>
            <w:vAlign w:val="bottom"/>
            <w:hideMark/>
          </w:tcPr>
          <w:p w:rsidR="00FC7F0E" w:rsidRPr="006D5E18" w:rsidRDefault="00FC7F0E" w:rsidP="00FC7F0E">
            <w:pPr>
              <w:spacing w:after="0" w:line="240" w:lineRule="auto"/>
              <w:jc w:val="center"/>
              <w:rPr>
                <w:rFonts w:ascii="Verdana" w:eastAsia="Times New Roman" w:hAnsi="Verdana" w:cs="Times New Roman"/>
                <w:b/>
                <w:bCs/>
                <w:color w:val="FFFFFF"/>
                <w:sz w:val="18"/>
                <w:szCs w:val="18"/>
                <w:lang w:eastAsia="es-CO"/>
              </w:rPr>
            </w:pPr>
            <w:r w:rsidRPr="006D5E18">
              <w:rPr>
                <w:rFonts w:ascii="Verdana" w:eastAsia="Times New Roman" w:hAnsi="Verdana" w:cs="Times New Roman"/>
                <w:b/>
                <w:bCs/>
                <w:color w:val="FFFFFF"/>
                <w:sz w:val="18"/>
                <w:szCs w:val="18"/>
                <w:lang w:eastAsia="es-CO"/>
              </w:rPr>
              <w:t>Apropiación Vigente</w:t>
            </w:r>
          </w:p>
        </w:tc>
        <w:tc>
          <w:tcPr>
            <w:tcW w:w="1627" w:type="dxa"/>
            <w:tcBorders>
              <w:top w:val="nil"/>
              <w:left w:val="single" w:sz="4" w:space="0" w:color="FFFFFF"/>
              <w:bottom w:val="single" w:sz="12" w:space="0" w:color="FFFFFF"/>
              <w:right w:val="single" w:sz="4" w:space="0" w:color="FFFFFF"/>
            </w:tcBorders>
            <w:shd w:val="clear" w:color="4F81BD" w:fill="4F81BD"/>
            <w:noWrap/>
            <w:vAlign w:val="bottom"/>
            <w:hideMark/>
          </w:tcPr>
          <w:p w:rsidR="00FC7F0E" w:rsidRPr="006D5E18" w:rsidRDefault="00FC7F0E" w:rsidP="00FC7F0E">
            <w:pPr>
              <w:spacing w:after="0" w:line="240" w:lineRule="auto"/>
              <w:jc w:val="center"/>
              <w:rPr>
                <w:rFonts w:ascii="Verdana" w:eastAsia="Times New Roman" w:hAnsi="Verdana" w:cs="Times New Roman"/>
                <w:b/>
                <w:bCs/>
                <w:color w:val="FFFFFF"/>
                <w:sz w:val="18"/>
                <w:szCs w:val="18"/>
                <w:lang w:eastAsia="es-CO"/>
              </w:rPr>
            </w:pPr>
            <w:r w:rsidRPr="006D5E18">
              <w:rPr>
                <w:rFonts w:ascii="Verdana" w:eastAsia="Times New Roman" w:hAnsi="Verdana" w:cs="Times New Roman"/>
                <w:b/>
                <w:bCs/>
                <w:color w:val="FFFFFF"/>
                <w:sz w:val="18"/>
                <w:szCs w:val="18"/>
                <w:lang w:eastAsia="es-CO"/>
              </w:rPr>
              <w:t>V</w:t>
            </w:r>
            <w:r w:rsidRPr="00021B2F">
              <w:rPr>
                <w:rFonts w:ascii="Verdana" w:eastAsia="Times New Roman" w:hAnsi="Verdana" w:cs="Times New Roman"/>
                <w:b/>
                <w:bCs/>
                <w:color w:val="FFFFFF"/>
                <w:sz w:val="18"/>
                <w:szCs w:val="18"/>
                <w:lang w:eastAsia="es-CO"/>
              </w:rPr>
              <w:t>a</w:t>
            </w:r>
            <w:r w:rsidRPr="006D5E18">
              <w:rPr>
                <w:rFonts w:ascii="Verdana" w:eastAsia="Times New Roman" w:hAnsi="Verdana" w:cs="Times New Roman"/>
                <w:b/>
                <w:bCs/>
                <w:color w:val="FFFFFF"/>
                <w:sz w:val="18"/>
                <w:szCs w:val="18"/>
                <w:lang w:eastAsia="es-CO"/>
              </w:rPr>
              <w:t>l</w:t>
            </w:r>
            <w:r w:rsidRPr="00021B2F">
              <w:rPr>
                <w:rFonts w:ascii="Verdana" w:eastAsia="Times New Roman" w:hAnsi="Verdana" w:cs="Times New Roman"/>
                <w:b/>
                <w:bCs/>
                <w:color w:val="FFFFFF"/>
                <w:sz w:val="18"/>
                <w:szCs w:val="18"/>
                <w:lang w:eastAsia="es-CO"/>
              </w:rPr>
              <w:t>or</w:t>
            </w:r>
            <w:r w:rsidRPr="006D5E18">
              <w:rPr>
                <w:rFonts w:ascii="Verdana" w:eastAsia="Times New Roman" w:hAnsi="Verdana" w:cs="Times New Roman"/>
                <w:b/>
                <w:bCs/>
                <w:color w:val="FFFFFF"/>
                <w:sz w:val="18"/>
                <w:szCs w:val="18"/>
                <w:lang w:eastAsia="es-CO"/>
              </w:rPr>
              <w:t xml:space="preserve"> Comprometido</w:t>
            </w:r>
          </w:p>
        </w:tc>
        <w:tc>
          <w:tcPr>
            <w:tcW w:w="1363" w:type="dxa"/>
            <w:tcBorders>
              <w:top w:val="nil"/>
              <w:left w:val="single" w:sz="4" w:space="0" w:color="FFFFFF"/>
              <w:bottom w:val="single" w:sz="12" w:space="0" w:color="FFFFFF"/>
              <w:right w:val="single" w:sz="4" w:space="0" w:color="FFFFFF"/>
            </w:tcBorders>
            <w:shd w:val="clear" w:color="4F81BD" w:fill="4F81BD"/>
            <w:noWrap/>
            <w:vAlign w:val="bottom"/>
            <w:hideMark/>
          </w:tcPr>
          <w:p w:rsidR="00FC7F0E" w:rsidRPr="006D5E18" w:rsidRDefault="00FC7F0E" w:rsidP="00FC7F0E">
            <w:pPr>
              <w:spacing w:after="0" w:line="240" w:lineRule="auto"/>
              <w:jc w:val="center"/>
              <w:rPr>
                <w:rFonts w:ascii="Verdana" w:eastAsia="Times New Roman" w:hAnsi="Verdana" w:cs="Times New Roman"/>
                <w:b/>
                <w:bCs/>
                <w:color w:val="FFFFFF"/>
                <w:sz w:val="18"/>
                <w:szCs w:val="18"/>
                <w:lang w:eastAsia="es-CO"/>
              </w:rPr>
            </w:pPr>
            <w:r w:rsidRPr="006D5E18">
              <w:rPr>
                <w:rFonts w:ascii="Verdana" w:eastAsia="Times New Roman" w:hAnsi="Verdana" w:cs="Times New Roman"/>
                <w:b/>
                <w:bCs/>
                <w:color w:val="FFFFFF"/>
                <w:sz w:val="18"/>
                <w:szCs w:val="18"/>
                <w:lang w:eastAsia="es-CO"/>
              </w:rPr>
              <w:t>V</w:t>
            </w:r>
            <w:r w:rsidRPr="00021B2F">
              <w:rPr>
                <w:rFonts w:ascii="Verdana" w:eastAsia="Times New Roman" w:hAnsi="Verdana" w:cs="Times New Roman"/>
                <w:b/>
                <w:bCs/>
                <w:color w:val="FFFFFF"/>
                <w:sz w:val="18"/>
                <w:szCs w:val="18"/>
                <w:lang w:eastAsia="es-CO"/>
              </w:rPr>
              <w:t>a</w:t>
            </w:r>
            <w:r w:rsidRPr="006D5E18">
              <w:rPr>
                <w:rFonts w:ascii="Verdana" w:eastAsia="Times New Roman" w:hAnsi="Verdana" w:cs="Times New Roman"/>
                <w:b/>
                <w:bCs/>
                <w:color w:val="FFFFFF"/>
                <w:sz w:val="18"/>
                <w:szCs w:val="18"/>
                <w:lang w:eastAsia="es-CO"/>
              </w:rPr>
              <w:t>l</w:t>
            </w:r>
            <w:r w:rsidRPr="00021B2F">
              <w:rPr>
                <w:rFonts w:ascii="Verdana" w:eastAsia="Times New Roman" w:hAnsi="Verdana" w:cs="Times New Roman"/>
                <w:b/>
                <w:bCs/>
                <w:color w:val="FFFFFF"/>
                <w:sz w:val="18"/>
                <w:szCs w:val="18"/>
                <w:lang w:eastAsia="es-CO"/>
              </w:rPr>
              <w:t>or</w:t>
            </w:r>
            <w:r w:rsidRPr="006D5E18">
              <w:rPr>
                <w:rFonts w:ascii="Verdana" w:eastAsia="Times New Roman" w:hAnsi="Verdana" w:cs="Times New Roman"/>
                <w:b/>
                <w:bCs/>
                <w:color w:val="FFFFFF"/>
                <w:sz w:val="18"/>
                <w:szCs w:val="18"/>
                <w:lang w:eastAsia="es-CO"/>
              </w:rPr>
              <w:t xml:space="preserve"> Obligado</w:t>
            </w:r>
          </w:p>
        </w:tc>
        <w:tc>
          <w:tcPr>
            <w:tcW w:w="1295" w:type="dxa"/>
            <w:tcBorders>
              <w:top w:val="nil"/>
              <w:left w:val="single" w:sz="4" w:space="0" w:color="FFFFFF"/>
              <w:bottom w:val="single" w:sz="12" w:space="0" w:color="FFFFFF"/>
              <w:right w:val="single" w:sz="4" w:space="0" w:color="FFFFFF"/>
            </w:tcBorders>
            <w:shd w:val="clear" w:color="4F81BD" w:fill="4F81BD"/>
            <w:noWrap/>
            <w:vAlign w:val="bottom"/>
            <w:hideMark/>
          </w:tcPr>
          <w:p w:rsidR="00FC7F0E" w:rsidRPr="006D5E18" w:rsidRDefault="00FC7F0E" w:rsidP="00FC7F0E">
            <w:pPr>
              <w:spacing w:after="0" w:line="240" w:lineRule="auto"/>
              <w:jc w:val="center"/>
              <w:rPr>
                <w:rFonts w:ascii="Verdana" w:eastAsia="Times New Roman" w:hAnsi="Verdana" w:cs="Times New Roman"/>
                <w:b/>
                <w:bCs/>
                <w:color w:val="FFFFFF"/>
                <w:sz w:val="18"/>
                <w:szCs w:val="18"/>
                <w:lang w:eastAsia="es-CO"/>
              </w:rPr>
            </w:pPr>
            <w:r w:rsidRPr="006D5E18">
              <w:rPr>
                <w:rFonts w:ascii="Verdana" w:eastAsia="Times New Roman" w:hAnsi="Verdana" w:cs="Times New Roman"/>
                <w:b/>
                <w:bCs/>
                <w:color w:val="FFFFFF"/>
                <w:sz w:val="18"/>
                <w:szCs w:val="18"/>
                <w:lang w:eastAsia="es-CO"/>
              </w:rPr>
              <w:t>V</w:t>
            </w:r>
            <w:r w:rsidRPr="00021B2F">
              <w:rPr>
                <w:rFonts w:ascii="Verdana" w:eastAsia="Times New Roman" w:hAnsi="Verdana" w:cs="Times New Roman"/>
                <w:b/>
                <w:bCs/>
                <w:color w:val="FFFFFF"/>
                <w:sz w:val="18"/>
                <w:szCs w:val="18"/>
                <w:lang w:eastAsia="es-CO"/>
              </w:rPr>
              <w:t>a</w:t>
            </w:r>
            <w:r w:rsidRPr="006D5E18">
              <w:rPr>
                <w:rFonts w:ascii="Verdana" w:eastAsia="Times New Roman" w:hAnsi="Verdana" w:cs="Times New Roman"/>
                <w:b/>
                <w:bCs/>
                <w:color w:val="FFFFFF"/>
                <w:sz w:val="18"/>
                <w:szCs w:val="18"/>
                <w:lang w:eastAsia="es-CO"/>
              </w:rPr>
              <w:t>l</w:t>
            </w:r>
            <w:r w:rsidRPr="00021B2F">
              <w:rPr>
                <w:rFonts w:ascii="Verdana" w:eastAsia="Times New Roman" w:hAnsi="Verdana" w:cs="Times New Roman"/>
                <w:b/>
                <w:bCs/>
                <w:color w:val="FFFFFF"/>
                <w:sz w:val="18"/>
                <w:szCs w:val="18"/>
                <w:lang w:eastAsia="es-CO"/>
              </w:rPr>
              <w:t>or</w:t>
            </w:r>
            <w:r w:rsidRPr="006D5E18">
              <w:rPr>
                <w:rFonts w:ascii="Verdana" w:eastAsia="Times New Roman" w:hAnsi="Verdana" w:cs="Times New Roman"/>
                <w:b/>
                <w:bCs/>
                <w:color w:val="FFFFFF"/>
                <w:sz w:val="18"/>
                <w:szCs w:val="18"/>
                <w:lang w:eastAsia="es-CO"/>
              </w:rPr>
              <w:t xml:space="preserve"> Pagado</w:t>
            </w:r>
          </w:p>
        </w:tc>
        <w:tc>
          <w:tcPr>
            <w:tcW w:w="1039" w:type="dxa"/>
            <w:tcBorders>
              <w:top w:val="nil"/>
              <w:left w:val="single" w:sz="4" w:space="0" w:color="FFFFFF"/>
              <w:bottom w:val="single" w:sz="12" w:space="0" w:color="FFFFFF"/>
              <w:right w:val="single" w:sz="4" w:space="0" w:color="FFFFFF"/>
            </w:tcBorders>
            <w:shd w:val="clear" w:color="4F81BD" w:fill="4F81BD"/>
            <w:noWrap/>
            <w:vAlign w:val="bottom"/>
            <w:hideMark/>
          </w:tcPr>
          <w:p w:rsidR="00FC7F0E" w:rsidRPr="006D5E18" w:rsidRDefault="00FC7F0E" w:rsidP="00FC7F0E">
            <w:pPr>
              <w:spacing w:after="0" w:line="240" w:lineRule="auto"/>
              <w:jc w:val="center"/>
              <w:rPr>
                <w:rFonts w:ascii="Verdana" w:eastAsia="Times New Roman" w:hAnsi="Verdana" w:cs="Times New Roman"/>
                <w:b/>
                <w:bCs/>
                <w:color w:val="FFFFFF"/>
                <w:sz w:val="18"/>
                <w:szCs w:val="18"/>
                <w:lang w:eastAsia="es-CO"/>
              </w:rPr>
            </w:pPr>
            <w:r w:rsidRPr="006D5E18">
              <w:rPr>
                <w:rFonts w:ascii="Verdana" w:eastAsia="Times New Roman" w:hAnsi="Verdana" w:cs="Times New Roman"/>
                <w:b/>
                <w:bCs/>
                <w:color w:val="FFFFFF"/>
                <w:sz w:val="18"/>
                <w:szCs w:val="18"/>
                <w:lang w:eastAsia="es-CO"/>
              </w:rPr>
              <w:t>% Obligado</w:t>
            </w:r>
          </w:p>
        </w:tc>
        <w:tc>
          <w:tcPr>
            <w:tcW w:w="888" w:type="dxa"/>
            <w:tcBorders>
              <w:top w:val="nil"/>
              <w:left w:val="single" w:sz="4" w:space="0" w:color="FFFFFF"/>
              <w:bottom w:val="single" w:sz="12" w:space="0" w:color="FFFFFF"/>
              <w:right w:val="nil"/>
            </w:tcBorders>
            <w:shd w:val="clear" w:color="4F81BD" w:fill="4F81BD"/>
            <w:noWrap/>
            <w:vAlign w:val="bottom"/>
            <w:hideMark/>
          </w:tcPr>
          <w:p w:rsidR="00FC7F0E" w:rsidRPr="006D5E18" w:rsidRDefault="00FC7F0E" w:rsidP="00FC7F0E">
            <w:pPr>
              <w:spacing w:after="0" w:line="240" w:lineRule="auto"/>
              <w:jc w:val="center"/>
              <w:rPr>
                <w:rFonts w:ascii="Verdana" w:eastAsia="Times New Roman" w:hAnsi="Verdana" w:cs="Times New Roman"/>
                <w:b/>
                <w:bCs/>
                <w:color w:val="FFFFFF"/>
                <w:sz w:val="18"/>
                <w:szCs w:val="18"/>
                <w:lang w:eastAsia="es-CO"/>
              </w:rPr>
            </w:pPr>
            <w:r w:rsidRPr="006D5E18">
              <w:rPr>
                <w:rFonts w:ascii="Verdana" w:eastAsia="Times New Roman" w:hAnsi="Verdana" w:cs="Times New Roman"/>
                <w:b/>
                <w:bCs/>
                <w:color w:val="FFFFFF"/>
                <w:sz w:val="18"/>
                <w:szCs w:val="18"/>
                <w:lang w:eastAsia="es-CO"/>
              </w:rPr>
              <w:t>% Pagado</w:t>
            </w:r>
          </w:p>
        </w:tc>
      </w:tr>
      <w:tr w:rsidR="00FC7F0E" w:rsidRPr="00021B2F" w:rsidTr="00456C99">
        <w:trPr>
          <w:trHeight w:val="836"/>
          <w:jc w:val="center"/>
        </w:trPr>
        <w:tc>
          <w:tcPr>
            <w:tcW w:w="2414" w:type="dxa"/>
            <w:tcBorders>
              <w:top w:val="single" w:sz="4" w:space="0" w:color="FFFFFF"/>
              <w:left w:val="nil"/>
              <w:bottom w:val="single" w:sz="4" w:space="0" w:color="FFFFFF"/>
              <w:right w:val="single" w:sz="4" w:space="0" w:color="FFFFFF"/>
            </w:tcBorders>
            <w:shd w:val="clear" w:color="B8CCE4" w:fill="B8CCE4"/>
            <w:vAlign w:val="bottom"/>
            <w:hideMark/>
          </w:tcPr>
          <w:p w:rsidR="00FC7F0E" w:rsidRPr="006D5E18" w:rsidRDefault="00FC7F0E" w:rsidP="00FC7F0E">
            <w:pPr>
              <w:spacing w:after="0" w:line="240" w:lineRule="auto"/>
              <w:rPr>
                <w:rFonts w:ascii="Verdana" w:eastAsia="Times New Roman" w:hAnsi="Verdana" w:cs="Times New Roman"/>
                <w:color w:val="000000"/>
                <w:sz w:val="18"/>
                <w:szCs w:val="18"/>
                <w:lang w:eastAsia="es-CO"/>
              </w:rPr>
            </w:pPr>
            <w:r w:rsidRPr="006D5E18">
              <w:rPr>
                <w:rFonts w:ascii="Verdana" w:eastAsia="Times New Roman" w:hAnsi="Verdana" w:cs="Times New Roman"/>
                <w:color w:val="000000"/>
                <w:sz w:val="18"/>
                <w:szCs w:val="18"/>
                <w:lang w:eastAsia="es-CO"/>
              </w:rPr>
              <w:t>IMPLEMENTACIÓN DE UNIDOS RED DE PROTECCIÓN SOCIAL PARA LA SUPERACIÓN DE LA POBREZA EXTREMA - NACIONAL</w:t>
            </w:r>
          </w:p>
        </w:tc>
        <w:tc>
          <w:tcPr>
            <w:tcW w:w="1346"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7F0E" w:rsidRPr="006D5E18" w:rsidRDefault="00FC7F0E" w:rsidP="00FC7F0E">
            <w:pPr>
              <w:spacing w:after="0" w:line="240" w:lineRule="auto"/>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 xml:space="preserve"> $  </w:t>
            </w:r>
            <w:r>
              <w:rPr>
                <w:rFonts w:ascii="Verdana" w:eastAsia="Times New Roman" w:hAnsi="Verdana" w:cs="Times New Roman"/>
                <w:color w:val="000000"/>
                <w:sz w:val="18"/>
                <w:szCs w:val="18"/>
                <w:lang w:eastAsia="es-CO"/>
              </w:rPr>
              <w:t xml:space="preserve"> </w:t>
            </w:r>
            <w:r w:rsidRPr="00021B2F">
              <w:rPr>
                <w:rFonts w:ascii="Verdana" w:eastAsia="Times New Roman" w:hAnsi="Verdana" w:cs="Times New Roman"/>
                <w:color w:val="000000"/>
                <w:sz w:val="18"/>
                <w:szCs w:val="18"/>
                <w:lang w:eastAsia="es-CO"/>
              </w:rPr>
              <w:t>205.310</w:t>
            </w:r>
            <w:r w:rsidRPr="006D5E18">
              <w:rPr>
                <w:rFonts w:ascii="Verdana" w:eastAsia="Times New Roman" w:hAnsi="Verdana" w:cs="Times New Roman"/>
                <w:color w:val="000000"/>
                <w:sz w:val="18"/>
                <w:szCs w:val="18"/>
                <w:lang w:eastAsia="es-CO"/>
              </w:rPr>
              <w:t xml:space="preserve"> </w:t>
            </w:r>
          </w:p>
        </w:tc>
        <w:tc>
          <w:tcPr>
            <w:tcW w:w="1627"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7F0E" w:rsidRPr="006D5E18" w:rsidRDefault="00FC7F0E" w:rsidP="00FC7F0E">
            <w:pPr>
              <w:spacing w:after="0" w:line="240" w:lineRule="auto"/>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 xml:space="preserve"> $       200.939</w:t>
            </w:r>
            <w:r w:rsidRPr="006D5E18">
              <w:rPr>
                <w:rFonts w:ascii="Verdana" w:eastAsia="Times New Roman" w:hAnsi="Verdana" w:cs="Times New Roman"/>
                <w:color w:val="000000"/>
                <w:sz w:val="18"/>
                <w:szCs w:val="18"/>
                <w:lang w:eastAsia="es-CO"/>
              </w:rPr>
              <w:t xml:space="preserve"> </w:t>
            </w:r>
          </w:p>
        </w:tc>
        <w:tc>
          <w:tcPr>
            <w:tcW w:w="1363"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7F0E" w:rsidRPr="006D5E18" w:rsidRDefault="00FC7F0E" w:rsidP="00FC7F0E">
            <w:pPr>
              <w:spacing w:after="0" w:line="240" w:lineRule="auto"/>
              <w:rPr>
                <w:rFonts w:ascii="Verdana" w:eastAsia="Times New Roman" w:hAnsi="Verdana" w:cs="Times New Roman"/>
                <w:color w:val="000000"/>
                <w:sz w:val="18"/>
                <w:szCs w:val="18"/>
                <w:lang w:eastAsia="es-CO"/>
              </w:rPr>
            </w:pPr>
            <w:r>
              <w:rPr>
                <w:rFonts w:ascii="Verdana" w:eastAsia="Times New Roman" w:hAnsi="Verdana" w:cs="Times New Roman"/>
                <w:color w:val="000000"/>
                <w:sz w:val="18"/>
                <w:szCs w:val="18"/>
                <w:lang w:eastAsia="es-CO"/>
              </w:rPr>
              <w:t xml:space="preserve"> $   </w:t>
            </w:r>
            <w:r w:rsidRPr="00021B2F">
              <w:rPr>
                <w:rFonts w:ascii="Verdana" w:eastAsia="Times New Roman" w:hAnsi="Verdana" w:cs="Times New Roman"/>
                <w:color w:val="000000"/>
                <w:sz w:val="18"/>
                <w:szCs w:val="18"/>
                <w:lang w:eastAsia="es-CO"/>
              </w:rPr>
              <w:t>198.082</w:t>
            </w:r>
            <w:r w:rsidRPr="006D5E18">
              <w:rPr>
                <w:rFonts w:ascii="Verdana" w:eastAsia="Times New Roman" w:hAnsi="Verdana" w:cs="Times New Roman"/>
                <w:color w:val="000000"/>
                <w:sz w:val="18"/>
                <w:szCs w:val="18"/>
                <w:lang w:eastAsia="es-CO"/>
              </w:rPr>
              <w:t xml:space="preserve"> </w:t>
            </w:r>
          </w:p>
        </w:tc>
        <w:tc>
          <w:tcPr>
            <w:tcW w:w="1295"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7F0E" w:rsidRPr="006D5E18" w:rsidRDefault="00FC7F0E" w:rsidP="00FC7F0E">
            <w:pPr>
              <w:spacing w:after="0" w:line="240" w:lineRule="auto"/>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 xml:space="preserve"> $  </w:t>
            </w:r>
            <w:r>
              <w:rPr>
                <w:rFonts w:ascii="Verdana" w:eastAsia="Times New Roman" w:hAnsi="Verdana" w:cs="Times New Roman"/>
                <w:color w:val="000000"/>
                <w:sz w:val="18"/>
                <w:szCs w:val="18"/>
                <w:lang w:eastAsia="es-CO"/>
              </w:rPr>
              <w:t xml:space="preserve"> </w:t>
            </w:r>
            <w:r w:rsidRPr="00021B2F">
              <w:rPr>
                <w:rFonts w:ascii="Verdana" w:eastAsia="Times New Roman" w:hAnsi="Verdana" w:cs="Times New Roman"/>
                <w:color w:val="000000"/>
                <w:sz w:val="18"/>
                <w:szCs w:val="18"/>
                <w:lang w:eastAsia="es-CO"/>
              </w:rPr>
              <w:t>191.508</w:t>
            </w:r>
            <w:r w:rsidRPr="006D5E18">
              <w:rPr>
                <w:rFonts w:ascii="Verdana" w:eastAsia="Times New Roman" w:hAnsi="Verdana" w:cs="Times New Roman"/>
                <w:color w:val="000000"/>
                <w:sz w:val="18"/>
                <w:szCs w:val="18"/>
                <w:lang w:eastAsia="es-CO"/>
              </w:rPr>
              <w:t xml:space="preserve"> </w:t>
            </w:r>
          </w:p>
        </w:tc>
        <w:tc>
          <w:tcPr>
            <w:tcW w:w="1039"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7F0E" w:rsidRPr="006D5E18" w:rsidRDefault="00FC7F0E" w:rsidP="00FC7F0E">
            <w:pPr>
              <w:spacing w:after="0" w:line="240" w:lineRule="auto"/>
              <w:jc w:val="right"/>
              <w:rPr>
                <w:rFonts w:ascii="Verdana" w:eastAsia="Times New Roman" w:hAnsi="Verdana" w:cs="Times New Roman"/>
                <w:color w:val="000000"/>
                <w:sz w:val="18"/>
                <w:szCs w:val="18"/>
                <w:lang w:eastAsia="es-CO"/>
              </w:rPr>
            </w:pPr>
            <w:r w:rsidRPr="006D5E18">
              <w:rPr>
                <w:rFonts w:ascii="Verdana" w:eastAsia="Times New Roman" w:hAnsi="Verdana" w:cs="Times New Roman"/>
                <w:color w:val="000000"/>
                <w:sz w:val="18"/>
                <w:szCs w:val="18"/>
                <w:lang w:eastAsia="es-CO"/>
              </w:rPr>
              <w:t>96%</w:t>
            </w:r>
          </w:p>
        </w:tc>
        <w:tc>
          <w:tcPr>
            <w:tcW w:w="888" w:type="dxa"/>
            <w:tcBorders>
              <w:top w:val="single" w:sz="4" w:space="0" w:color="FFFFFF"/>
              <w:left w:val="single" w:sz="4" w:space="0" w:color="FFFFFF"/>
              <w:bottom w:val="single" w:sz="4" w:space="0" w:color="FFFFFF"/>
              <w:right w:val="nil"/>
            </w:tcBorders>
            <w:shd w:val="clear" w:color="B8CCE4" w:fill="B8CCE4"/>
            <w:noWrap/>
            <w:vAlign w:val="center"/>
            <w:hideMark/>
          </w:tcPr>
          <w:p w:rsidR="00FC7F0E" w:rsidRPr="006D5E18" w:rsidRDefault="00FC7F0E" w:rsidP="00FC7F0E">
            <w:pPr>
              <w:spacing w:after="0" w:line="240" w:lineRule="auto"/>
              <w:jc w:val="right"/>
              <w:rPr>
                <w:rFonts w:ascii="Verdana" w:eastAsia="Times New Roman" w:hAnsi="Verdana" w:cs="Times New Roman"/>
                <w:color w:val="000000"/>
                <w:sz w:val="18"/>
                <w:szCs w:val="18"/>
                <w:lang w:eastAsia="es-CO"/>
              </w:rPr>
            </w:pPr>
            <w:r w:rsidRPr="006D5E18">
              <w:rPr>
                <w:rFonts w:ascii="Verdana" w:eastAsia="Times New Roman" w:hAnsi="Verdana" w:cs="Times New Roman"/>
                <w:color w:val="000000"/>
                <w:sz w:val="18"/>
                <w:szCs w:val="18"/>
                <w:lang w:eastAsia="es-CO"/>
              </w:rPr>
              <w:t>93%</w:t>
            </w:r>
          </w:p>
        </w:tc>
      </w:tr>
      <w:tr w:rsidR="00FC7F0E" w:rsidRPr="00021B2F" w:rsidTr="00456C99">
        <w:trPr>
          <w:trHeight w:val="757"/>
          <w:jc w:val="center"/>
        </w:trPr>
        <w:tc>
          <w:tcPr>
            <w:tcW w:w="2414" w:type="dxa"/>
            <w:tcBorders>
              <w:top w:val="single" w:sz="4" w:space="0" w:color="FFFFFF"/>
              <w:left w:val="nil"/>
              <w:bottom w:val="single" w:sz="4" w:space="0" w:color="FFFFFF"/>
              <w:right w:val="single" w:sz="4" w:space="0" w:color="FFFFFF"/>
            </w:tcBorders>
            <w:shd w:val="clear" w:color="DCE6F1" w:fill="DCE6F1"/>
            <w:vAlign w:val="bottom"/>
            <w:hideMark/>
          </w:tcPr>
          <w:p w:rsidR="00FC7F0E" w:rsidRPr="006D5E18" w:rsidRDefault="00FC7F0E" w:rsidP="00FC7F0E">
            <w:pPr>
              <w:spacing w:after="0" w:line="240" w:lineRule="auto"/>
              <w:rPr>
                <w:rFonts w:ascii="Verdana" w:eastAsia="Times New Roman" w:hAnsi="Verdana" w:cs="Times New Roman"/>
                <w:color w:val="000000"/>
                <w:sz w:val="18"/>
                <w:szCs w:val="18"/>
                <w:lang w:eastAsia="es-CO"/>
              </w:rPr>
            </w:pPr>
            <w:r w:rsidRPr="006D5E18">
              <w:rPr>
                <w:rFonts w:ascii="Verdana" w:eastAsia="Times New Roman" w:hAnsi="Verdana" w:cs="Times New Roman"/>
                <w:color w:val="000000"/>
                <w:sz w:val="18"/>
                <w:szCs w:val="18"/>
                <w:lang w:eastAsia="es-CO"/>
              </w:rPr>
              <w:t>PROMOVER LA INNOVACIÓN SOCIAL PARA LA SUPERACIÓN DE LA POBREZA Y LA VULNERABILIDAD EN COLOMBIA</w:t>
            </w:r>
          </w:p>
        </w:tc>
        <w:tc>
          <w:tcPr>
            <w:tcW w:w="1346"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7F0E" w:rsidRPr="006D5E18" w:rsidRDefault="00FC7F0E" w:rsidP="00FC7F0E">
            <w:pPr>
              <w:spacing w:after="0" w:line="240" w:lineRule="auto"/>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 xml:space="preserve"> $        </w:t>
            </w:r>
            <w:r>
              <w:rPr>
                <w:rFonts w:ascii="Verdana" w:eastAsia="Times New Roman" w:hAnsi="Verdana" w:cs="Times New Roman"/>
                <w:color w:val="000000"/>
                <w:sz w:val="18"/>
                <w:szCs w:val="18"/>
                <w:lang w:eastAsia="es-CO"/>
              </w:rPr>
              <w:t xml:space="preserve"> </w:t>
            </w:r>
            <w:r w:rsidRPr="00021B2F">
              <w:rPr>
                <w:rFonts w:ascii="Verdana" w:eastAsia="Times New Roman" w:hAnsi="Verdana" w:cs="Times New Roman"/>
                <w:color w:val="000000"/>
                <w:sz w:val="18"/>
                <w:szCs w:val="18"/>
                <w:lang w:eastAsia="es-CO"/>
              </w:rPr>
              <w:t>433</w:t>
            </w:r>
            <w:r w:rsidRPr="006D5E18">
              <w:rPr>
                <w:rFonts w:ascii="Verdana" w:eastAsia="Times New Roman" w:hAnsi="Verdana" w:cs="Times New Roman"/>
                <w:color w:val="000000"/>
                <w:sz w:val="18"/>
                <w:szCs w:val="18"/>
                <w:lang w:eastAsia="es-CO"/>
              </w:rPr>
              <w:t xml:space="preserve"> </w:t>
            </w:r>
          </w:p>
        </w:tc>
        <w:tc>
          <w:tcPr>
            <w:tcW w:w="1627"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7F0E" w:rsidRPr="006D5E18" w:rsidRDefault="00FC7F0E" w:rsidP="00FC7F0E">
            <w:pPr>
              <w:spacing w:after="0" w:line="240" w:lineRule="auto"/>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 xml:space="preserve"> $             433</w:t>
            </w:r>
            <w:r w:rsidRPr="006D5E18">
              <w:rPr>
                <w:rFonts w:ascii="Verdana" w:eastAsia="Times New Roman" w:hAnsi="Verdana" w:cs="Times New Roman"/>
                <w:color w:val="000000"/>
                <w:sz w:val="18"/>
                <w:szCs w:val="18"/>
                <w:lang w:eastAsia="es-CO"/>
              </w:rPr>
              <w:t xml:space="preserve"> </w:t>
            </w:r>
          </w:p>
        </w:tc>
        <w:tc>
          <w:tcPr>
            <w:tcW w:w="1363"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7F0E" w:rsidRPr="006D5E18" w:rsidRDefault="00FC7F0E" w:rsidP="00FC7F0E">
            <w:pPr>
              <w:spacing w:after="0" w:line="240" w:lineRule="auto"/>
              <w:rPr>
                <w:rFonts w:ascii="Verdana" w:eastAsia="Times New Roman" w:hAnsi="Verdana" w:cs="Times New Roman"/>
                <w:color w:val="000000"/>
                <w:sz w:val="18"/>
                <w:szCs w:val="18"/>
                <w:lang w:eastAsia="es-CO"/>
              </w:rPr>
            </w:pPr>
            <w:r>
              <w:rPr>
                <w:rFonts w:ascii="Verdana" w:eastAsia="Times New Roman" w:hAnsi="Verdana" w:cs="Times New Roman"/>
                <w:color w:val="000000"/>
                <w:sz w:val="18"/>
                <w:szCs w:val="18"/>
                <w:lang w:eastAsia="es-CO"/>
              </w:rPr>
              <w:t xml:space="preserve"> $          </w:t>
            </w:r>
            <w:r w:rsidRPr="00021B2F">
              <w:rPr>
                <w:rFonts w:ascii="Verdana" w:eastAsia="Times New Roman" w:hAnsi="Verdana" w:cs="Times New Roman"/>
                <w:color w:val="000000"/>
                <w:sz w:val="18"/>
                <w:szCs w:val="18"/>
                <w:lang w:eastAsia="es-CO"/>
              </w:rPr>
              <w:t>433</w:t>
            </w:r>
            <w:r w:rsidRPr="006D5E18">
              <w:rPr>
                <w:rFonts w:ascii="Verdana" w:eastAsia="Times New Roman" w:hAnsi="Verdana" w:cs="Times New Roman"/>
                <w:color w:val="000000"/>
                <w:sz w:val="18"/>
                <w:szCs w:val="18"/>
                <w:lang w:eastAsia="es-CO"/>
              </w:rPr>
              <w:t xml:space="preserve"> </w:t>
            </w:r>
          </w:p>
        </w:tc>
        <w:tc>
          <w:tcPr>
            <w:tcW w:w="1295"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7F0E" w:rsidRPr="006D5E18" w:rsidRDefault="00FC7F0E" w:rsidP="00FC7F0E">
            <w:pPr>
              <w:spacing w:after="0" w:line="240" w:lineRule="auto"/>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 xml:space="preserve"> $          433</w:t>
            </w:r>
          </w:p>
        </w:tc>
        <w:tc>
          <w:tcPr>
            <w:tcW w:w="1039"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7F0E" w:rsidRPr="006D5E18" w:rsidRDefault="00FC7F0E" w:rsidP="00FC7F0E">
            <w:pPr>
              <w:spacing w:after="0" w:line="240" w:lineRule="auto"/>
              <w:jc w:val="right"/>
              <w:rPr>
                <w:rFonts w:ascii="Verdana" w:eastAsia="Times New Roman" w:hAnsi="Verdana" w:cs="Times New Roman"/>
                <w:color w:val="000000"/>
                <w:sz w:val="18"/>
                <w:szCs w:val="18"/>
                <w:lang w:eastAsia="es-CO"/>
              </w:rPr>
            </w:pPr>
            <w:r w:rsidRPr="006D5E18">
              <w:rPr>
                <w:rFonts w:ascii="Verdana" w:eastAsia="Times New Roman" w:hAnsi="Verdana" w:cs="Times New Roman"/>
                <w:color w:val="000000"/>
                <w:sz w:val="18"/>
                <w:szCs w:val="18"/>
                <w:lang w:eastAsia="es-CO"/>
              </w:rPr>
              <w:t>100%</w:t>
            </w:r>
          </w:p>
        </w:tc>
        <w:tc>
          <w:tcPr>
            <w:tcW w:w="888" w:type="dxa"/>
            <w:tcBorders>
              <w:top w:val="single" w:sz="4" w:space="0" w:color="FFFFFF"/>
              <w:left w:val="single" w:sz="4" w:space="0" w:color="FFFFFF"/>
              <w:bottom w:val="single" w:sz="4" w:space="0" w:color="FFFFFF"/>
              <w:right w:val="nil"/>
            </w:tcBorders>
            <w:shd w:val="clear" w:color="DCE6F1" w:fill="DCE6F1"/>
            <w:noWrap/>
            <w:vAlign w:val="center"/>
            <w:hideMark/>
          </w:tcPr>
          <w:p w:rsidR="00FC7F0E" w:rsidRPr="006D5E18" w:rsidRDefault="00FC7F0E" w:rsidP="00FC7F0E">
            <w:pPr>
              <w:spacing w:after="0" w:line="240" w:lineRule="auto"/>
              <w:jc w:val="right"/>
              <w:rPr>
                <w:rFonts w:ascii="Verdana" w:eastAsia="Times New Roman" w:hAnsi="Verdana" w:cs="Times New Roman"/>
                <w:color w:val="000000"/>
                <w:sz w:val="18"/>
                <w:szCs w:val="18"/>
                <w:lang w:eastAsia="es-CO"/>
              </w:rPr>
            </w:pPr>
            <w:r w:rsidRPr="006D5E18">
              <w:rPr>
                <w:rFonts w:ascii="Verdana" w:eastAsia="Times New Roman" w:hAnsi="Verdana" w:cs="Times New Roman"/>
                <w:color w:val="000000"/>
                <w:sz w:val="18"/>
                <w:szCs w:val="18"/>
                <w:lang w:eastAsia="es-CO"/>
              </w:rPr>
              <w:t>100%</w:t>
            </w:r>
          </w:p>
        </w:tc>
      </w:tr>
      <w:tr w:rsidR="00FC7F0E" w:rsidRPr="00021B2F" w:rsidTr="00456C99">
        <w:trPr>
          <w:trHeight w:val="901"/>
          <w:jc w:val="center"/>
        </w:trPr>
        <w:tc>
          <w:tcPr>
            <w:tcW w:w="2414" w:type="dxa"/>
            <w:tcBorders>
              <w:top w:val="single" w:sz="4" w:space="0" w:color="FFFFFF"/>
              <w:left w:val="nil"/>
              <w:bottom w:val="single" w:sz="4" w:space="0" w:color="FFFFFF"/>
              <w:right w:val="single" w:sz="4" w:space="0" w:color="FFFFFF"/>
            </w:tcBorders>
            <w:shd w:val="clear" w:color="B8CCE4" w:fill="B8CCE4"/>
            <w:vAlign w:val="bottom"/>
            <w:hideMark/>
          </w:tcPr>
          <w:p w:rsidR="00FC7F0E" w:rsidRPr="006D5E18" w:rsidRDefault="00FC7F0E" w:rsidP="00FC7F0E">
            <w:pPr>
              <w:spacing w:after="0" w:line="240" w:lineRule="auto"/>
              <w:rPr>
                <w:rFonts w:ascii="Verdana" w:eastAsia="Times New Roman" w:hAnsi="Verdana" w:cs="Times New Roman"/>
                <w:color w:val="000000"/>
                <w:sz w:val="18"/>
                <w:szCs w:val="18"/>
                <w:lang w:eastAsia="es-CO"/>
              </w:rPr>
            </w:pPr>
            <w:r w:rsidRPr="006D5E18">
              <w:rPr>
                <w:rFonts w:ascii="Verdana" w:eastAsia="Times New Roman" w:hAnsi="Verdana" w:cs="Times New Roman"/>
                <w:color w:val="000000"/>
                <w:sz w:val="18"/>
                <w:szCs w:val="18"/>
                <w:lang w:eastAsia="es-CO"/>
              </w:rPr>
              <w:t>MEJORAMIENTO DE LA CALIDAD DE VIDA DE LA POBLACIÓN POBRE EXTREMA EN MUNICIPIOS CON CONTRATOS PLAN NACIONAL</w:t>
            </w:r>
          </w:p>
        </w:tc>
        <w:tc>
          <w:tcPr>
            <w:tcW w:w="1346"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7F0E" w:rsidRPr="006D5E18" w:rsidRDefault="00FC7F0E" w:rsidP="00FC7F0E">
            <w:pPr>
              <w:spacing w:after="0" w:line="240" w:lineRule="auto"/>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 xml:space="preserve"> $       </w:t>
            </w:r>
            <w:r>
              <w:rPr>
                <w:rFonts w:ascii="Verdana" w:eastAsia="Times New Roman" w:hAnsi="Verdana" w:cs="Times New Roman"/>
                <w:color w:val="000000"/>
                <w:sz w:val="18"/>
                <w:szCs w:val="18"/>
                <w:lang w:eastAsia="es-CO"/>
              </w:rPr>
              <w:t xml:space="preserve">   </w:t>
            </w:r>
            <w:r w:rsidRPr="00021B2F">
              <w:rPr>
                <w:rFonts w:ascii="Verdana" w:eastAsia="Times New Roman" w:hAnsi="Verdana" w:cs="Times New Roman"/>
                <w:color w:val="000000"/>
                <w:sz w:val="18"/>
                <w:szCs w:val="18"/>
                <w:lang w:eastAsia="es-CO"/>
              </w:rPr>
              <w:t>650</w:t>
            </w:r>
            <w:r w:rsidRPr="006D5E18">
              <w:rPr>
                <w:rFonts w:ascii="Verdana" w:eastAsia="Times New Roman" w:hAnsi="Verdana" w:cs="Times New Roman"/>
                <w:color w:val="000000"/>
                <w:sz w:val="18"/>
                <w:szCs w:val="18"/>
                <w:lang w:eastAsia="es-CO"/>
              </w:rPr>
              <w:t xml:space="preserve"> </w:t>
            </w:r>
          </w:p>
        </w:tc>
        <w:tc>
          <w:tcPr>
            <w:tcW w:w="1627"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7F0E" w:rsidRPr="006D5E18" w:rsidRDefault="00FC7F0E" w:rsidP="00FC7F0E">
            <w:pPr>
              <w:spacing w:after="0" w:line="240" w:lineRule="auto"/>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 xml:space="preserve"> $             650</w:t>
            </w:r>
          </w:p>
        </w:tc>
        <w:tc>
          <w:tcPr>
            <w:tcW w:w="1363"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7F0E" w:rsidRPr="006D5E18" w:rsidRDefault="00FC7F0E" w:rsidP="00FC7F0E">
            <w:pPr>
              <w:spacing w:after="0" w:line="240" w:lineRule="auto"/>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 xml:space="preserve"> $       650</w:t>
            </w:r>
            <w:r w:rsidRPr="006D5E18">
              <w:rPr>
                <w:rFonts w:ascii="Verdana" w:eastAsia="Times New Roman" w:hAnsi="Verdana" w:cs="Times New Roman"/>
                <w:color w:val="000000"/>
                <w:sz w:val="18"/>
                <w:szCs w:val="18"/>
                <w:lang w:eastAsia="es-CO"/>
              </w:rPr>
              <w:t xml:space="preserve"> </w:t>
            </w:r>
          </w:p>
        </w:tc>
        <w:tc>
          <w:tcPr>
            <w:tcW w:w="1295"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7F0E" w:rsidRPr="006D5E18" w:rsidRDefault="00FC7F0E" w:rsidP="00FC7F0E">
            <w:pPr>
              <w:spacing w:after="0" w:line="240" w:lineRule="auto"/>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 xml:space="preserve"> $        </w:t>
            </w:r>
            <w:r>
              <w:rPr>
                <w:rFonts w:ascii="Verdana" w:eastAsia="Times New Roman" w:hAnsi="Verdana" w:cs="Times New Roman"/>
                <w:color w:val="000000"/>
                <w:sz w:val="18"/>
                <w:szCs w:val="18"/>
                <w:lang w:eastAsia="es-CO"/>
              </w:rPr>
              <w:t xml:space="preserve">  </w:t>
            </w:r>
            <w:r w:rsidRPr="00021B2F">
              <w:rPr>
                <w:rFonts w:ascii="Verdana" w:eastAsia="Times New Roman" w:hAnsi="Verdana" w:cs="Times New Roman"/>
                <w:color w:val="000000"/>
                <w:sz w:val="18"/>
                <w:szCs w:val="18"/>
                <w:lang w:eastAsia="es-CO"/>
              </w:rPr>
              <w:t>650</w:t>
            </w:r>
            <w:r w:rsidRPr="006D5E18">
              <w:rPr>
                <w:rFonts w:ascii="Verdana" w:eastAsia="Times New Roman" w:hAnsi="Verdana" w:cs="Times New Roman"/>
                <w:color w:val="000000"/>
                <w:sz w:val="18"/>
                <w:szCs w:val="18"/>
                <w:lang w:eastAsia="es-CO"/>
              </w:rPr>
              <w:t xml:space="preserve"> </w:t>
            </w:r>
          </w:p>
        </w:tc>
        <w:tc>
          <w:tcPr>
            <w:tcW w:w="1039"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7F0E" w:rsidRPr="006D5E18" w:rsidRDefault="00FC7F0E" w:rsidP="00FC7F0E">
            <w:pPr>
              <w:spacing w:after="0" w:line="240" w:lineRule="auto"/>
              <w:jc w:val="right"/>
              <w:rPr>
                <w:rFonts w:ascii="Verdana" w:eastAsia="Times New Roman" w:hAnsi="Verdana" w:cs="Times New Roman"/>
                <w:color w:val="000000"/>
                <w:sz w:val="18"/>
                <w:szCs w:val="18"/>
                <w:lang w:eastAsia="es-CO"/>
              </w:rPr>
            </w:pPr>
            <w:r w:rsidRPr="006D5E18">
              <w:rPr>
                <w:rFonts w:ascii="Verdana" w:eastAsia="Times New Roman" w:hAnsi="Verdana" w:cs="Times New Roman"/>
                <w:color w:val="000000"/>
                <w:sz w:val="18"/>
                <w:szCs w:val="18"/>
                <w:lang w:eastAsia="es-CO"/>
              </w:rPr>
              <w:t>100%</w:t>
            </w:r>
          </w:p>
        </w:tc>
        <w:tc>
          <w:tcPr>
            <w:tcW w:w="888" w:type="dxa"/>
            <w:tcBorders>
              <w:top w:val="single" w:sz="4" w:space="0" w:color="FFFFFF"/>
              <w:left w:val="single" w:sz="4" w:space="0" w:color="FFFFFF"/>
              <w:bottom w:val="single" w:sz="4" w:space="0" w:color="FFFFFF"/>
              <w:right w:val="nil"/>
            </w:tcBorders>
            <w:shd w:val="clear" w:color="B8CCE4" w:fill="B8CCE4"/>
            <w:noWrap/>
            <w:vAlign w:val="center"/>
            <w:hideMark/>
          </w:tcPr>
          <w:p w:rsidR="00FC7F0E" w:rsidRPr="006D5E18" w:rsidRDefault="00FC7F0E" w:rsidP="00FC7F0E">
            <w:pPr>
              <w:spacing w:after="0" w:line="240" w:lineRule="auto"/>
              <w:jc w:val="right"/>
              <w:rPr>
                <w:rFonts w:ascii="Verdana" w:eastAsia="Times New Roman" w:hAnsi="Verdana" w:cs="Times New Roman"/>
                <w:color w:val="000000"/>
                <w:sz w:val="18"/>
                <w:szCs w:val="18"/>
                <w:lang w:eastAsia="es-CO"/>
              </w:rPr>
            </w:pPr>
            <w:r w:rsidRPr="006D5E18">
              <w:rPr>
                <w:rFonts w:ascii="Verdana" w:eastAsia="Times New Roman" w:hAnsi="Verdana" w:cs="Times New Roman"/>
                <w:color w:val="000000"/>
                <w:sz w:val="18"/>
                <w:szCs w:val="18"/>
                <w:lang w:eastAsia="es-CO"/>
              </w:rPr>
              <w:t>100%</w:t>
            </w:r>
          </w:p>
        </w:tc>
      </w:tr>
    </w:tbl>
    <w:p w:rsidR="00456C99" w:rsidRPr="00021B2F" w:rsidRDefault="00456C99" w:rsidP="00456C99">
      <w:pPr>
        <w:spacing w:after="0" w:line="240" w:lineRule="auto"/>
        <w:jc w:val="center"/>
        <w:rPr>
          <w:rFonts w:ascii="Verdana" w:hAnsi="Verdana"/>
          <w:b/>
          <w:sz w:val="18"/>
          <w:szCs w:val="18"/>
          <w:highlight w:val="yellow"/>
        </w:rPr>
      </w:pPr>
      <w:r w:rsidRPr="00021B2F">
        <w:rPr>
          <w:rFonts w:ascii="Verdana" w:hAnsi="Verdana"/>
          <w:b/>
          <w:sz w:val="18"/>
          <w:szCs w:val="18"/>
        </w:rPr>
        <w:t>Tabla 4. Distribución Presupuestal de proyectos de inversión -  ANSPE 2014</w:t>
      </w:r>
    </w:p>
    <w:p w:rsidR="00456C99" w:rsidRDefault="00456C99" w:rsidP="00FC7F0E">
      <w:pPr>
        <w:spacing w:after="0" w:line="240" w:lineRule="auto"/>
        <w:jc w:val="center"/>
        <w:rPr>
          <w:rFonts w:ascii="Verdana" w:hAnsi="Verdana"/>
          <w:sz w:val="18"/>
          <w:szCs w:val="18"/>
        </w:rPr>
      </w:pPr>
    </w:p>
    <w:p w:rsidR="00FC7F0E" w:rsidRPr="00021B2F" w:rsidRDefault="00FC7F0E" w:rsidP="00AA0FE4">
      <w:pPr>
        <w:spacing w:after="0" w:line="240" w:lineRule="auto"/>
        <w:jc w:val="right"/>
        <w:rPr>
          <w:rFonts w:ascii="Verdana" w:hAnsi="Verdana"/>
          <w:sz w:val="18"/>
          <w:szCs w:val="18"/>
        </w:rPr>
      </w:pPr>
      <w:r w:rsidRPr="00021B2F">
        <w:rPr>
          <w:rFonts w:ascii="Verdana" w:hAnsi="Verdana"/>
          <w:sz w:val="18"/>
          <w:szCs w:val="18"/>
        </w:rPr>
        <w:t>Cifras en millones de pesos</w:t>
      </w:r>
    </w:p>
    <w:p w:rsidR="00AA0FE4" w:rsidRDefault="00AA0FE4" w:rsidP="00AA0FE4">
      <w:pPr>
        <w:spacing w:after="0" w:line="240" w:lineRule="auto"/>
        <w:jc w:val="both"/>
        <w:rPr>
          <w:rFonts w:ascii="Verdana" w:hAnsi="Verdana"/>
          <w:b/>
          <w:color w:val="548DD4" w:themeColor="text2" w:themeTint="99"/>
          <w:sz w:val="28"/>
          <w:szCs w:val="24"/>
          <w:u w:val="single"/>
        </w:rPr>
      </w:pPr>
    </w:p>
    <w:p w:rsidR="00FC7F0E" w:rsidRPr="00252FE2" w:rsidRDefault="00AA0FE4" w:rsidP="00AA0FE4">
      <w:pPr>
        <w:spacing w:after="0" w:line="240" w:lineRule="auto"/>
        <w:jc w:val="both"/>
        <w:rPr>
          <w:rFonts w:ascii="Verdana" w:hAnsi="Verdana"/>
          <w:b/>
          <w:color w:val="548DD4" w:themeColor="text2" w:themeTint="99"/>
          <w:sz w:val="24"/>
          <w:szCs w:val="24"/>
        </w:rPr>
      </w:pPr>
      <w:r w:rsidRPr="00252FE2">
        <w:rPr>
          <w:rFonts w:ascii="Verdana" w:hAnsi="Verdana"/>
          <w:b/>
          <w:color w:val="548DD4" w:themeColor="text2" w:themeTint="99"/>
          <w:sz w:val="24"/>
          <w:szCs w:val="24"/>
        </w:rPr>
        <w:t>PROGRAMAS Y PROYECTOS EN EJECUCIÓN</w:t>
      </w:r>
    </w:p>
    <w:p w:rsidR="00FC7F0E" w:rsidRPr="00021B2F" w:rsidRDefault="00FC7F0E" w:rsidP="00FC7F0E">
      <w:pPr>
        <w:spacing w:after="0" w:line="240" w:lineRule="auto"/>
        <w:jc w:val="both"/>
        <w:rPr>
          <w:rFonts w:ascii="Verdana" w:hAnsi="Verdana"/>
          <w:sz w:val="24"/>
          <w:szCs w:val="24"/>
        </w:rPr>
      </w:pPr>
    </w:p>
    <w:p w:rsidR="00FC7F0E" w:rsidRPr="00021B2F" w:rsidRDefault="00FC7F0E" w:rsidP="00FC7F0E">
      <w:pPr>
        <w:spacing w:after="0" w:line="240" w:lineRule="auto"/>
        <w:jc w:val="both"/>
        <w:rPr>
          <w:rFonts w:ascii="Verdana" w:hAnsi="Verdana"/>
          <w:sz w:val="24"/>
          <w:szCs w:val="24"/>
        </w:rPr>
      </w:pPr>
      <w:r w:rsidRPr="00021B2F">
        <w:rPr>
          <w:rFonts w:ascii="Verdana" w:hAnsi="Verdana"/>
          <w:sz w:val="24"/>
          <w:szCs w:val="24"/>
        </w:rPr>
        <w:t>En la vigencia 2014 la Agencia implementó el programa Red UNIDOS, el cual contó con cuatro (4) proyectos de inversión, los cuales tuvieron el siguiente nivel de avance:</w:t>
      </w:r>
    </w:p>
    <w:p w:rsidR="00FC7F0E" w:rsidRPr="00021B2F" w:rsidRDefault="00FC7F0E" w:rsidP="00FC7F0E">
      <w:pPr>
        <w:spacing w:after="0" w:line="240" w:lineRule="auto"/>
        <w:ind w:left="360"/>
        <w:jc w:val="both"/>
        <w:rPr>
          <w:rFonts w:ascii="Verdana" w:hAnsi="Verdana"/>
          <w:sz w:val="24"/>
          <w:szCs w:val="24"/>
        </w:rPr>
      </w:pPr>
    </w:p>
    <w:tbl>
      <w:tblPr>
        <w:tblW w:w="5000" w:type="pct"/>
        <w:tblLayout w:type="fixed"/>
        <w:tblCellMar>
          <w:left w:w="70" w:type="dxa"/>
          <w:right w:w="70" w:type="dxa"/>
        </w:tblCellMar>
        <w:tblLook w:val="04A0"/>
      </w:tblPr>
      <w:tblGrid>
        <w:gridCol w:w="1870"/>
        <w:gridCol w:w="3306"/>
        <w:gridCol w:w="1222"/>
        <w:gridCol w:w="1224"/>
        <w:gridCol w:w="1153"/>
        <w:gridCol w:w="1337"/>
      </w:tblGrid>
      <w:tr w:rsidR="00FC7F0E" w:rsidRPr="00021B2F" w:rsidTr="00AA0FE4">
        <w:trPr>
          <w:trHeight w:val="300"/>
          <w:tblHeader/>
        </w:trPr>
        <w:tc>
          <w:tcPr>
            <w:tcW w:w="925" w:type="pct"/>
            <w:tcBorders>
              <w:top w:val="nil"/>
              <w:left w:val="nil"/>
              <w:bottom w:val="single" w:sz="12" w:space="0" w:color="FFFFFF"/>
              <w:right w:val="single" w:sz="4" w:space="0" w:color="FFFFFF"/>
            </w:tcBorders>
            <w:shd w:val="clear" w:color="4F81BD" w:fill="4F81BD"/>
            <w:noWrap/>
            <w:vAlign w:val="bottom"/>
            <w:hideMark/>
          </w:tcPr>
          <w:p w:rsidR="00FC7F0E" w:rsidRPr="00021B2F" w:rsidRDefault="00FC7F0E" w:rsidP="00FC7F0E">
            <w:pPr>
              <w:spacing w:after="0" w:line="240" w:lineRule="auto"/>
              <w:jc w:val="center"/>
              <w:rPr>
                <w:rFonts w:ascii="Verdana" w:eastAsia="Times New Roman" w:hAnsi="Verdana" w:cs="Times New Roman"/>
                <w:b/>
                <w:bCs/>
                <w:color w:val="FFFFFF"/>
                <w:sz w:val="18"/>
                <w:szCs w:val="18"/>
                <w:lang w:eastAsia="es-CO"/>
              </w:rPr>
            </w:pPr>
            <w:r w:rsidRPr="00021B2F">
              <w:rPr>
                <w:rFonts w:ascii="Verdana" w:eastAsia="Times New Roman" w:hAnsi="Verdana" w:cs="Times New Roman"/>
                <w:b/>
                <w:bCs/>
                <w:color w:val="FFFFFF"/>
                <w:sz w:val="18"/>
                <w:szCs w:val="18"/>
                <w:lang w:eastAsia="es-CO"/>
              </w:rPr>
              <w:t>Código</w:t>
            </w:r>
          </w:p>
        </w:tc>
        <w:tc>
          <w:tcPr>
            <w:tcW w:w="1635" w:type="pct"/>
            <w:tcBorders>
              <w:top w:val="nil"/>
              <w:left w:val="single" w:sz="4" w:space="0" w:color="FFFFFF"/>
              <w:bottom w:val="single" w:sz="12" w:space="0" w:color="FFFFFF"/>
              <w:right w:val="single" w:sz="4" w:space="0" w:color="FFFFFF"/>
            </w:tcBorders>
            <w:shd w:val="clear" w:color="4F81BD" w:fill="4F81BD"/>
            <w:noWrap/>
            <w:vAlign w:val="bottom"/>
            <w:hideMark/>
          </w:tcPr>
          <w:p w:rsidR="00FC7F0E" w:rsidRPr="00021B2F" w:rsidRDefault="00FC7F0E" w:rsidP="00FC7F0E">
            <w:pPr>
              <w:spacing w:after="0" w:line="240" w:lineRule="auto"/>
              <w:rPr>
                <w:rFonts w:ascii="Verdana" w:eastAsia="Times New Roman" w:hAnsi="Verdana" w:cs="Times New Roman"/>
                <w:b/>
                <w:bCs/>
                <w:color w:val="FFFFFF"/>
                <w:sz w:val="18"/>
                <w:szCs w:val="18"/>
                <w:lang w:eastAsia="es-CO"/>
              </w:rPr>
            </w:pPr>
            <w:r w:rsidRPr="00021B2F">
              <w:rPr>
                <w:rFonts w:ascii="Verdana" w:eastAsia="Times New Roman" w:hAnsi="Verdana" w:cs="Times New Roman"/>
                <w:b/>
                <w:bCs/>
                <w:color w:val="FFFFFF"/>
                <w:sz w:val="18"/>
                <w:szCs w:val="18"/>
                <w:lang w:eastAsia="es-CO"/>
              </w:rPr>
              <w:t>Nombre</w:t>
            </w:r>
          </w:p>
        </w:tc>
        <w:tc>
          <w:tcPr>
            <w:tcW w:w="604" w:type="pct"/>
            <w:tcBorders>
              <w:top w:val="nil"/>
              <w:left w:val="single" w:sz="4" w:space="0" w:color="FFFFFF"/>
              <w:bottom w:val="single" w:sz="12" w:space="0" w:color="FFFFFF"/>
              <w:right w:val="single" w:sz="4" w:space="0" w:color="FFFFFF"/>
            </w:tcBorders>
            <w:shd w:val="clear" w:color="4F81BD" w:fill="4F81BD"/>
            <w:noWrap/>
            <w:vAlign w:val="bottom"/>
            <w:hideMark/>
          </w:tcPr>
          <w:p w:rsidR="00FC7F0E" w:rsidRPr="00021B2F" w:rsidRDefault="00FC7F0E" w:rsidP="00FC7F0E">
            <w:pPr>
              <w:spacing w:after="0" w:line="240" w:lineRule="auto"/>
              <w:rPr>
                <w:rFonts w:ascii="Verdana" w:eastAsia="Times New Roman" w:hAnsi="Verdana" w:cs="Times New Roman"/>
                <w:b/>
                <w:bCs/>
                <w:color w:val="FFFFFF"/>
                <w:sz w:val="18"/>
                <w:szCs w:val="18"/>
                <w:lang w:eastAsia="es-CO"/>
              </w:rPr>
            </w:pPr>
            <w:r w:rsidRPr="00021B2F">
              <w:rPr>
                <w:rFonts w:ascii="Verdana" w:eastAsia="Times New Roman" w:hAnsi="Verdana" w:cs="Times New Roman"/>
                <w:b/>
                <w:bCs/>
                <w:color w:val="FFFFFF"/>
                <w:sz w:val="18"/>
                <w:szCs w:val="18"/>
                <w:lang w:eastAsia="es-CO"/>
              </w:rPr>
              <w:t>Avance de producto</w:t>
            </w:r>
          </w:p>
        </w:tc>
        <w:tc>
          <w:tcPr>
            <w:tcW w:w="605" w:type="pct"/>
            <w:tcBorders>
              <w:top w:val="nil"/>
              <w:left w:val="single" w:sz="4" w:space="0" w:color="FFFFFF"/>
              <w:bottom w:val="single" w:sz="12" w:space="0" w:color="FFFFFF"/>
              <w:right w:val="single" w:sz="4" w:space="0" w:color="FFFFFF"/>
            </w:tcBorders>
            <w:shd w:val="clear" w:color="4F81BD" w:fill="4F81BD"/>
            <w:noWrap/>
            <w:vAlign w:val="bottom"/>
            <w:hideMark/>
          </w:tcPr>
          <w:p w:rsidR="00FC7F0E" w:rsidRPr="00021B2F" w:rsidRDefault="00FC7F0E" w:rsidP="00FC7F0E">
            <w:pPr>
              <w:spacing w:after="0" w:line="240" w:lineRule="auto"/>
              <w:rPr>
                <w:rFonts w:ascii="Verdana" w:eastAsia="Times New Roman" w:hAnsi="Verdana" w:cs="Times New Roman"/>
                <w:b/>
                <w:bCs/>
                <w:color w:val="FFFFFF"/>
                <w:sz w:val="18"/>
                <w:szCs w:val="18"/>
                <w:lang w:eastAsia="es-CO"/>
              </w:rPr>
            </w:pPr>
            <w:r w:rsidRPr="00021B2F">
              <w:rPr>
                <w:rFonts w:ascii="Verdana" w:eastAsia="Times New Roman" w:hAnsi="Verdana" w:cs="Times New Roman"/>
                <w:b/>
                <w:bCs/>
                <w:color w:val="FFFFFF"/>
                <w:sz w:val="18"/>
                <w:szCs w:val="18"/>
                <w:lang w:eastAsia="es-CO"/>
              </w:rPr>
              <w:t>Avance de gestión</w:t>
            </w:r>
          </w:p>
        </w:tc>
        <w:tc>
          <w:tcPr>
            <w:tcW w:w="570" w:type="pct"/>
            <w:tcBorders>
              <w:top w:val="nil"/>
              <w:left w:val="single" w:sz="4" w:space="0" w:color="FFFFFF"/>
              <w:bottom w:val="single" w:sz="12" w:space="0" w:color="FFFFFF"/>
              <w:right w:val="single" w:sz="4" w:space="0" w:color="FFFFFF"/>
            </w:tcBorders>
            <w:shd w:val="clear" w:color="4F81BD" w:fill="4F81BD"/>
            <w:noWrap/>
            <w:vAlign w:val="bottom"/>
            <w:hideMark/>
          </w:tcPr>
          <w:p w:rsidR="00FC7F0E" w:rsidRPr="00021B2F" w:rsidRDefault="00FC7F0E" w:rsidP="00FC7F0E">
            <w:pPr>
              <w:spacing w:after="0" w:line="240" w:lineRule="auto"/>
              <w:rPr>
                <w:rFonts w:ascii="Verdana" w:eastAsia="Times New Roman" w:hAnsi="Verdana" w:cs="Times New Roman"/>
                <w:b/>
                <w:bCs/>
                <w:color w:val="FFFFFF"/>
                <w:sz w:val="18"/>
                <w:szCs w:val="18"/>
                <w:lang w:eastAsia="es-CO"/>
              </w:rPr>
            </w:pPr>
            <w:r w:rsidRPr="00021B2F">
              <w:rPr>
                <w:rFonts w:ascii="Verdana" w:eastAsia="Times New Roman" w:hAnsi="Verdana" w:cs="Times New Roman"/>
                <w:b/>
                <w:bCs/>
                <w:color w:val="FFFFFF"/>
                <w:sz w:val="18"/>
                <w:szCs w:val="18"/>
                <w:lang w:eastAsia="es-CO"/>
              </w:rPr>
              <w:t>Avance Total</w:t>
            </w:r>
          </w:p>
        </w:tc>
        <w:tc>
          <w:tcPr>
            <w:tcW w:w="661" w:type="pct"/>
            <w:tcBorders>
              <w:top w:val="nil"/>
              <w:left w:val="single" w:sz="4" w:space="0" w:color="FFFFFF"/>
              <w:bottom w:val="single" w:sz="12" w:space="0" w:color="FFFFFF"/>
              <w:right w:val="single" w:sz="4" w:space="0" w:color="FFFFFF"/>
            </w:tcBorders>
            <w:shd w:val="clear" w:color="4F81BD" w:fill="4F81BD"/>
            <w:noWrap/>
            <w:vAlign w:val="bottom"/>
            <w:hideMark/>
          </w:tcPr>
          <w:p w:rsidR="00FC7F0E" w:rsidRPr="00021B2F" w:rsidRDefault="00FC7F0E" w:rsidP="00FC7F0E">
            <w:pPr>
              <w:spacing w:after="0" w:line="240" w:lineRule="auto"/>
              <w:rPr>
                <w:rFonts w:ascii="Verdana" w:eastAsia="Times New Roman" w:hAnsi="Verdana" w:cs="Times New Roman"/>
                <w:b/>
                <w:bCs/>
                <w:color w:val="FFFFFF"/>
                <w:sz w:val="18"/>
                <w:szCs w:val="18"/>
                <w:lang w:eastAsia="es-CO"/>
              </w:rPr>
            </w:pPr>
            <w:r w:rsidRPr="00021B2F">
              <w:rPr>
                <w:rFonts w:ascii="Verdana" w:eastAsia="Times New Roman" w:hAnsi="Verdana" w:cs="Times New Roman"/>
                <w:b/>
                <w:bCs/>
                <w:color w:val="FFFFFF"/>
                <w:sz w:val="18"/>
                <w:szCs w:val="18"/>
                <w:lang w:eastAsia="es-CO"/>
              </w:rPr>
              <w:t>Avance Financiero</w:t>
            </w:r>
          </w:p>
        </w:tc>
      </w:tr>
      <w:tr w:rsidR="00FC7F0E" w:rsidRPr="00021B2F" w:rsidTr="00FC7F0E">
        <w:trPr>
          <w:trHeight w:val="300"/>
        </w:trPr>
        <w:tc>
          <w:tcPr>
            <w:tcW w:w="925" w:type="pct"/>
            <w:tcBorders>
              <w:top w:val="single" w:sz="4" w:space="0" w:color="FFFFFF"/>
              <w:left w:val="nil"/>
              <w:bottom w:val="single" w:sz="4" w:space="0" w:color="FFFFFF"/>
              <w:right w:val="single" w:sz="4" w:space="0" w:color="FFFFFF"/>
            </w:tcBorders>
            <w:shd w:val="clear" w:color="B8CCE4" w:fill="B8CCE4"/>
            <w:noWrap/>
            <w:vAlign w:val="bottom"/>
            <w:hideMark/>
          </w:tcPr>
          <w:p w:rsidR="00FC7F0E" w:rsidRPr="00021B2F" w:rsidRDefault="00FC7F0E" w:rsidP="00FC7F0E">
            <w:pPr>
              <w:spacing w:after="0" w:line="240" w:lineRule="auto"/>
              <w:rPr>
                <w:rFonts w:ascii="Verdana" w:eastAsia="Times New Roman" w:hAnsi="Verdana" w:cs="Times New Roman"/>
                <w:bCs/>
                <w:sz w:val="18"/>
                <w:szCs w:val="18"/>
                <w:lang w:eastAsia="es-CO"/>
              </w:rPr>
            </w:pPr>
            <w:r w:rsidRPr="00021B2F">
              <w:rPr>
                <w:rFonts w:ascii="Verdana" w:eastAsia="Times New Roman" w:hAnsi="Verdana" w:cs="Times New Roman"/>
                <w:bCs/>
                <w:sz w:val="18"/>
                <w:szCs w:val="18"/>
                <w:lang w:eastAsia="es-CO"/>
              </w:rPr>
              <w:t>2011011000131</w:t>
            </w:r>
          </w:p>
        </w:tc>
        <w:tc>
          <w:tcPr>
            <w:tcW w:w="1635" w:type="pct"/>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rsidR="00FC7F0E" w:rsidRPr="00021B2F" w:rsidRDefault="00FC7F0E" w:rsidP="00FC7F0E">
            <w:pPr>
              <w:spacing w:after="0" w:line="240" w:lineRule="auto"/>
              <w:rPr>
                <w:rFonts w:ascii="Verdana" w:eastAsia="Times New Roman" w:hAnsi="Verdana" w:cs="Times New Roman"/>
                <w:sz w:val="18"/>
                <w:szCs w:val="18"/>
                <w:lang w:eastAsia="es-CO"/>
              </w:rPr>
            </w:pPr>
            <w:r w:rsidRPr="00021B2F">
              <w:rPr>
                <w:rFonts w:ascii="Verdana" w:hAnsi="Verdana"/>
                <w:sz w:val="18"/>
                <w:szCs w:val="18"/>
              </w:rPr>
              <w:t>Implementación de UNIDOS red de protección social para la superación de la pobreza extrema - nacional</w:t>
            </w:r>
          </w:p>
        </w:tc>
        <w:tc>
          <w:tcPr>
            <w:tcW w:w="604" w:type="pct"/>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rsidR="00FC7F0E" w:rsidRPr="00021B2F" w:rsidRDefault="00FC7F0E" w:rsidP="00FC7F0E">
            <w:pPr>
              <w:spacing w:after="0" w:line="240" w:lineRule="auto"/>
              <w:jc w:val="center"/>
              <w:rPr>
                <w:rFonts w:ascii="Verdana" w:eastAsia="Times New Roman" w:hAnsi="Verdana" w:cs="Times New Roman"/>
                <w:sz w:val="18"/>
                <w:szCs w:val="18"/>
                <w:lang w:eastAsia="es-CO"/>
              </w:rPr>
            </w:pPr>
            <w:r w:rsidRPr="00021B2F">
              <w:rPr>
                <w:rFonts w:ascii="Verdana" w:eastAsia="Times New Roman" w:hAnsi="Verdana" w:cs="Times New Roman"/>
                <w:sz w:val="18"/>
                <w:szCs w:val="18"/>
                <w:lang w:eastAsia="es-CO"/>
              </w:rPr>
              <w:t>81.00%</w:t>
            </w:r>
          </w:p>
        </w:tc>
        <w:tc>
          <w:tcPr>
            <w:tcW w:w="605" w:type="pct"/>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rsidR="00FC7F0E" w:rsidRPr="00021B2F" w:rsidRDefault="00FC7F0E" w:rsidP="00FC7F0E">
            <w:pPr>
              <w:spacing w:after="0" w:line="240" w:lineRule="auto"/>
              <w:jc w:val="center"/>
              <w:rPr>
                <w:rFonts w:ascii="Verdana" w:eastAsia="Times New Roman" w:hAnsi="Verdana" w:cs="Times New Roman"/>
                <w:sz w:val="18"/>
                <w:szCs w:val="18"/>
                <w:lang w:eastAsia="es-CO"/>
              </w:rPr>
            </w:pPr>
            <w:r w:rsidRPr="00021B2F">
              <w:rPr>
                <w:rFonts w:ascii="Verdana" w:eastAsia="Times New Roman" w:hAnsi="Verdana" w:cs="Times New Roman"/>
                <w:sz w:val="18"/>
                <w:szCs w:val="18"/>
                <w:lang w:eastAsia="es-CO"/>
              </w:rPr>
              <w:t>109.40%</w:t>
            </w:r>
          </w:p>
        </w:tc>
        <w:tc>
          <w:tcPr>
            <w:tcW w:w="570" w:type="pct"/>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rsidR="00FC7F0E" w:rsidRPr="00021B2F" w:rsidRDefault="00FC7F0E" w:rsidP="00FC7F0E">
            <w:pPr>
              <w:spacing w:after="0" w:line="240" w:lineRule="auto"/>
              <w:jc w:val="center"/>
              <w:rPr>
                <w:rFonts w:ascii="Verdana" w:eastAsia="Times New Roman" w:hAnsi="Verdana" w:cs="Times New Roman"/>
                <w:sz w:val="18"/>
                <w:szCs w:val="18"/>
                <w:lang w:eastAsia="es-CO"/>
              </w:rPr>
            </w:pPr>
            <w:r w:rsidRPr="00021B2F">
              <w:rPr>
                <w:rFonts w:ascii="Verdana" w:eastAsia="Times New Roman" w:hAnsi="Verdana" w:cs="Times New Roman"/>
                <w:sz w:val="18"/>
                <w:szCs w:val="18"/>
                <w:lang w:eastAsia="es-CO"/>
              </w:rPr>
              <w:t>89.52%</w:t>
            </w:r>
          </w:p>
        </w:tc>
        <w:tc>
          <w:tcPr>
            <w:tcW w:w="661" w:type="pct"/>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rsidR="00FC7F0E" w:rsidRPr="00021B2F" w:rsidRDefault="00FC7F0E" w:rsidP="00FC7F0E">
            <w:pPr>
              <w:spacing w:after="0" w:line="240" w:lineRule="auto"/>
              <w:jc w:val="center"/>
              <w:rPr>
                <w:rFonts w:ascii="Verdana" w:eastAsia="Times New Roman" w:hAnsi="Verdana" w:cs="Times New Roman"/>
                <w:sz w:val="18"/>
                <w:szCs w:val="18"/>
                <w:lang w:eastAsia="es-CO"/>
              </w:rPr>
            </w:pPr>
            <w:r w:rsidRPr="00021B2F">
              <w:rPr>
                <w:rFonts w:ascii="Verdana" w:eastAsia="Times New Roman" w:hAnsi="Verdana" w:cs="Times New Roman"/>
                <w:sz w:val="18"/>
                <w:szCs w:val="18"/>
                <w:lang w:eastAsia="es-CO"/>
              </w:rPr>
              <w:t>96.95%</w:t>
            </w:r>
          </w:p>
        </w:tc>
      </w:tr>
      <w:tr w:rsidR="00FC7F0E" w:rsidRPr="00021B2F" w:rsidTr="00FC7F0E">
        <w:trPr>
          <w:trHeight w:val="300"/>
        </w:trPr>
        <w:tc>
          <w:tcPr>
            <w:tcW w:w="925" w:type="pct"/>
            <w:tcBorders>
              <w:top w:val="single" w:sz="4" w:space="0" w:color="FFFFFF"/>
              <w:left w:val="nil"/>
              <w:bottom w:val="single" w:sz="4" w:space="0" w:color="FFFFFF"/>
              <w:right w:val="single" w:sz="4" w:space="0" w:color="FFFFFF"/>
            </w:tcBorders>
            <w:shd w:val="clear" w:color="DCE6F1" w:fill="DCE6F1"/>
            <w:noWrap/>
            <w:vAlign w:val="bottom"/>
            <w:hideMark/>
          </w:tcPr>
          <w:p w:rsidR="00FC7F0E" w:rsidRPr="00021B2F" w:rsidRDefault="00FC7F0E" w:rsidP="00FC7F0E">
            <w:pPr>
              <w:spacing w:after="0" w:line="240" w:lineRule="auto"/>
              <w:rPr>
                <w:rFonts w:ascii="Verdana" w:eastAsia="Times New Roman" w:hAnsi="Verdana" w:cs="Times New Roman"/>
                <w:sz w:val="18"/>
                <w:szCs w:val="18"/>
                <w:lang w:eastAsia="es-CO"/>
              </w:rPr>
            </w:pPr>
            <w:r w:rsidRPr="00021B2F">
              <w:rPr>
                <w:rFonts w:ascii="Verdana" w:hAnsi="Verdana"/>
                <w:sz w:val="18"/>
                <w:szCs w:val="18"/>
              </w:rPr>
              <w:t>2012011000123</w:t>
            </w:r>
          </w:p>
        </w:tc>
        <w:tc>
          <w:tcPr>
            <w:tcW w:w="1635" w:type="pct"/>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rsidR="00FC7F0E" w:rsidRPr="00021B2F" w:rsidRDefault="00FC7F0E" w:rsidP="00FC7F0E">
            <w:pPr>
              <w:spacing w:after="0" w:line="240" w:lineRule="auto"/>
              <w:rPr>
                <w:rFonts w:ascii="Verdana" w:eastAsia="Times New Roman" w:hAnsi="Verdana" w:cs="Times New Roman"/>
                <w:sz w:val="18"/>
                <w:szCs w:val="18"/>
                <w:lang w:eastAsia="es-CO"/>
              </w:rPr>
            </w:pPr>
            <w:r w:rsidRPr="00021B2F">
              <w:rPr>
                <w:rFonts w:ascii="Verdana" w:hAnsi="Verdana"/>
                <w:sz w:val="18"/>
                <w:szCs w:val="18"/>
              </w:rPr>
              <w:t>Promover la innovación social para la superación de la pobreza y la vulnerabilidad en Colombia</w:t>
            </w:r>
          </w:p>
        </w:tc>
        <w:tc>
          <w:tcPr>
            <w:tcW w:w="604" w:type="pct"/>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rsidR="00FC7F0E" w:rsidRPr="00021B2F" w:rsidRDefault="00FC7F0E" w:rsidP="00FC7F0E">
            <w:pPr>
              <w:spacing w:after="0" w:line="240" w:lineRule="auto"/>
              <w:jc w:val="center"/>
              <w:rPr>
                <w:rFonts w:ascii="Verdana" w:eastAsia="Times New Roman" w:hAnsi="Verdana" w:cs="Times New Roman"/>
                <w:sz w:val="18"/>
                <w:szCs w:val="18"/>
                <w:lang w:eastAsia="es-CO"/>
              </w:rPr>
            </w:pPr>
            <w:r w:rsidRPr="00021B2F">
              <w:rPr>
                <w:rFonts w:ascii="Verdana" w:eastAsia="Times New Roman" w:hAnsi="Verdana" w:cs="Times New Roman"/>
                <w:sz w:val="18"/>
                <w:szCs w:val="18"/>
                <w:lang w:eastAsia="es-CO"/>
              </w:rPr>
              <w:t>100.00%</w:t>
            </w:r>
          </w:p>
        </w:tc>
        <w:tc>
          <w:tcPr>
            <w:tcW w:w="605" w:type="pct"/>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rsidR="00FC7F0E" w:rsidRPr="00021B2F" w:rsidRDefault="00FC7F0E" w:rsidP="00FC7F0E">
            <w:pPr>
              <w:spacing w:after="0" w:line="240" w:lineRule="auto"/>
              <w:jc w:val="center"/>
              <w:rPr>
                <w:rFonts w:ascii="Verdana" w:eastAsia="Times New Roman" w:hAnsi="Verdana" w:cs="Times New Roman"/>
                <w:sz w:val="18"/>
                <w:szCs w:val="18"/>
                <w:lang w:eastAsia="es-CO"/>
              </w:rPr>
            </w:pPr>
            <w:r w:rsidRPr="00021B2F">
              <w:rPr>
                <w:rFonts w:ascii="Verdana" w:eastAsia="Times New Roman" w:hAnsi="Verdana" w:cs="Times New Roman"/>
                <w:sz w:val="18"/>
                <w:szCs w:val="18"/>
                <w:lang w:eastAsia="es-CO"/>
              </w:rPr>
              <w:t>89.00%</w:t>
            </w:r>
          </w:p>
        </w:tc>
        <w:tc>
          <w:tcPr>
            <w:tcW w:w="570" w:type="pct"/>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rsidR="00FC7F0E" w:rsidRPr="00021B2F" w:rsidRDefault="00FC7F0E" w:rsidP="00FC7F0E">
            <w:pPr>
              <w:spacing w:after="0" w:line="240" w:lineRule="auto"/>
              <w:jc w:val="center"/>
              <w:rPr>
                <w:rFonts w:ascii="Verdana" w:eastAsia="Times New Roman" w:hAnsi="Verdana" w:cs="Times New Roman"/>
                <w:sz w:val="18"/>
                <w:szCs w:val="18"/>
                <w:lang w:eastAsia="es-CO"/>
              </w:rPr>
            </w:pPr>
            <w:r w:rsidRPr="00021B2F">
              <w:rPr>
                <w:rFonts w:ascii="Verdana" w:eastAsia="Times New Roman" w:hAnsi="Verdana" w:cs="Times New Roman"/>
                <w:sz w:val="18"/>
                <w:szCs w:val="18"/>
                <w:lang w:eastAsia="es-CO"/>
              </w:rPr>
              <w:t>94.50%</w:t>
            </w:r>
          </w:p>
        </w:tc>
        <w:tc>
          <w:tcPr>
            <w:tcW w:w="661" w:type="pct"/>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rsidR="00FC7F0E" w:rsidRPr="00021B2F" w:rsidRDefault="00FC7F0E" w:rsidP="00FC7F0E">
            <w:pPr>
              <w:spacing w:after="0" w:line="240" w:lineRule="auto"/>
              <w:jc w:val="center"/>
              <w:rPr>
                <w:rFonts w:ascii="Verdana" w:eastAsia="Times New Roman" w:hAnsi="Verdana" w:cs="Times New Roman"/>
                <w:sz w:val="18"/>
                <w:szCs w:val="18"/>
                <w:lang w:eastAsia="es-CO"/>
              </w:rPr>
            </w:pPr>
            <w:r w:rsidRPr="00021B2F">
              <w:rPr>
                <w:rFonts w:ascii="Verdana" w:eastAsia="Times New Roman" w:hAnsi="Verdana" w:cs="Times New Roman"/>
                <w:sz w:val="18"/>
                <w:szCs w:val="18"/>
                <w:lang w:eastAsia="es-CO"/>
              </w:rPr>
              <w:t>100.00%</w:t>
            </w:r>
          </w:p>
        </w:tc>
      </w:tr>
      <w:tr w:rsidR="00FC7F0E" w:rsidRPr="00021B2F" w:rsidTr="00FC7F0E">
        <w:trPr>
          <w:trHeight w:val="300"/>
        </w:trPr>
        <w:tc>
          <w:tcPr>
            <w:tcW w:w="925" w:type="pct"/>
            <w:tcBorders>
              <w:top w:val="single" w:sz="4" w:space="0" w:color="FFFFFF"/>
              <w:left w:val="nil"/>
              <w:bottom w:val="single" w:sz="4" w:space="0" w:color="FFFFFF"/>
              <w:right w:val="single" w:sz="4" w:space="0" w:color="FFFFFF"/>
            </w:tcBorders>
            <w:shd w:val="clear" w:color="B8CCE4" w:fill="B8CCE4"/>
            <w:noWrap/>
            <w:vAlign w:val="bottom"/>
            <w:hideMark/>
          </w:tcPr>
          <w:p w:rsidR="00FC7F0E" w:rsidRPr="00021B2F" w:rsidRDefault="00FC7F0E" w:rsidP="00FC7F0E">
            <w:pPr>
              <w:spacing w:after="0" w:line="240" w:lineRule="auto"/>
              <w:rPr>
                <w:rFonts w:ascii="Verdana" w:eastAsia="Times New Roman" w:hAnsi="Verdana" w:cs="Times New Roman"/>
                <w:sz w:val="18"/>
                <w:szCs w:val="18"/>
                <w:lang w:eastAsia="es-CO"/>
              </w:rPr>
            </w:pPr>
            <w:r w:rsidRPr="00021B2F">
              <w:rPr>
                <w:rFonts w:ascii="Verdana" w:hAnsi="Verdana"/>
                <w:sz w:val="18"/>
                <w:szCs w:val="18"/>
              </w:rPr>
              <w:t>2014011000313</w:t>
            </w:r>
          </w:p>
        </w:tc>
        <w:tc>
          <w:tcPr>
            <w:tcW w:w="1635" w:type="pct"/>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rsidR="00FC7F0E" w:rsidRPr="00021B2F" w:rsidRDefault="00FC7F0E" w:rsidP="00FC7F0E">
            <w:pPr>
              <w:spacing w:after="0" w:line="240" w:lineRule="auto"/>
              <w:rPr>
                <w:rFonts w:ascii="Verdana" w:eastAsia="Times New Roman" w:hAnsi="Verdana" w:cs="Times New Roman"/>
                <w:sz w:val="18"/>
                <w:szCs w:val="18"/>
                <w:lang w:eastAsia="es-CO"/>
              </w:rPr>
            </w:pPr>
            <w:r w:rsidRPr="00021B2F">
              <w:rPr>
                <w:rFonts w:ascii="Verdana" w:hAnsi="Verdana"/>
                <w:sz w:val="18"/>
                <w:szCs w:val="18"/>
              </w:rPr>
              <w:t>Mejoramiento de la calidad de vida de la población pobre extrema en municipios con contratos plan nacional</w:t>
            </w:r>
          </w:p>
        </w:tc>
        <w:tc>
          <w:tcPr>
            <w:tcW w:w="604" w:type="pct"/>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rsidR="00FC7F0E" w:rsidRPr="00021B2F" w:rsidRDefault="00FC7F0E" w:rsidP="00FC7F0E">
            <w:pPr>
              <w:spacing w:after="0" w:line="240" w:lineRule="auto"/>
              <w:jc w:val="center"/>
              <w:rPr>
                <w:rFonts w:ascii="Verdana" w:eastAsia="Times New Roman" w:hAnsi="Verdana" w:cs="Times New Roman"/>
                <w:sz w:val="18"/>
                <w:szCs w:val="18"/>
                <w:lang w:eastAsia="es-CO"/>
              </w:rPr>
            </w:pPr>
            <w:r w:rsidRPr="00021B2F">
              <w:rPr>
                <w:rFonts w:ascii="Verdana" w:eastAsia="Times New Roman" w:hAnsi="Verdana" w:cs="Times New Roman"/>
                <w:sz w:val="18"/>
                <w:szCs w:val="18"/>
                <w:lang w:eastAsia="es-CO"/>
              </w:rPr>
              <w:t>150.00%</w:t>
            </w:r>
          </w:p>
        </w:tc>
        <w:tc>
          <w:tcPr>
            <w:tcW w:w="605" w:type="pct"/>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rsidR="00FC7F0E" w:rsidRPr="00021B2F" w:rsidRDefault="00FC7F0E" w:rsidP="00FC7F0E">
            <w:pPr>
              <w:spacing w:after="0" w:line="240" w:lineRule="auto"/>
              <w:jc w:val="center"/>
              <w:rPr>
                <w:rFonts w:ascii="Verdana" w:eastAsia="Times New Roman" w:hAnsi="Verdana" w:cs="Times New Roman"/>
                <w:sz w:val="18"/>
                <w:szCs w:val="18"/>
                <w:lang w:eastAsia="es-CO"/>
              </w:rPr>
            </w:pPr>
            <w:r w:rsidRPr="00021B2F">
              <w:rPr>
                <w:rFonts w:ascii="Verdana" w:eastAsia="Times New Roman" w:hAnsi="Verdana" w:cs="Times New Roman"/>
                <w:sz w:val="18"/>
                <w:szCs w:val="18"/>
                <w:lang w:eastAsia="es-CO"/>
              </w:rPr>
              <w:t>91.25%</w:t>
            </w:r>
          </w:p>
        </w:tc>
        <w:tc>
          <w:tcPr>
            <w:tcW w:w="570" w:type="pct"/>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rsidR="00FC7F0E" w:rsidRPr="00021B2F" w:rsidRDefault="00FC7F0E" w:rsidP="00FC7F0E">
            <w:pPr>
              <w:spacing w:after="0" w:line="240" w:lineRule="auto"/>
              <w:jc w:val="center"/>
              <w:rPr>
                <w:rFonts w:ascii="Verdana" w:eastAsia="Times New Roman" w:hAnsi="Verdana" w:cs="Times New Roman"/>
                <w:sz w:val="18"/>
                <w:szCs w:val="18"/>
                <w:lang w:eastAsia="es-CO"/>
              </w:rPr>
            </w:pPr>
            <w:r w:rsidRPr="00021B2F">
              <w:rPr>
                <w:rFonts w:ascii="Verdana" w:eastAsia="Times New Roman" w:hAnsi="Verdana" w:cs="Times New Roman"/>
                <w:sz w:val="18"/>
                <w:szCs w:val="18"/>
                <w:lang w:eastAsia="es-CO"/>
              </w:rPr>
              <w:t>120.63%</w:t>
            </w:r>
          </w:p>
        </w:tc>
        <w:tc>
          <w:tcPr>
            <w:tcW w:w="661" w:type="pct"/>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rsidR="00FC7F0E" w:rsidRPr="00021B2F" w:rsidRDefault="00FC7F0E" w:rsidP="00FC7F0E">
            <w:pPr>
              <w:spacing w:after="0" w:line="240" w:lineRule="auto"/>
              <w:jc w:val="center"/>
              <w:rPr>
                <w:rFonts w:ascii="Verdana" w:eastAsia="Times New Roman" w:hAnsi="Verdana" w:cs="Times New Roman"/>
                <w:sz w:val="18"/>
                <w:szCs w:val="18"/>
                <w:lang w:eastAsia="es-CO"/>
              </w:rPr>
            </w:pPr>
            <w:r w:rsidRPr="00021B2F">
              <w:rPr>
                <w:rFonts w:ascii="Verdana" w:eastAsia="Times New Roman" w:hAnsi="Verdana" w:cs="Times New Roman"/>
                <w:sz w:val="18"/>
                <w:szCs w:val="18"/>
                <w:lang w:eastAsia="es-CO"/>
              </w:rPr>
              <w:t>100.00%</w:t>
            </w:r>
          </w:p>
        </w:tc>
      </w:tr>
      <w:tr w:rsidR="00FC7F0E" w:rsidRPr="00021B2F" w:rsidTr="00FC7F0E">
        <w:trPr>
          <w:trHeight w:val="300"/>
        </w:trPr>
        <w:tc>
          <w:tcPr>
            <w:tcW w:w="925" w:type="pct"/>
            <w:tcBorders>
              <w:top w:val="single" w:sz="4" w:space="0" w:color="FFFFFF"/>
              <w:left w:val="nil"/>
              <w:bottom w:val="single" w:sz="4" w:space="0" w:color="FFFFFF"/>
              <w:right w:val="single" w:sz="4" w:space="0" w:color="FFFFFF"/>
            </w:tcBorders>
            <w:shd w:val="clear" w:color="DCE6F1" w:fill="DCE6F1"/>
            <w:noWrap/>
            <w:vAlign w:val="bottom"/>
            <w:hideMark/>
          </w:tcPr>
          <w:p w:rsidR="00FC7F0E" w:rsidRPr="00021B2F" w:rsidRDefault="00FC7F0E" w:rsidP="00FC7F0E">
            <w:pPr>
              <w:spacing w:after="0" w:line="240" w:lineRule="auto"/>
              <w:rPr>
                <w:rFonts w:ascii="Verdana" w:eastAsia="Times New Roman" w:hAnsi="Verdana" w:cs="Times New Roman"/>
                <w:sz w:val="18"/>
                <w:szCs w:val="18"/>
                <w:lang w:eastAsia="es-CO"/>
              </w:rPr>
            </w:pPr>
            <w:r w:rsidRPr="00021B2F">
              <w:rPr>
                <w:rFonts w:ascii="Verdana" w:hAnsi="Verdana"/>
                <w:sz w:val="18"/>
                <w:szCs w:val="18"/>
              </w:rPr>
              <w:t>2014011000203</w:t>
            </w:r>
          </w:p>
        </w:tc>
        <w:tc>
          <w:tcPr>
            <w:tcW w:w="1635" w:type="pct"/>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rsidR="00FC7F0E" w:rsidRPr="00021B2F" w:rsidRDefault="00FC7F0E" w:rsidP="00FC7F0E">
            <w:pPr>
              <w:spacing w:after="0" w:line="240" w:lineRule="auto"/>
              <w:rPr>
                <w:rFonts w:ascii="Verdana" w:eastAsia="Times New Roman" w:hAnsi="Verdana" w:cs="Times New Roman"/>
                <w:sz w:val="18"/>
                <w:szCs w:val="18"/>
                <w:lang w:eastAsia="es-CO"/>
              </w:rPr>
            </w:pPr>
            <w:r w:rsidRPr="00021B2F">
              <w:rPr>
                <w:rFonts w:ascii="Verdana" w:hAnsi="Verdana"/>
                <w:sz w:val="18"/>
                <w:szCs w:val="18"/>
              </w:rPr>
              <w:t xml:space="preserve">Implementación de la estrategia nacional para la superación de la </w:t>
            </w:r>
            <w:r w:rsidRPr="00021B2F">
              <w:rPr>
                <w:rFonts w:ascii="Verdana" w:hAnsi="Verdana"/>
                <w:sz w:val="18"/>
                <w:szCs w:val="18"/>
              </w:rPr>
              <w:lastRenderedPageBreak/>
              <w:t>pobreza extrema</w:t>
            </w:r>
          </w:p>
        </w:tc>
        <w:tc>
          <w:tcPr>
            <w:tcW w:w="604" w:type="pct"/>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rsidR="00FC7F0E" w:rsidRPr="00021B2F" w:rsidRDefault="00FC7F0E" w:rsidP="00FC7F0E">
            <w:pPr>
              <w:spacing w:after="0" w:line="240" w:lineRule="auto"/>
              <w:jc w:val="center"/>
              <w:rPr>
                <w:rFonts w:ascii="Verdana" w:eastAsia="Times New Roman" w:hAnsi="Verdana" w:cs="Times New Roman"/>
                <w:sz w:val="18"/>
                <w:szCs w:val="18"/>
                <w:lang w:eastAsia="es-CO"/>
              </w:rPr>
            </w:pPr>
            <w:r w:rsidRPr="00021B2F">
              <w:rPr>
                <w:rFonts w:ascii="Verdana" w:eastAsia="Times New Roman" w:hAnsi="Verdana" w:cs="Times New Roman"/>
                <w:sz w:val="18"/>
                <w:szCs w:val="18"/>
                <w:lang w:eastAsia="es-CO"/>
              </w:rPr>
              <w:lastRenderedPageBreak/>
              <w:t>0.00%</w:t>
            </w:r>
          </w:p>
        </w:tc>
        <w:tc>
          <w:tcPr>
            <w:tcW w:w="605" w:type="pct"/>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rsidR="00FC7F0E" w:rsidRPr="00021B2F" w:rsidRDefault="00FC7F0E" w:rsidP="00FC7F0E">
            <w:pPr>
              <w:spacing w:after="0" w:line="240" w:lineRule="auto"/>
              <w:jc w:val="center"/>
              <w:rPr>
                <w:rFonts w:ascii="Verdana" w:eastAsia="Times New Roman" w:hAnsi="Verdana" w:cs="Times New Roman"/>
                <w:sz w:val="18"/>
                <w:szCs w:val="18"/>
                <w:lang w:eastAsia="es-CO"/>
              </w:rPr>
            </w:pPr>
            <w:r w:rsidRPr="00021B2F">
              <w:rPr>
                <w:rFonts w:ascii="Verdana" w:eastAsia="Times New Roman" w:hAnsi="Verdana" w:cs="Times New Roman"/>
                <w:sz w:val="18"/>
                <w:szCs w:val="18"/>
                <w:lang w:eastAsia="es-CO"/>
              </w:rPr>
              <w:t>0.00%</w:t>
            </w:r>
          </w:p>
        </w:tc>
        <w:tc>
          <w:tcPr>
            <w:tcW w:w="570" w:type="pct"/>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rsidR="00FC7F0E" w:rsidRPr="00021B2F" w:rsidRDefault="00FC7F0E" w:rsidP="00FC7F0E">
            <w:pPr>
              <w:spacing w:after="0" w:line="240" w:lineRule="auto"/>
              <w:jc w:val="center"/>
              <w:rPr>
                <w:rFonts w:ascii="Verdana" w:eastAsia="Times New Roman" w:hAnsi="Verdana" w:cs="Times New Roman"/>
                <w:sz w:val="18"/>
                <w:szCs w:val="18"/>
                <w:lang w:eastAsia="es-CO"/>
              </w:rPr>
            </w:pPr>
            <w:r w:rsidRPr="00021B2F">
              <w:rPr>
                <w:rFonts w:ascii="Verdana" w:eastAsia="Times New Roman" w:hAnsi="Verdana" w:cs="Times New Roman"/>
                <w:sz w:val="18"/>
                <w:szCs w:val="18"/>
                <w:lang w:eastAsia="es-CO"/>
              </w:rPr>
              <w:t>0.00%</w:t>
            </w:r>
          </w:p>
        </w:tc>
        <w:tc>
          <w:tcPr>
            <w:tcW w:w="661" w:type="pct"/>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rsidR="00FC7F0E" w:rsidRPr="00021B2F" w:rsidRDefault="00FC7F0E" w:rsidP="00FC7F0E">
            <w:pPr>
              <w:spacing w:after="0" w:line="240" w:lineRule="auto"/>
              <w:jc w:val="center"/>
              <w:rPr>
                <w:rFonts w:ascii="Verdana" w:eastAsia="Times New Roman" w:hAnsi="Verdana" w:cs="Times New Roman"/>
                <w:sz w:val="18"/>
                <w:szCs w:val="18"/>
                <w:lang w:eastAsia="es-CO"/>
              </w:rPr>
            </w:pPr>
            <w:r w:rsidRPr="00021B2F">
              <w:rPr>
                <w:rFonts w:ascii="Verdana" w:eastAsia="Times New Roman" w:hAnsi="Verdana" w:cs="Times New Roman"/>
                <w:sz w:val="18"/>
                <w:szCs w:val="18"/>
                <w:lang w:eastAsia="es-CO"/>
              </w:rPr>
              <w:t>0.00%</w:t>
            </w:r>
            <w:r w:rsidRPr="00021B2F">
              <w:rPr>
                <w:rFonts w:ascii="Verdana" w:eastAsia="Times New Roman" w:hAnsi="Verdana" w:cs="Times New Roman"/>
                <w:sz w:val="18"/>
                <w:szCs w:val="18"/>
                <w:vertAlign w:val="superscript"/>
                <w:lang w:eastAsia="es-CO"/>
              </w:rPr>
              <w:footnoteReference w:id="4"/>
            </w:r>
          </w:p>
        </w:tc>
      </w:tr>
    </w:tbl>
    <w:p w:rsidR="00AA0FE4" w:rsidRPr="00021B2F" w:rsidRDefault="00AA0FE4" w:rsidP="00AA0FE4">
      <w:pPr>
        <w:spacing w:after="0" w:line="240" w:lineRule="auto"/>
        <w:jc w:val="right"/>
        <w:rPr>
          <w:rFonts w:ascii="Verdana" w:hAnsi="Verdana"/>
          <w:b/>
          <w:sz w:val="18"/>
          <w:szCs w:val="18"/>
        </w:rPr>
      </w:pPr>
      <w:r w:rsidRPr="00021B2F">
        <w:rPr>
          <w:rFonts w:ascii="Verdana" w:hAnsi="Verdana"/>
          <w:b/>
          <w:sz w:val="18"/>
          <w:szCs w:val="18"/>
        </w:rPr>
        <w:lastRenderedPageBreak/>
        <w:t>Tabla 5. Proyectos de Inversión ANSPE 2014</w:t>
      </w:r>
    </w:p>
    <w:p w:rsidR="00FC7F0E" w:rsidRPr="00021B2F" w:rsidRDefault="00FC7F0E" w:rsidP="00AA0FE4">
      <w:pPr>
        <w:spacing w:after="0" w:line="240" w:lineRule="auto"/>
        <w:jc w:val="right"/>
        <w:rPr>
          <w:rFonts w:ascii="Verdana" w:hAnsi="Verdana"/>
          <w:sz w:val="24"/>
          <w:szCs w:val="24"/>
        </w:rPr>
      </w:pPr>
      <w:r w:rsidRPr="00021B2F">
        <w:rPr>
          <w:rFonts w:ascii="Verdana" w:hAnsi="Verdana"/>
          <w:sz w:val="18"/>
          <w:szCs w:val="18"/>
        </w:rPr>
        <w:t>Fuente: Sistema de Seguimiento a Proyectos de Inversión –DNP según lo reportado por la ANSPE y el sistema SIIF Nación del Ministerio de Hacienda. Corte: 31 de diciembre 2014</w:t>
      </w:r>
      <w:r w:rsidRPr="00021B2F">
        <w:rPr>
          <w:rFonts w:ascii="Verdana" w:hAnsi="Verdana"/>
          <w:sz w:val="24"/>
          <w:szCs w:val="24"/>
        </w:rPr>
        <w:t>.</w:t>
      </w:r>
    </w:p>
    <w:p w:rsidR="00FC7F0E" w:rsidRPr="00021B2F" w:rsidRDefault="00FC7F0E" w:rsidP="00FC7F0E">
      <w:pPr>
        <w:spacing w:after="0" w:line="240" w:lineRule="auto"/>
        <w:jc w:val="both"/>
        <w:rPr>
          <w:rFonts w:ascii="Verdana" w:hAnsi="Verdana"/>
          <w:b/>
          <w:color w:val="4F81BD" w:themeColor="accent1"/>
          <w:sz w:val="24"/>
          <w:szCs w:val="24"/>
        </w:rPr>
      </w:pPr>
    </w:p>
    <w:p w:rsidR="00FC7F0E" w:rsidRPr="00021B2F" w:rsidRDefault="00FC7F0E" w:rsidP="00FC7F0E">
      <w:pPr>
        <w:spacing w:after="0" w:line="240" w:lineRule="auto"/>
        <w:jc w:val="both"/>
        <w:rPr>
          <w:rFonts w:ascii="Verdana" w:hAnsi="Verdana"/>
          <w:b/>
          <w:color w:val="4F81BD" w:themeColor="accent1"/>
          <w:sz w:val="24"/>
          <w:szCs w:val="24"/>
        </w:rPr>
      </w:pPr>
    </w:p>
    <w:p w:rsidR="00AA0FE4" w:rsidRDefault="00AA0FE4" w:rsidP="00FC7F0E">
      <w:pPr>
        <w:spacing w:after="0" w:line="240" w:lineRule="auto"/>
        <w:jc w:val="both"/>
        <w:rPr>
          <w:rFonts w:ascii="Verdana" w:hAnsi="Verdana"/>
          <w:b/>
          <w:color w:val="4F81BD" w:themeColor="accent1"/>
          <w:sz w:val="32"/>
          <w:szCs w:val="24"/>
        </w:rPr>
      </w:pPr>
    </w:p>
    <w:p w:rsidR="00FC7F0E" w:rsidRPr="00252FE2" w:rsidRDefault="00252FE2" w:rsidP="00FC7F0E">
      <w:pPr>
        <w:spacing w:after="0" w:line="240" w:lineRule="auto"/>
        <w:jc w:val="both"/>
        <w:rPr>
          <w:rFonts w:ascii="Verdana" w:hAnsi="Verdana"/>
          <w:b/>
          <w:color w:val="4F81BD" w:themeColor="accent1"/>
          <w:sz w:val="28"/>
          <w:szCs w:val="24"/>
        </w:rPr>
      </w:pPr>
      <w:r w:rsidRPr="00252FE2">
        <w:rPr>
          <w:rFonts w:ascii="Verdana" w:hAnsi="Verdana"/>
          <w:b/>
          <w:noProof/>
          <w:color w:val="4F81BD" w:themeColor="accent1"/>
          <w:sz w:val="32"/>
          <w:szCs w:val="24"/>
          <w:lang w:eastAsia="es-CO"/>
        </w:rPr>
        <w:drawing>
          <wp:inline distT="0" distB="0" distL="0" distR="0">
            <wp:extent cx="216024" cy="216024"/>
            <wp:effectExtent l="19050" t="0" r="0" b="0"/>
            <wp:docPr id="471"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5868144" y="2852936"/>
                      <a:chExt cx="216024" cy="216024"/>
                    </a:xfrm>
                  </a:grpSpPr>
                  <a:sp>
                    <a:nvSpPr>
                      <a:cNvPr id="37" name="36 Rectángulo redondeado"/>
                      <a:cNvSpPr/>
                    </a:nvSpPr>
                    <a:spPr>
                      <a:xfrm>
                        <a:off x="5868144" y="2852936"/>
                        <a:ext cx="216024" cy="216024"/>
                      </a:xfrm>
                      <a:prstGeom prst="roundRect">
                        <a:avLst/>
                      </a:prstGeom>
                      <a:gradFill flip="none" rotWithShape="1">
                        <a:gsLst>
                          <a:gs pos="0">
                            <a:srgbClr val="CCECFF">
                              <a:shade val="30000"/>
                              <a:satMod val="115000"/>
                            </a:srgbClr>
                          </a:gs>
                          <a:gs pos="50000">
                            <a:srgbClr val="CCECFF">
                              <a:shade val="67500"/>
                              <a:satMod val="115000"/>
                            </a:srgbClr>
                          </a:gs>
                          <a:gs pos="100000">
                            <a:srgbClr val="CCECFF">
                              <a:shade val="100000"/>
                              <a:satMod val="115000"/>
                            </a:srgb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hAnsi="Verdana"/>
          <w:b/>
          <w:color w:val="4F81BD" w:themeColor="accent1"/>
          <w:sz w:val="32"/>
          <w:szCs w:val="24"/>
        </w:rPr>
        <w:t xml:space="preserve"> </w:t>
      </w:r>
      <w:r w:rsidR="00FC7F0E" w:rsidRPr="00252FE2">
        <w:rPr>
          <w:rFonts w:ascii="Verdana" w:hAnsi="Verdana"/>
          <w:b/>
          <w:color w:val="4F81BD" w:themeColor="accent1"/>
          <w:sz w:val="28"/>
          <w:szCs w:val="24"/>
        </w:rPr>
        <w:t>GESTIÓN</w:t>
      </w:r>
      <w:r w:rsidR="00FC7F0E" w:rsidRPr="00252FE2">
        <w:rPr>
          <w:rFonts w:ascii="Verdana" w:hAnsi="Verdana"/>
          <w:b/>
          <w:color w:val="4F81BD" w:themeColor="accent1"/>
          <w:sz w:val="28"/>
          <w:szCs w:val="24"/>
        </w:rPr>
        <w:tab/>
      </w:r>
    </w:p>
    <w:p w:rsidR="00AA0FE4" w:rsidRPr="00252FE2" w:rsidRDefault="00AA0FE4" w:rsidP="00FC7F0E">
      <w:pPr>
        <w:spacing w:after="0" w:line="240" w:lineRule="auto"/>
        <w:jc w:val="both"/>
        <w:rPr>
          <w:rFonts w:ascii="Verdana" w:hAnsi="Verdana"/>
          <w:b/>
          <w:color w:val="4F81BD" w:themeColor="accent1"/>
          <w:sz w:val="28"/>
          <w:szCs w:val="24"/>
        </w:rPr>
      </w:pPr>
    </w:p>
    <w:p w:rsidR="00FC7F0E" w:rsidRPr="00252FE2" w:rsidRDefault="00FC7F0E" w:rsidP="00FC7F0E">
      <w:pPr>
        <w:spacing w:after="0" w:line="240" w:lineRule="auto"/>
        <w:jc w:val="both"/>
        <w:rPr>
          <w:rFonts w:ascii="Verdana" w:hAnsi="Verdana"/>
          <w:b/>
          <w:color w:val="4F81BD" w:themeColor="accent1"/>
          <w:szCs w:val="24"/>
        </w:rPr>
      </w:pPr>
    </w:p>
    <w:p w:rsidR="00FC7F0E" w:rsidRPr="00252FE2" w:rsidRDefault="00AA0FE4" w:rsidP="00AA0FE4">
      <w:pPr>
        <w:spacing w:after="0" w:line="240" w:lineRule="auto"/>
        <w:jc w:val="both"/>
        <w:rPr>
          <w:rFonts w:ascii="Verdana" w:hAnsi="Verdana"/>
          <w:b/>
          <w:color w:val="548DD4" w:themeColor="text2" w:themeTint="99"/>
          <w:sz w:val="24"/>
          <w:szCs w:val="24"/>
        </w:rPr>
      </w:pPr>
      <w:r w:rsidRPr="00252FE2">
        <w:rPr>
          <w:rFonts w:ascii="Verdana" w:hAnsi="Verdana"/>
          <w:b/>
          <w:color w:val="548DD4" w:themeColor="text2" w:themeTint="99"/>
          <w:sz w:val="24"/>
          <w:szCs w:val="24"/>
        </w:rPr>
        <w:t xml:space="preserve">DIRECCIONES MISIONALES O PROGRAMAS MISIONALES: LOGROS 2014 POR PROGRAMA Y RETOS 2015. </w:t>
      </w:r>
    </w:p>
    <w:p w:rsidR="00FC7F0E" w:rsidRPr="00021B2F" w:rsidRDefault="00FC7F0E" w:rsidP="00FC7F0E">
      <w:pPr>
        <w:spacing w:after="0" w:line="240" w:lineRule="auto"/>
        <w:jc w:val="both"/>
        <w:rPr>
          <w:rFonts w:ascii="Verdana" w:hAnsi="Verdana"/>
          <w:sz w:val="24"/>
          <w:szCs w:val="24"/>
        </w:rPr>
      </w:pPr>
    </w:p>
    <w:p w:rsidR="00FC7F0E" w:rsidRPr="00A92923" w:rsidRDefault="00FC7F0E" w:rsidP="00FC7F0E">
      <w:pPr>
        <w:rPr>
          <w:rFonts w:ascii="Verdana" w:hAnsi="Verdana"/>
          <w:b/>
          <w:color w:val="548DD4" w:themeColor="text2" w:themeTint="99"/>
          <w:sz w:val="24"/>
          <w:szCs w:val="24"/>
          <w:u w:val="single"/>
        </w:rPr>
      </w:pPr>
      <w:r w:rsidRPr="00A92923">
        <w:rPr>
          <w:rFonts w:ascii="Verdana" w:hAnsi="Verdana"/>
          <w:b/>
          <w:color w:val="548DD4" w:themeColor="text2" w:themeTint="99"/>
          <w:sz w:val="24"/>
          <w:szCs w:val="24"/>
          <w:u w:val="single"/>
        </w:rPr>
        <w:t>DIRECCION DE PROMOCION FAMILIAR Y COMUNITARIA – DIPROM</w:t>
      </w:r>
    </w:p>
    <w:p w:rsidR="00FC7F0E" w:rsidRPr="008C3C74" w:rsidRDefault="00FC7F0E" w:rsidP="00AA0FE4">
      <w:pPr>
        <w:spacing w:after="0" w:line="240" w:lineRule="auto"/>
        <w:jc w:val="both"/>
        <w:rPr>
          <w:rFonts w:ascii="Verdana" w:hAnsi="Verdana"/>
          <w:sz w:val="24"/>
          <w:szCs w:val="24"/>
        </w:rPr>
      </w:pPr>
      <w:r w:rsidRPr="008C3C74">
        <w:rPr>
          <w:rFonts w:ascii="Verdana" w:hAnsi="Verdana"/>
          <w:sz w:val="24"/>
          <w:szCs w:val="24"/>
        </w:rPr>
        <w:t xml:space="preserve">Para el desarrollo de sus procesos misionales la ANSPE cuenta con la Dirección de Promoción Familiar y Comunitaria, la Dirección de Gestión de Oferta Territorial e Institucional, la Dirección de Innovación Social, la Dirección de Oferta Social Privada y cuatro equipos asesores:  100 mil viviendas,  Enfoque Diferencial, Zonas Libres de Pobreza Extrema –ZOLIP- y Fortalecimiento Institucional, cuyo trabajo articulado promueve la implementación de la Política Nacional de Superación </w:t>
      </w:r>
      <w:r>
        <w:rPr>
          <w:rFonts w:ascii="Verdana" w:hAnsi="Verdana"/>
          <w:sz w:val="24"/>
          <w:szCs w:val="24"/>
        </w:rPr>
        <w:t>de Pobreza Extrema en Colombia.</w:t>
      </w:r>
    </w:p>
    <w:p w:rsidR="00FC7F0E" w:rsidRPr="008C3C74" w:rsidRDefault="00FC7F0E" w:rsidP="00AA0FE4">
      <w:pPr>
        <w:spacing w:after="0" w:line="240" w:lineRule="auto"/>
        <w:jc w:val="both"/>
        <w:rPr>
          <w:rFonts w:ascii="Verdana" w:hAnsi="Verdana"/>
          <w:sz w:val="24"/>
          <w:szCs w:val="24"/>
        </w:rPr>
      </w:pPr>
      <w:r w:rsidRPr="008C3C74">
        <w:rPr>
          <w:rFonts w:ascii="Verdana" w:hAnsi="Verdana"/>
          <w:sz w:val="24"/>
          <w:szCs w:val="24"/>
        </w:rPr>
        <w:t>La Dirección de Promoción Familiar y Comunitaria hace parte de las cuatro Direcciones misionales de la ANSPE, encargada de Liderar el desarrollo y seguimiento continuo del Proceso de Promoción Familiar y Comunitaria.</w:t>
      </w:r>
    </w:p>
    <w:p w:rsidR="00AA0FE4" w:rsidRDefault="00AA0FE4" w:rsidP="00FC7F0E">
      <w:pPr>
        <w:jc w:val="both"/>
        <w:rPr>
          <w:rFonts w:ascii="Verdana" w:hAnsi="Verdana"/>
          <w:b/>
          <w:color w:val="548DD4" w:themeColor="text2" w:themeTint="99"/>
          <w:sz w:val="24"/>
          <w:szCs w:val="24"/>
        </w:rPr>
      </w:pPr>
    </w:p>
    <w:p w:rsidR="00FC7F0E" w:rsidRPr="00252FE2" w:rsidRDefault="00FC7F0E" w:rsidP="00252FE2">
      <w:pPr>
        <w:jc w:val="both"/>
        <w:rPr>
          <w:rFonts w:ascii="Verdana" w:hAnsi="Verdana"/>
          <w:b/>
          <w:color w:val="548DD4" w:themeColor="text2" w:themeTint="99"/>
          <w:sz w:val="24"/>
          <w:szCs w:val="24"/>
        </w:rPr>
      </w:pPr>
      <w:r w:rsidRPr="00252FE2">
        <w:rPr>
          <w:rFonts w:ascii="Verdana" w:hAnsi="Verdana"/>
          <w:b/>
          <w:color w:val="548DD4" w:themeColor="text2" w:themeTint="99"/>
          <w:sz w:val="24"/>
          <w:szCs w:val="24"/>
        </w:rPr>
        <w:t>Acompañamiento familiar</w:t>
      </w:r>
    </w:p>
    <w:p w:rsidR="00FC7F0E" w:rsidRPr="00AA0FE4" w:rsidRDefault="00FC7F0E" w:rsidP="00AA0FE4">
      <w:pPr>
        <w:spacing w:after="0" w:line="240" w:lineRule="auto"/>
        <w:jc w:val="both"/>
        <w:rPr>
          <w:rFonts w:ascii="Verdana" w:hAnsi="Verdana"/>
          <w:sz w:val="24"/>
          <w:szCs w:val="24"/>
        </w:rPr>
      </w:pPr>
      <w:r w:rsidRPr="00AA0FE4">
        <w:rPr>
          <w:rFonts w:ascii="Verdana" w:hAnsi="Verdana"/>
          <w:sz w:val="24"/>
          <w:szCs w:val="24"/>
        </w:rPr>
        <w:t>El acompañamiento familiar consiste en la atención personalizada a las familias en sus domicilios, con el fin de lograr que cada una de ellas reconozca sus fortalezas y potencialidades, consolide sus vínculos familiares, sus redes de interacción social y adquiera o fortalezca habilidades sociales para superar su situación de pobreza extrema.</w:t>
      </w:r>
    </w:p>
    <w:p w:rsidR="00FC7F0E" w:rsidRPr="00AA0FE4" w:rsidRDefault="00FC7F0E" w:rsidP="00AA0FE4">
      <w:pPr>
        <w:spacing w:after="0" w:line="240" w:lineRule="auto"/>
        <w:jc w:val="both"/>
        <w:rPr>
          <w:rFonts w:ascii="Verdana" w:hAnsi="Verdana"/>
          <w:sz w:val="24"/>
          <w:szCs w:val="24"/>
        </w:rPr>
      </w:pPr>
      <w:r w:rsidRPr="00AA0FE4">
        <w:rPr>
          <w:rFonts w:ascii="Verdana" w:hAnsi="Verdana"/>
          <w:sz w:val="24"/>
          <w:szCs w:val="24"/>
        </w:rPr>
        <w:t>Metodológicamente, las visitas se desarrollan en el siguiente orden:</w:t>
      </w:r>
    </w:p>
    <w:p w:rsidR="00FC7F0E" w:rsidRPr="00AA0FE4" w:rsidRDefault="00FC7F0E" w:rsidP="00AA0FE4">
      <w:pPr>
        <w:spacing w:after="0" w:line="240" w:lineRule="auto"/>
        <w:jc w:val="both"/>
        <w:rPr>
          <w:rFonts w:ascii="Verdana" w:hAnsi="Verdana"/>
          <w:sz w:val="24"/>
          <w:szCs w:val="24"/>
        </w:rPr>
      </w:pPr>
      <w:r w:rsidRPr="00AA0FE4">
        <w:rPr>
          <w:rFonts w:ascii="Verdana" w:hAnsi="Verdana"/>
          <w:sz w:val="24"/>
          <w:szCs w:val="24"/>
        </w:rPr>
        <w:t>(i)</w:t>
      </w:r>
      <w:r w:rsidRPr="00AA0FE4">
        <w:rPr>
          <w:rFonts w:ascii="Verdana" w:hAnsi="Verdana"/>
          <w:sz w:val="24"/>
          <w:szCs w:val="24"/>
        </w:rPr>
        <w:tab/>
        <w:t xml:space="preserve">Levantamiento de la Línea Base Familiar (dos sesiones). Instrumento aplicado a los hogares para calcular el estado de los 45 Logros Básicos Familiares en las nueve dimensiones de la pobreza. </w:t>
      </w:r>
    </w:p>
    <w:p w:rsidR="00FC7F0E" w:rsidRPr="00AA0FE4" w:rsidRDefault="00FC7F0E" w:rsidP="00AA0FE4">
      <w:pPr>
        <w:spacing w:after="0" w:line="240" w:lineRule="auto"/>
        <w:jc w:val="both"/>
        <w:rPr>
          <w:rFonts w:ascii="Verdana" w:hAnsi="Verdana"/>
          <w:sz w:val="24"/>
          <w:szCs w:val="24"/>
        </w:rPr>
      </w:pPr>
      <w:r w:rsidRPr="00AA0FE4">
        <w:rPr>
          <w:rFonts w:ascii="Verdana" w:hAnsi="Verdana"/>
          <w:sz w:val="24"/>
          <w:szCs w:val="24"/>
        </w:rPr>
        <w:lastRenderedPageBreak/>
        <w:t>(ii)</w:t>
      </w:r>
      <w:r w:rsidRPr="00AA0FE4">
        <w:rPr>
          <w:rFonts w:ascii="Verdana" w:hAnsi="Verdana"/>
          <w:sz w:val="24"/>
          <w:szCs w:val="24"/>
        </w:rPr>
        <w:tab/>
        <w:t>Construcción del Plan Familiar (dos sesiones). Este plan lo construye el hogar con el apoyo de su Cogestor Social asignado, identificando aquellos logros básicos que no ha alcanzado (logro por alcanzar), y aquellos que ya ha cumplido al momento de ingresar (logro alcanzado). Sobre este diagnóstico, el Cogestor programa con los hogares sus prioridades y la ruta a seguir.</w:t>
      </w:r>
    </w:p>
    <w:p w:rsidR="00FC7F0E" w:rsidRPr="00AA0FE4" w:rsidRDefault="00FC7F0E" w:rsidP="00AA0FE4">
      <w:pPr>
        <w:spacing w:after="0" w:line="240" w:lineRule="auto"/>
        <w:jc w:val="both"/>
        <w:rPr>
          <w:rFonts w:ascii="Verdana" w:hAnsi="Verdana"/>
          <w:sz w:val="24"/>
          <w:szCs w:val="24"/>
        </w:rPr>
      </w:pPr>
      <w:r w:rsidRPr="00AA0FE4">
        <w:rPr>
          <w:rFonts w:ascii="Verdana" w:hAnsi="Verdana"/>
          <w:sz w:val="24"/>
          <w:szCs w:val="24"/>
        </w:rPr>
        <w:t>(iii)</w:t>
      </w:r>
      <w:r w:rsidRPr="00AA0FE4">
        <w:rPr>
          <w:rFonts w:ascii="Verdana" w:hAnsi="Verdana"/>
          <w:sz w:val="24"/>
          <w:szCs w:val="24"/>
        </w:rPr>
        <w:tab/>
        <w:t xml:space="preserve">Seguimiento y Gestión de Logros (las sesiones que se requieran). Esta etapa tiene como propósito hacer seguimiento al avance del hogar en el cumplimiento de las tareas necesarias para que pueda alcanzar los logros básicos pendientes. El Cogestor orienta al hogar sobre las rutas de acceso a la oferta institucional existente y apoya los procesos de vinculación a la misma. </w:t>
      </w:r>
    </w:p>
    <w:p w:rsidR="00FC7F0E" w:rsidRPr="00AA0FE4" w:rsidRDefault="00FC7F0E" w:rsidP="00AA0FE4">
      <w:pPr>
        <w:spacing w:after="0" w:line="240" w:lineRule="auto"/>
        <w:jc w:val="both"/>
        <w:rPr>
          <w:rFonts w:ascii="Verdana" w:hAnsi="Verdana"/>
          <w:sz w:val="24"/>
          <w:szCs w:val="24"/>
        </w:rPr>
      </w:pPr>
      <w:r w:rsidRPr="00AA0FE4">
        <w:rPr>
          <w:rFonts w:ascii="Verdana" w:hAnsi="Verdana"/>
          <w:sz w:val="24"/>
          <w:szCs w:val="24"/>
        </w:rPr>
        <w:t>(iv)</w:t>
      </w:r>
      <w:r w:rsidRPr="00AA0FE4">
        <w:rPr>
          <w:rFonts w:ascii="Verdana" w:hAnsi="Verdana"/>
          <w:sz w:val="24"/>
          <w:szCs w:val="24"/>
        </w:rPr>
        <w:tab/>
        <w:t>Proceso de promoción de familias. Los hogares deben cumplir dos condiciones para ser promovidos de la Red UNIDOS: (i) Condición necesaria: Da cuenta de las intervenciones que una familia ha recibido en el marco de UNIDOS. (ii) Condición suficiente: mediante la aplicación de un formulario permite establecer si una familia superó la pobreza según sus ingresos y según el índice de pobreza multidimensional.</w:t>
      </w:r>
    </w:p>
    <w:p w:rsidR="00A269C5" w:rsidRDefault="00A269C5" w:rsidP="00AA0FE4">
      <w:pPr>
        <w:spacing w:after="0" w:line="240" w:lineRule="auto"/>
        <w:jc w:val="both"/>
        <w:rPr>
          <w:rFonts w:ascii="Verdana" w:hAnsi="Verdana"/>
          <w:sz w:val="24"/>
          <w:szCs w:val="24"/>
        </w:rPr>
      </w:pPr>
    </w:p>
    <w:p w:rsidR="00FC7F0E" w:rsidRDefault="00A269C5" w:rsidP="00AA0FE4">
      <w:pPr>
        <w:spacing w:after="0" w:line="240" w:lineRule="auto"/>
        <w:jc w:val="both"/>
        <w:rPr>
          <w:rFonts w:ascii="Verdana" w:hAnsi="Verdana"/>
          <w:b/>
          <w:color w:val="548DD4" w:themeColor="text2" w:themeTint="99"/>
          <w:sz w:val="24"/>
          <w:szCs w:val="24"/>
        </w:rPr>
      </w:pPr>
      <w:r w:rsidRPr="00A269C5">
        <w:rPr>
          <w:rFonts w:ascii="Verdana" w:hAnsi="Verdana"/>
          <w:b/>
          <w:color w:val="548DD4" w:themeColor="text2" w:themeTint="99"/>
          <w:sz w:val="24"/>
          <w:szCs w:val="24"/>
        </w:rPr>
        <w:t xml:space="preserve">Logros </w:t>
      </w:r>
      <w:r w:rsidR="00FC7F0E" w:rsidRPr="00A269C5">
        <w:rPr>
          <w:rFonts w:ascii="Verdana" w:hAnsi="Verdana"/>
          <w:b/>
          <w:color w:val="548DD4" w:themeColor="text2" w:themeTint="99"/>
          <w:sz w:val="24"/>
          <w:szCs w:val="24"/>
        </w:rPr>
        <w:t>2014</w:t>
      </w:r>
    </w:p>
    <w:p w:rsidR="00A269C5" w:rsidRPr="00A269C5" w:rsidRDefault="00A269C5" w:rsidP="00AA0FE4">
      <w:pPr>
        <w:spacing w:after="0" w:line="240" w:lineRule="auto"/>
        <w:jc w:val="both"/>
        <w:rPr>
          <w:rFonts w:ascii="Verdana" w:hAnsi="Verdana"/>
          <w:b/>
          <w:color w:val="548DD4" w:themeColor="text2" w:themeTint="99"/>
          <w:sz w:val="24"/>
          <w:szCs w:val="24"/>
        </w:rPr>
      </w:pPr>
    </w:p>
    <w:p w:rsidR="00FC7F0E" w:rsidRPr="00AA0FE4" w:rsidRDefault="00FC7F0E" w:rsidP="00582BDE">
      <w:pPr>
        <w:pStyle w:val="Prrafodelista"/>
        <w:numPr>
          <w:ilvl w:val="0"/>
          <w:numId w:val="129"/>
        </w:numPr>
        <w:spacing w:after="0" w:line="240" w:lineRule="auto"/>
        <w:jc w:val="both"/>
        <w:rPr>
          <w:rFonts w:ascii="Verdana" w:hAnsi="Verdana"/>
          <w:sz w:val="24"/>
          <w:szCs w:val="24"/>
        </w:rPr>
      </w:pPr>
      <w:r w:rsidRPr="00AA0FE4">
        <w:rPr>
          <w:rFonts w:ascii="Verdana" w:hAnsi="Verdana"/>
          <w:sz w:val="24"/>
          <w:szCs w:val="24"/>
        </w:rPr>
        <w:t>La ANSPE se encuentra en los 1.102 municipios del país, distribuidos en 40 regiones donde se implementa la Estrategia UNIDOS a través de Operadores Sociales  y en 5 territorios donde se interviene a través del Esquema de Operación Directa.</w:t>
      </w:r>
    </w:p>
    <w:p w:rsidR="00FC7F0E" w:rsidRPr="00AA0FE4" w:rsidRDefault="00FC7F0E" w:rsidP="00582BDE">
      <w:pPr>
        <w:pStyle w:val="Prrafodelista"/>
        <w:numPr>
          <w:ilvl w:val="0"/>
          <w:numId w:val="129"/>
        </w:numPr>
        <w:spacing w:after="0" w:line="240" w:lineRule="auto"/>
        <w:jc w:val="both"/>
        <w:rPr>
          <w:rFonts w:ascii="Verdana" w:hAnsi="Verdana"/>
          <w:sz w:val="24"/>
          <w:szCs w:val="24"/>
        </w:rPr>
      </w:pPr>
      <w:r w:rsidRPr="00AA0FE4">
        <w:rPr>
          <w:rFonts w:ascii="Verdana" w:hAnsi="Verdana"/>
          <w:sz w:val="24"/>
          <w:szCs w:val="24"/>
        </w:rPr>
        <w:t xml:space="preserve">Al cierre de 2014 un total de 9.101 Cogestores Sociales han acompañado a 1.469.839 hogares focalizados. </w:t>
      </w:r>
    </w:p>
    <w:p w:rsidR="00FC7F0E" w:rsidRPr="00AA0FE4" w:rsidRDefault="00FC7F0E" w:rsidP="00582BDE">
      <w:pPr>
        <w:pStyle w:val="Prrafodelista"/>
        <w:numPr>
          <w:ilvl w:val="0"/>
          <w:numId w:val="129"/>
        </w:numPr>
        <w:spacing w:after="0" w:line="240" w:lineRule="auto"/>
        <w:jc w:val="both"/>
        <w:rPr>
          <w:rFonts w:ascii="Verdana" w:hAnsi="Verdana"/>
          <w:sz w:val="24"/>
          <w:szCs w:val="24"/>
        </w:rPr>
      </w:pPr>
      <w:r w:rsidRPr="00AA0FE4">
        <w:rPr>
          <w:rFonts w:ascii="Verdana" w:hAnsi="Verdana"/>
          <w:sz w:val="24"/>
          <w:szCs w:val="24"/>
        </w:rPr>
        <w:t>1.334.165 hogares con los que se construyó Plan Familiar de los cuales 120.904 se realizaron en 2014.</w:t>
      </w:r>
    </w:p>
    <w:p w:rsidR="00FC7F0E" w:rsidRPr="00AA0FE4" w:rsidRDefault="00FC7F0E" w:rsidP="00582BDE">
      <w:pPr>
        <w:pStyle w:val="Prrafodelista"/>
        <w:numPr>
          <w:ilvl w:val="0"/>
          <w:numId w:val="129"/>
        </w:numPr>
        <w:spacing w:after="0" w:line="240" w:lineRule="auto"/>
        <w:jc w:val="both"/>
        <w:rPr>
          <w:rFonts w:ascii="Verdana" w:hAnsi="Verdana"/>
          <w:sz w:val="24"/>
          <w:szCs w:val="24"/>
        </w:rPr>
      </w:pPr>
      <w:r w:rsidRPr="00AA0FE4">
        <w:rPr>
          <w:rFonts w:ascii="Verdana" w:hAnsi="Verdana"/>
          <w:sz w:val="24"/>
          <w:szCs w:val="24"/>
        </w:rPr>
        <w:t>1.299.444 hogares acompañados por la estrategia han comenzado con la sesión de seguimiento y cumplimiento de sus logros, de los cuales 86.375 lo hicieron en 2014.</w:t>
      </w:r>
    </w:p>
    <w:p w:rsidR="00FC7F0E" w:rsidRPr="00AA0FE4" w:rsidRDefault="00FC7F0E" w:rsidP="00AA0FE4">
      <w:pPr>
        <w:pStyle w:val="Prrafodelista"/>
        <w:spacing w:after="0" w:line="240" w:lineRule="auto"/>
        <w:jc w:val="both"/>
        <w:rPr>
          <w:rFonts w:ascii="Verdana" w:hAnsi="Verdana"/>
          <w:sz w:val="24"/>
          <w:szCs w:val="24"/>
        </w:rPr>
      </w:pPr>
    </w:p>
    <w:p w:rsidR="00252FE2" w:rsidRDefault="00252FE2" w:rsidP="00252FE2">
      <w:pPr>
        <w:spacing w:after="0" w:line="240" w:lineRule="auto"/>
        <w:jc w:val="both"/>
        <w:rPr>
          <w:rFonts w:ascii="Verdana" w:hAnsi="Verdana"/>
          <w:b/>
          <w:color w:val="548DD4" w:themeColor="text2" w:themeTint="99"/>
          <w:sz w:val="24"/>
          <w:szCs w:val="24"/>
        </w:rPr>
      </w:pPr>
    </w:p>
    <w:p w:rsidR="00FC7F0E" w:rsidRPr="00252FE2" w:rsidRDefault="006B134A" w:rsidP="00252FE2">
      <w:pPr>
        <w:spacing w:after="0" w:line="240" w:lineRule="auto"/>
        <w:jc w:val="both"/>
        <w:rPr>
          <w:rFonts w:ascii="Verdana" w:hAnsi="Verdana"/>
          <w:b/>
          <w:color w:val="548DD4" w:themeColor="text2" w:themeTint="99"/>
          <w:sz w:val="24"/>
          <w:szCs w:val="24"/>
        </w:rPr>
      </w:pPr>
      <w:r w:rsidRPr="00252FE2">
        <w:rPr>
          <w:rFonts w:ascii="Verdana" w:hAnsi="Verdana"/>
          <w:b/>
          <w:color w:val="548DD4" w:themeColor="text2" w:themeTint="99"/>
          <w:sz w:val="24"/>
          <w:szCs w:val="24"/>
        </w:rPr>
        <w:t>Acompañamiento Comunitario –ANSPE En Comunidad</w:t>
      </w:r>
    </w:p>
    <w:p w:rsidR="00AA0FE4" w:rsidRPr="00AA0FE4" w:rsidRDefault="00AA0FE4" w:rsidP="00AA0FE4">
      <w:pPr>
        <w:spacing w:after="0" w:line="240" w:lineRule="auto"/>
        <w:jc w:val="both"/>
        <w:rPr>
          <w:rFonts w:ascii="Verdana" w:hAnsi="Verdana"/>
          <w:b/>
          <w:color w:val="548DD4" w:themeColor="text2" w:themeTint="99"/>
          <w:sz w:val="24"/>
          <w:szCs w:val="24"/>
        </w:rPr>
      </w:pPr>
    </w:p>
    <w:p w:rsidR="00FC7F0E" w:rsidRPr="00AA0FE4" w:rsidRDefault="00FC7F0E" w:rsidP="00AA0FE4">
      <w:pPr>
        <w:spacing w:after="0" w:line="240" w:lineRule="auto"/>
        <w:jc w:val="both"/>
        <w:rPr>
          <w:rFonts w:ascii="Verdana" w:hAnsi="Verdana"/>
          <w:sz w:val="24"/>
          <w:szCs w:val="24"/>
        </w:rPr>
      </w:pPr>
      <w:r w:rsidRPr="00AA0FE4">
        <w:rPr>
          <w:rFonts w:ascii="Verdana" w:hAnsi="Verdana"/>
          <w:sz w:val="24"/>
          <w:szCs w:val="24"/>
        </w:rPr>
        <w:t xml:space="preserve">El acompañamiento de la ANSPE a comunidades donde la mayoría de la población se encuentra en condición de pobreza extrema, pretende elevar sus capacidades, orientándolas hacia: i) la consecución de metas colectivas que faciliten el ejercicio de los derechos económicos, sociales y culturales de dicha población; ii) la construcción y /o fortalecimiento de un entorno social que favorezca e impulse la </w:t>
      </w:r>
      <w:r w:rsidRPr="00AA0FE4">
        <w:rPr>
          <w:rFonts w:ascii="Verdana" w:hAnsi="Verdana"/>
          <w:sz w:val="24"/>
          <w:szCs w:val="24"/>
        </w:rPr>
        <w:lastRenderedPageBreak/>
        <w:t xml:space="preserve">coexistencia pacífica, la igualdad, la inclusión, la organización, la sostenibilidad económica y la participación en escenarios de decisión, abarcando a todos los hogares que habitan en el territorio de intervención. </w:t>
      </w:r>
    </w:p>
    <w:p w:rsidR="00FC7F0E" w:rsidRPr="00AA0FE4" w:rsidRDefault="00FC7F0E" w:rsidP="00AA0FE4">
      <w:pPr>
        <w:spacing w:after="0" w:line="240" w:lineRule="auto"/>
        <w:jc w:val="both"/>
        <w:rPr>
          <w:rFonts w:ascii="Verdana" w:hAnsi="Verdana"/>
          <w:sz w:val="24"/>
          <w:szCs w:val="24"/>
        </w:rPr>
      </w:pPr>
      <w:r w:rsidRPr="00AA0FE4">
        <w:rPr>
          <w:rFonts w:ascii="Verdana" w:hAnsi="Verdana"/>
          <w:sz w:val="24"/>
          <w:szCs w:val="24"/>
        </w:rPr>
        <w:t xml:space="preserve">ANSPE en Comunidad se viene desarrollando en el marco del Acompañamiento Social a los hogares beneficiarios del Subsidio Familiar de Vivienda en Especie –SFVE, con el fin de realizar gestión y seguimiento a los servicios sociales comunitarios y en los territorios intervenidos bajo la estrategia Zonas Libres de Pobreza Extrema –ZOLIP. </w:t>
      </w:r>
    </w:p>
    <w:p w:rsidR="00FC7F0E" w:rsidRPr="00AA0FE4" w:rsidRDefault="00FC7F0E" w:rsidP="00AA0FE4">
      <w:pPr>
        <w:spacing w:after="0" w:line="240" w:lineRule="auto"/>
        <w:jc w:val="both"/>
        <w:rPr>
          <w:rFonts w:ascii="Verdana" w:hAnsi="Verdana"/>
          <w:sz w:val="24"/>
          <w:szCs w:val="24"/>
        </w:rPr>
      </w:pPr>
    </w:p>
    <w:p w:rsidR="00FC7F0E" w:rsidRPr="00A269C5" w:rsidRDefault="00A269C5" w:rsidP="00A269C5">
      <w:pPr>
        <w:spacing w:after="0" w:line="240" w:lineRule="auto"/>
        <w:jc w:val="both"/>
        <w:rPr>
          <w:rFonts w:ascii="Verdana" w:hAnsi="Verdana"/>
          <w:b/>
          <w:color w:val="0070C0"/>
          <w:sz w:val="24"/>
          <w:szCs w:val="24"/>
        </w:rPr>
      </w:pPr>
      <w:r w:rsidRPr="00A269C5">
        <w:rPr>
          <w:rFonts w:ascii="Verdana" w:hAnsi="Verdana"/>
          <w:b/>
          <w:color w:val="0070C0"/>
          <w:sz w:val="24"/>
          <w:szCs w:val="24"/>
        </w:rPr>
        <w:t>Logros</w:t>
      </w:r>
      <w:r w:rsidR="00FC7F0E" w:rsidRPr="00A269C5">
        <w:rPr>
          <w:rFonts w:ascii="Verdana" w:hAnsi="Verdana"/>
          <w:b/>
          <w:color w:val="0070C0"/>
          <w:sz w:val="24"/>
          <w:szCs w:val="24"/>
        </w:rPr>
        <w:t xml:space="preserve"> 2014</w:t>
      </w:r>
    </w:p>
    <w:p w:rsidR="00AA0FE4" w:rsidRDefault="00AA0FE4" w:rsidP="00AA0FE4">
      <w:pPr>
        <w:spacing w:after="0" w:line="240" w:lineRule="auto"/>
        <w:jc w:val="both"/>
        <w:rPr>
          <w:rFonts w:ascii="Verdana" w:hAnsi="Verdana"/>
          <w:sz w:val="24"/>
          <w:szCs w:val="24"/>
        </w:rPr>
      </w:pPr>
    </w:p>
    <w:p w:rsidR="00FC7F0E" w:rsidRDefault="00FC7F0E" w:rsidP="00AA0FE4">
      <w:pPr>
        <w:spacing w:after="0" w:line="240" w:lineRule="auto"/>
        <w:jc w:val="both"/>
        <w:rPr>
          <w:rFonts w:ascii="Verdana" w:hAnsi="Verdana"/>
          <w:sz w:val="24"/>
          <w:szCs w:val="24"/>
        </w:rPr>
      </w:pPr>
      <w:r w:rsidRPr="00AA0FE4">
        <w:rPr>
          <w:rFonts w:ascii="Verdana" w:hAnsi="Verdana"/>
          <w:sz w:val="24"/>
          <w:szCs w:val="24"/>
        </w:rPr>
        <w:t>Diseño metodológico: se ha avanzado en la elaboración de los documentos metodológicos que orientan la ruta de acompañamiento comunitario con énfasis en las fases del acompañamiento a los hogares beneficiarios del Subsidio Familiar de Vivienda en Especie –SFVE, los cuales son:</w:t>
      </w:r>
    </w:p>
    <w:p w:rsidR="00A269C5" w:rsidRPr="00AA0FE4" w:rsidRDefault="00A269C5" w:rsidP="00AA0FE4">
      <w:pPr>
        <w:spacing w:after="0" w:line="240" w:lineRule="auto"/>
        <w:jc w:val="both"/>
        <w:rPr>
          <w:rFonts w:ascii="Verdana" w:hAnsi="Verdana"/>
          <w:sz w:val="24"/>
          <w:szCs w:val="24"/>
        </w:rPr>
      </w:pPr>
    </w:p>
    <w:p w:rsidR="00FC7F0E" w:rsidRPr="00252FE2" w:rsidRDefault="00FC7F0E" w:rsidP="00582BDE">
      <w:pPr>
        <w:pStyle w:val="Prrafodelista"/>
        <w:numPr>
          <w:ilvl w:val="0"/>
          <w:numId w:val="130"/>
        </w:numPr>
        <w:spacing w:after="0" w:line="240" w:lineRule="auto"/>
        <w:jc w:val="both"/>
        <w:rPr>
          <w:rFonts w:ascii="Verdana" w:hAnsi="Verdana"/>
          <w:i/>
          <w:sz w:val="24"/>
          <w:szCs w:val="24"/>
        </w:rPr>
      </w:pPr>
      <w:r w:rsidRPr="00252FE2">
        <w:rPr>
          <w:rFonts w:ascii="Verdana" w:hAnsi="Verdana"/>
          <w:i/>
          <w:sz w:val="24"/>
          <w:szCs w:val="24"/>
        </w:rPr>
        <w:t>Cartilla Fase de Postulación y Asignación. Brinda conocimiento a los equipos territoriales sobre los pasos a seguir durante la fase de la postulación y asignación de Subsidio Familiar de Vivienda en Especie (SFVE), con el fin de garantizar la participación activa de los hogares durante la fase de postulación al SFVE.</w:t>
      </w:r>
    </w:p>
    <w:p w:rsidR="00FC7F0E" w:rsidRPr="00252FE2" w:rsidRDefault="00FC7F0E" w:rsidP="00582BDE">
      <w:pPr>
        <w:pStyle w:val="Prrafodelista"/>
        <w:numPr>
          <w:ilvl w:val="0"/>
          <w:numId w:val="130"/>
        </w:numPr>
        <w:spacing w:after="0" w:line="240" w:lineRule="auto"/>
        <w:jc w:val="both"/>
        <w:rPr>
          <w:rFonts w:ascii="Verdana" w:hAnsi="Verdana"/>
          <w:i/>
          <w:sz w:val="24"/>
          <w:szCs w:val="24"/>
        </w:rPr>
      </w:pPr>
      <w:r w:rsidRPr="00252FE2">
        <w:rPr>
          <w:rFonts w:ascii="Verdana" w:hAnsi="Verdana"/>
          <w:i/>
          <w:sz w:val="24"/>
          <w:szCs w:val="24"/>
        </w:rPr>
        <w:t>Protocolo Fase de Mudanza. Desarrolla una metodología familiar y comunitaria, con el fin de preparar a las familias para la mudanza a su nueva vivienda e identificar con antelación su nuevo entorno social y comunitario.</w:t>
      </w:r>
    </w:p>
    <w:p w:rsidR="00FC7F0E" w:rsidRPr="00252FE2" w:rsidRDefault="00FC7F0E" w:rsidP="00582BDE">
      <w:pPr>
        <w:pStyle w:val="Prrafodelista"/>
        <w:numPr>
          <w:ilvl w:val="0"/>
          <w:numId w:val="130"/>
        </w:numPr>
        <w:spacing w:after="0" w:line="240" w:lineRule="auto"/>
        <w:jc w:val="both"/>
        <w:rPr>
          <w:rFonts w:ascii="Verdana" w:hAnsi="Verdana"/>
          <w:i/>
          <w:sz w:val="24"/>
          <w:szCs w:val="24"/>
        </w:rPr>
      </w:pPr>
      <w:r w:rsidRPr="00252FE2">
        <w:rPr>
          <w:rFonts w:ascii="Verdana" w:hAnsi="Verdana"/>
          <w:i/>
          <w:sz w:val="24"/>
          <w:szCs w:val="24"/>
        </w:rPr>
        <w:t>Protocolo Fase Línea Base Comunitaria. Plantea dos tipos de dinámicas: una formativa para la convivencia y construcción de vínculos sociales y, una segunda, de lectura y apropiación del territorio, como un proceso de producción colectiva de conocimiento de las comunidades sobre su entorno cultural, social y territorial. Este protocolo cuenta con las siguientes herramientas:</w:t>
      </w:r>
    </w:p>
    <w:p w:rsidR="00FC7F0E" w:rsidRPr="00AA0FE4" w:rsidRDefault="00FC7F0E" w:rsidP="00582BDE">
      <w:pPr>
        <w:pStyle w:val="Prrafodelista"/>
        <w:numPr>
          <w:ilvl w:val="0"/>
          <w:numId w:val="131"/>
        </w:numPr>
        <w:spacing w:after="0" w:line="240" w:lineRule="auto"/>
        <w:jc w:val="both"/>
        <w:rPr>
          <w:rFonts w:ascii="Verdana" w:hAnsi="Verdana"/>
          <w:sz w:val="24"/>
          <w:szCs w:val="24"/>
        </w:rPr>
      </w:pPr>
      <w:r w:rsidRPr="00AA0FE4">
        <w:rPr>
          <w:rFonts w:ascii="Verdana" w:hAnsi="Verdana"/>
          <w:sz w:val="24"/>
          <w:szCs w:val="24"/>
        </w:rPr>
        <w:t>Caracterización Territorial: identificación territorial de la infraestructura y dotación pública existente en los proyectos de vivienda, cuya herramienta hace parte del protocolo de levantamiento de Línea Base Comunitaria.</w:t>
      </w:r>
    </w:p>
    <w:p w:rsidR="00FC7F0E" w:rsidRPr="00AA0FE4" w:rsidRDefault="00FC7F0E" w:rsidP="00582BDE">
      <w:pPr>
        <w:pStyle w:val="Prrafodelista"/>
        <w:numPr>
          <w:ilvl w:val="0"/>
          <w:numId w:val="131"/>
        </w:numPr>
        <w:spacing w:after="0" w:line="240" w:lineRule="auto"/>
        <w:jc w:val="both"/>
        <w:rPr>
          <w:rFonts w:ascii="Verdana" w:hAnsi="Verdana"/>
          <w:sz w:val="24"/>
          <w:szCs w:val="24"/>
        </w:rPr>
      </w:pPr>
      <w:r w:rsidRPr="00AA0FE4">
        <w:rPr>
          <w:rFonts w:ascii="Verdana" w:hAnsi="Verdana"/>
          <w:sz w:val="24"/>
          <w:szCs w:val="24"/>
        </w:rPr>
        <w:t>Mapa de Actores: se diligencia identificando actores y formas de organización en los lugares significativos en el territorio, o de acuerdo con la organización indígena o afro colombiana en los pueblos indígenas o en los territorios colectivos (Consejos Comunitarios).</w:t>
      </w:r>
    </w:p>
    <w:p w:rsidR="00FC7F0E" w:rsidRPr="00AA0FE4" w:rsidRDefault="00FC7F0E" w:rsidP="00582BDE">
      <w:pPr>
        <w:pStyle w:val="Prrafodelista"/>
        <w:numPr>
          <w:ilvl w:val="0"/>
          <w:numId w:val="131"/>
        </w:numPr>
        <w:spacing w:after="0" w:line="240" w:lineRule="auto"/>
        <w:jc w:val="both"/>
        <w:rPr>
          <w:rFonts w:ascii="Verdana" w:hAnsi="Verdana"/>
          <w:sz w:val="24"/>
          <w:szCs w:val="24"/>
        </w:rPr>
      </w:pPr>
      <w:r w:rsidRPr="00AA0FE4">
        <w:rPr>
          <w:rFonts w:ascii="Verdana" w:hAnsi="Verdana"/>
          <w:sz w:val="24"/>
          <w:szCs w:val="24"/>
        </w:rPr>
        <w:lastRenderedPageBreak/>
        <w:t>Ficha de Situaciones: consolida las problemáticas identificadas con la comunidad para cada una de las dimensiones comunitarias e identifica las posibles iniciativas para su solución.</w:t>
      </w:r>
    </w:p>
    <w:p w:rsidR="00FC7F0E" w:rsidRPr="00AA0FE4" w:rsidRDefault="00FC7F0E" w:rsidP="00AA0FE4">
      <w:pPr>
        <w:pStyle w:val="Prrafodelista"/>
        <w:spacing w:after="0" w:line="240" w:lineRule="auto"/>
        <w:ind w:left="1440"/>
        <w:jc w:val="both"/>
        <w:rPr>
          <w:rFonts w:ascii="Verdana" w:hAnsi="Verdana"/>
          <w:sz w:val="24"/>
          <w:szCs w:val="24"/>
        </w:rPr>
      </w:pPr>
    </w:p>
    <w:p w:rsidR="00FC7F0E" w:rsidRPr="00AA0FE4" w:rsidRDefault="00FC7F0E" w:rsidP="00FF784D">
      <w:pPr>
        <w:pStyle w:val="Prrafodelista"/>
        <w:numPr>
          <w:ilvl w:val="0"/>
          <w:numId w:val="45"/>
        </w:numPr>
        <w:spacing w:after="0" w:line="240" w:lineRule="auto"/>
        <w:jc w:val="both"/>
        <w:rPr>
          <w:rFonts w:ascii="Verdana" w:hAnsi="Verdana"/>
          <w:sz w:val="24"/>
          <w:szCs w:val="24"/>
        </w:rPr>
      </w:pPr>
      <w:r w:rsidRPr="00AA0FE4">
        <w:rPr>
          <w:rFonts w:ascii="Verdana" w:hAnsi="Verdana"/>
          <w:sz w:val="24"/>
          <w:szCs w:val="24"/>
        </w:rPr>
        <w:t>Protocolo Fase de Plan de Gestión y Fortalecimiento Comunitario. Promueve la concertación de acciones que permitan el fortalecimiento de capacidades comunitarias orientadas hacia la construcción de convivencia, la integración comunitaria y el mejoramiento de la calidad de vida.</w:t>
      </w:r>
    </w:p>
    <w:p w:rsidR="006B134A" w:rsidRDefault="006B134A" w:rsidP="00AA0FE4">
      <w:pPr>
        <w:spacing w:after="0" w:line="240" w:lineRule="auto"/>
        <w:jc w:val="both"/>
        <w:rPr>
          <w:rFonts w:ascii="Verdana" w:hAnsi="Verdana"/>
          <w:b/>
          <w:sz w:val="24"/>
          <w:szCs w:val="24"/>
        </w:rPr>
      </w:pPr>
    </w:p>
    <w:p w:rsidR="00FC7F0E" w:rsidRPr="00A269C5" w:rsidRDefault="00FC7F0E" w:rsidP="00A269C5">
      <w:pPr>
        <w:spacing w:after="0" w:line="240" w:lineRule="auto"/>
        <w:jc w:val="both"/>
        <w:rPr>
          <w:rFonts w:ascii="Verdana" w:hAnsi="Verdana"/>
          <w:b/>
          <w:color w:val="0070C0"/>
          <w:sz w:val="24"/>
          <w:szCs w:val="24"/>
        </w:rPr>
      </w:pPr>
      <w:r w:rsidRPr="00A269C5">
        <w:rPr>
          <w:rFonts w:ascii="Verdana" w:hAnsi="Verdana"/>
          <w:b/>
          <w:color w:val="0070C0"/>
          <w:sz w:val="24"/>
          <w:szCs w:val="24"/>
        </w:rPr>
        <w:t xml:space="preserve">Formación y Calidad del Acompañamiento </w:t>
      </w:r>
    </w:p>
    <w:p w:rsidR="006B134A" w:rsidRPr="00AA0FE4" w:rsidRDefault="006B134A" w:rsidP="00AA0FE4">
      <w:pPr>
        <w:spacing w:after="0" w:line="240" w:lineRule="auto"/>
        <w:jc w:val="both"/>
        <w:rPr>
          <w:rFonts w:ascii="Verdana" w:hAnsi="Verdana"/>
          <w:b/>
          <w:sz w:val="24"/>
          <w:szCs w:val="24"/>
        </w:rPr>
      </w:pPr>
    </w:p>
    <w:p w:rsidR="00FC7F0E" w:rsidRPr="00AA0FE4" w:rsidRDefault="00FC7F0E" w:rsidP="00AA0FE4">
      <w:pPr>
        <w:spacing w:after="0" w:line="240" w:lineRule="auto"/>
        <w:jc w:val="both"/>
        <w:rPr>
          <w:rFonts w:ascii="Verdana" w:hAnsi="Verdana"/>
          <w:sz w:val="24"/>
          <w:szCs w:val="24"/>
        </w:rPr>
      </w:pPr>
      <w:r w:rsidRPr="00AA0FE4">
        <w:rPr>
          <w:rFonts w:ascii="Verdana" w:hAnsi="Verdana"/>
          <w:sz w:val="24"/>
          <w:szCs w:val="24"/>
        </w:rPr>
        <w:t>Para asegurar la calidad del acompañamiento familiar y comunitario, se realizan procesos de formación con la intención de lograr una operación eficiente, articulada, generadora de conocimiento y con enfoque en resultados.</w:t>
      </w:r>
    </w:p>
    <w:p w:rsidR="00A269C5" w:rsidRDefault="00A269C5" w:rsidP="00AA0FE4">
      <w:pPr>
        <w:spacing w:after="0" w:line="240" w:lineRule="auto"/>
        <w:jc w:val="both"/>
        <w:rPr>
          <w:rFonts w:ascii="Verdana" w:hAnsi="Verdana"/>
          <w:sz w:val="24"/>
          <w:szCs w:val="24"/>
        </w:rPr>
      </w:pPr>
    </w:p>
    <w:p w:rsidR="00FC7F0E" w:rsidRDefault="00A269C5" w:rsidP="00AA0FE4">
      <w:pPr>
        <w:spacing w:after="0" w:line="240" w:lineRule="auto"/>
        <w:jc w:val="both"/>
        <w:rPr>
          <w:rFonts w:ascii="Verdana" w:hAnsi="Verdana"/>
          <w:b/>
          <w:color w:val="0070C0"/>
          <w:sz w:val="24"/>
          <w:szCs w:val="24"/>
        </w:rPr>
      </w:pPr>
      <w:r w:rsidRPr="00A269C5">
        <w:rPr>
          <w:rFonts w:ascii="Verdana" w:hAnsi="Verdana"/>
          <w:b/>
          <w:color w:val="0070C0"/>
          <w:sz w:val="24"/>
          <w:szCs w:val="24"/>
        </w:rPr>
        <w:t>Logros</w:t>
      </w:r>
      <w:r w:rsidR="00FC7F0E" w:rsidRPr="00A269C5">
        <w:rPr>
          <w:rFonts w:ascii="Verdana" w:hAnsi="Verdana"/>
          <w:b/>
          <w:color w:val="0070C0"/>
          <w:sz w:val="24"/>
          <w:szCs w:val="24"/>
        </w:rPr>
        <w:t xml:space="preserve"> 2014</w:t>
      </w:r>
    </w:p>
    <w:p w:rsidR="00A269C5" w:rsidRPr="00A269C5" w:rsidRDefault="00A269C5" w:rsidP="00AA0FE4">
      <w:pPr>
        <w:spacing w:after="0" w:line="240" w:lineRule="auto"/>
        <w:jc w:val="both"/>
        <w:rPr>
          <w:rFonts w:ascii="Verdana" w:hAnsi="Verdana"/>
          <w:b/>
          <w:color w:val="0070C0"/>
          <w:sz w:val="24"/>
          <w:szCs w:val="24"/>
        </w:rPr>
      </w:pPr>
    </w:p>
    <w:p w:rsidR="00FC7F0E" w:rsidRPr="00252FE2" w:rsidRDefault="00FC7F0E" w:rsidP="00FF784D">
      <w:pPr>
        <w:pStyle w:val="Prrafodelista"/>
        <w:numPr>
          <w:ilvl w:val="0"/>
          <w:numId w:val="45"/>
        </w:numPr>
        <w:spacing w:after="0" w:line="240" w:lineRule="auto"/>
        <w:jc w:val="both"/>
        <w:rPr>
          <w:rFonts w:ascii="Verdana" w:hAnsi="Verdana"/>
          <w:i/>
          <w:sz w:val="24"/>
          <w:szCs w:val="24"/>
        </w:rPr>
      </w:pPr>
      <w:r w:rsidRPr="00252FE2">
        <w:rPr>
          <w:rFonts w:ascii="Verdana" w:hAnsi="Verdana"/>
          <w:i/>
          <w:sz w:val="24"/>
          <w:szCs w:val="24"/>
        </w:rPr>
        <w:t xml:space="preserve">Procesos de formación en gestión de oferta, ingresos y trabajo, discapacidad, enfoque diferencial, salud, derechos sexuales y reproductivos (UNFPA), acompañamiento comunitario enfocado a los proyectos de cien mil viviendas, gestión y seguimiento de logros, promoción, plan familiar y activos, y desarrollo humano. </w:t>
      </w:r>
    </w:p>
    <w:p w:rsidR="00FC7F0E" w:rsidRPr="00252FE2" w:rsidRDefault="00FC7F0E" w:rsidP="00FF784D">
      <w:pPr>
        <w:pStyle w:val="Prrafodelista"/>
        <w:numPr>
          <w:ilvl w:val="0"/>
          <w:numId w:val="45"/>
        </w:numPr>
        <w:spacing w:after="0" w:line="240" w:lineRule="auto"/>
        <w:jc w:val="both"/>
        <w:rPr>
          <w:rFonts w:ascii="Verdana" w:hAnsi="Verdana"/>
          <w:i/>
          <w:sz w:val="24"/>
          <w:szCs w:val="24"/>
        </w:rPr>
      </w:pPr>
      <w:r w:rsidRPr="00252FE2">
        <w:rPr>
          <w:rFonts w:ascii="Verdana" w:hAnsi="Verdana"/>
          <w:i/>
          <w:sz w:val="24"/>
          <w:szCs w:val="24"/>
        </w:rPr>
        <w:t xml:space="preserve">Procesos de inducción y empalme: se llevaron a cabo procesos de inducción en todas las microrregiones y departamentos del país, a 89 miembros de los Equipos de Coordinación y 1.871 Cogestores Sociales. </w:t>
      </w:r>
    </w:p>
    <w:p w:rsidR="00FC7F0E" w:rsidRPr="00252FE2" w:rsidRDefault="00FC7F0E" w:rsidP="00FF784D">
      <w:pPr>
        <w:pStyle w:val="Prrafodelista"/>
        <w:numPr>
          <w:ilvl w:val="0"/>
          <w:numId w:val="45"/>
        </w:numPr>
        <w:spacing w:after="0" w:line="240" w:lineRule="auto"/>
        <w:jc w:val="both"/>
        <w:rPr>
          <w:rFonts w:ascii="Verdana" w:hAnsi="Verdana"/>
          <w:i/>
          <w:sz w:val="24"/>
          <w:szCs w:val="24"/>
        </w:rPr>
      </w:pPr>
      <w:r w:rsidRPr="00252FE2">
        <w:rPr>
          <w:rFonts w:ascii="Verdana" w:hAnsi="Verdana"/>
          <w:i/>
          <w:sz w:val="24"/>
          <w:szCs w:val="24"/>
        </w:rPr>
        <w:t>Jornadas de autocuidado y bienestar humano: se fortaleció a los equipos a través de 103 jornadas de autocuidado en las que participaron 458 miembros del equipo de coordinación y 6.262 Cogestores Sociales.</w:t>
      </w:r>
    </w:p>
    <w:p w:rsidR="00FC7F0E" w:rsidRPr="00252FE2" w:rsidRDefault="00FC7F0E" w:rsidP="00FF784D">
      <w:pPr>
        <w:pStyle w:val="Prrafodelista"/>
        <w:numPr>
          <w:ilvl w:val="0"/>
          <w:numId w:val="45"/>
        </w:numPr>
        <w:spacing w:after="0" w:line="240" w:lineRule="auto"/>
        <w:jc w:val="both"/>
        <w:rPr>
          <w:rFonts w:ascii="Verdana" w:hAnsi="Verdana"/>
          <w:i/>
          <w:sz w:val="24"/>
          <w:szCs w:val="24"/>
        </w:rPr>
      </w:pPr>
      <w:r w:rsidRPr="00252FE2">
        <w:rPr>
          <w:rFonts w:ascii="Verdana" w:hAnsi="Verdana"/>
          <w:i/>
          <w:sz w:val="24"/>
          <w:szCs w:val="24"/>
        </w:rPr>
        <w:t xml:space="preserve">Capacitación virtual: se enviaron a territorio 3 videos tutoriales sobre: manejo del DTR, novedades y el nuevo módulo de Línea de Base Familiar, 2 instructivos sobre Línea de Base Familiar, y novedades, 2 Boletines de Información Tecnológica -BITs sobre novedades y Línea de Base Familiar, 1 folleto de novedades, 1 infografía para el levantamiento de Línea de Base Familiar en los proyectos de cien mil viviendas y 4 boletines para las microrregiones de Operación Directa por Fiducia y ANSPE Territorial. Constantemente se realizaron tutorías virtuales a los profesionales de capacitación y equipos de coordinación. </w:t>
      </w:r>
    </w:p>
    <w:p w:rsidR="00FC7F0E" w:rsidRPr="00252FE2" w:rsidRDefault="00FC7F0E" w:rsidP="00FF784D">
      <w:pPr>
        <w:pStyle w:val="Prrafodelista"/>
        <w:numPr>
          <w:ilvl w:val="0"/>
          <w:numId w:val="45"/>
        </w:numPr>
        <w:spacing w:after="0" w:line="240" w:lineRule="auto"/>
        <w:jc w:val="both"/>
        <w:rPr>
          <w:rFonts w:ascii="Verdana" w:hAnsi="Verdana"/>
          <w:i/>
          <w:sz w:val="24"/>
          <w:szCs w:val="24"/>
        </w:rPr>
      </w:pPr>
      <w:r w:rsidRPr="00252FE2">
        <w:rPr>
          <w:rFonts w:ascii="Verdana" w:hAnsi="Verdana"/>
          <w:i/>
          <w:sz w:val="24"/>
          <w:szCs w:val="24"/>
        </w:rPr>
        <w:t xml:space="preserve">Propuestas de capital humano: todas las propuestas presentadas por los Operadores Sociales en el proceso licitatorio del 2011, fueron culminadas </w:t>
      </w:r>
      <w:r w:rsidRPr="00252FE2">
        <w:rPr>
          <w:rFonts w:ascii="Verdana" w:hAnsi="Verdana"/>
          <w:i/>
          <w:sz w:val="24"/>
          <w:szCs w:val="24"/>
        </w:rPr>
        <w:lastRenderedPageBreak/>
        <w:t xml:space="preserve">de manera satisfactoria el 31 de julio del 2014. En total se desarrollaron 43 cursos y 47 diplomados, se certificaron y/o graduaron 10.536 participantes, superando el número de personas propuestas por los Operadores Sociales en su oferta inicial que era de 10.487. </w:t>
      </w:r>
    </w:p>
    <w:p w:rsidR="00FC7F0E" w:rsidRPr="00252FE2" w:rsidRDefault="00FC7F0E" w:rsidP="00FF784D">
      <w:pPr>
        <w:pStyle w:val="Prrafodelista"/>
        <w:numPr>
          <w:ilvl w:val="0"/>
          <w:numId w:val="45"/>
        </w:numPr>
        <w:spacing w:after="0" w:line="240" w:lineRule="auto"/>
        <w:jc w:val="both"/>
        <w:rPr>
          <w:rFonts w:ascii="Verdana" w:hAnsi="Verdana"/>
          <w:i/>
          <w:sz w:val="24"/>
          <w:szCs w:val="24"/>
        </w:rPr>
      </w:pPr>
      <w:r w:rsidRPr="00252FE2">
        <w:rPr>
          <w:rFonts w:ascii="Verdana" w:hAnsi="Verdana"/>
          <w:i/>
          <w:sz w:val="24"/>
          <w:szCs w:val="24"/>
        </w:rPr>
        <w:t xml:space="preserve"> Calidad del acompañamiento: los profesionales de capacitación realizaron 3.816 visitas de seguimiento a la calidad del acompañamiento a las familias atendidas por los Cogestores Sociales. </w:t>
      </w:r>
    </w:p>
    <w:p w:rsidR="006B134A" w:rsidRPr="00AA0FE4" w:rsidRDefault="006B134A" w:rsidP="006B134A">
      <w:pPr>
        <w:pStyle w:val="Prrafodelista"/>
        <w:spacing w:after="0" w:line="240" w:lineRule="auto"/>
        <w:jc w:val="both"/>
        <w:rPr>
          <w:rFonts w:ascii="Verdana" w:hAnsi="Verdana"/>
          <w:sz w:val="24"/>
          <w:szCs w:val="24"/>
        </w:rPr>
      </w:pPr>
    </w:p>
    <w:p w:rsidR="00FC7F0E" w:rsidRDefault="00FC7F0E" w:rsidP="00AA0FE4">
      <w:pPr>
        <w:spacing w:after="0" w:line="240" w:lineRule="auto"/>
        <w:jc w:val="both"/>
        <w:rPr>
          <w:rFonts w:ascii="Verdana" w:hAnsi="Verdana"/>
          <w:b/>
          <w:color w:val="0070C0"/>
          <w:sz w:val="24"/>
          <w:szCs w:val="24"/>
        </w:rPr>
      </w:pPr>
      <w:r w:rsidRPr="003F0CD2">
        <w:rPr>
          <w:rFonts w:ascii="Verdana" w:hAnsi="Verdana"/>
          <w:b/>
          <w:color w:val="0070C0"/>
          <w:sz w:val="24"/>
          <w:szCs w:val="24"/>
        </w:rPr>
        <w:t>Retos 2015</w:t>
      </w:r>
    </w:p>
    <w:p w:rsidR="003F0CD2" w:rsidRPr="003F0CD2" w:rsidRDefault="003F0CD2" w:rsidP="00AA0FE4">
      <w:pPr>
        <w:spacing w:after="0" w:line="240" w:lineRule="auto"/>
        <w:jc w:val="both"/>
        <w:rPr>
          <w:rFonts w:ascii="Verdana" w:hAnsi="Verdana"/>
          <w:b/>
          <w:color w:val="0070C0"/>
          <w:sz w:val="24"/>
          <w:szCs w:val="24"/>
        </w:rPr>
      </w:pPr>
    </w:p>
    <w:p w:rsidR="00FC7F0E" w:rsidRPr="00252FE2" w:rsidRDefault="00FC7F0E" w:rsidP="00FF784D">
      <w:pPr>
        <w:pStyle w:val="Prrafodelista"/>
        <w:numPr>
          <w:ilvl w:val="0"/>
          <w:numId w:val="45"/>
        </w:numPr>
        <w:spacing w:after="0" w:line="240" w:lineRule="auto"/>
        <w:jc w:val="both"/>
        <w:rPr>
          <w:rFonts w:ascii="Verdana" w:hAnsi="Verdana"/>
          <w:i/>
          <w:sz w:val="24"/>
          <w:szCs w:val="24"/>
        </w:rPr>
      </w:pPr>
      <w:r w:rsidRPr="00252FE2">
        <w:rPr>
          <w:rFonts w:ascii="Verdana" w:hAnsi="Verdana"/>
          <w:i/>
          <w:sz w:val="24"/>
          <w:szCs w:val="24"/>
        </w:rPr>
        <w:t>Garantizar el acompañamiento familiar y comunitario a los Hogares en pobreza extrema focalizados por la ANSPE.</w:t>
      </w:r>
    </w:p>
    <w:p w:rsidR="00FC7F0E" w:rsidRPr="00252FE2" w:rsidRDefault="00FC7F0E" w:rsidP="00FF784D">
      <w:pPr>
        <w:pStyle w:val="Prrafodelista"/>
        <w:numPr>
          <w:ilvl w:val="0"/>
          <w:numId w:val="45"/>
        </w:numPr>
        <w:spacing w:after="0" w:line="240" w:lineRule="auto"/>
        <w:jc w:val="both"/>
        <w:rPr>
          <w:rFonts w:ascii="Verdana" w:hAnsi="Verdana"/>
          <w:i/>
          <w:sz w:val="24"/>
          <w:szCs w:val="24"/>
        </w:rPr>
      </w:pPr>
      <w:r w:rsidRPr="00252FE2">
        <w:rPr>
          <w:rFonts w:ascii="Verdana" w:hAnsi="Verdana"/>
          <w:i/>
          <w:sz w:val="24"/>
          <w:szCs w:val="24"/>
        </w:rPr>
        <w:t>Garantizar la continuación de la Operación de la Estrategia UNIDOS en todo el territorio Nacional.</w:t>
      </w:r>
    </w:p>
    <w:p w:rsidR="00FC7F0E" w:rsidRPr="00252FE2" w:rsidRDefault="00FC7F0E" w:rsidP="00FF784D">
      <w:pPr>
        <w:pStyle w:val="Prrafodelista"/>
        <w:numPr>
          <w:ilvl w:val="0"/>
          <w:numId w:val="45"/>
        </w:numPr>
        <w:spacing w:after="0" w:line="240" w:lineRule="auto"/>
        <w:jc w:val="both"/>
        <w:rPr>
          <w:rFonts w:ascii="Verdana" w:hAnsi="Verdana"/>
          <w:i/>
          <w:sz w:val="24"/>
          <w:szCs w:val="24"/>
        </w:rPr>
      </w:pPr>
      <w:r w:rsidRPr="00252FE2">
        <w:rPr>
          <w:rFonts w:ascii="Verdana" w:hAnsi="Verdana"/>
          <w:i/>
          <w:sz w:val="24"/>
          <w:szCs w:val="24"/>
        </w:rPr>
        <w:t>Asegurar el acompañamiento a los hogares a través de los Cogestores Sociales y Equipos de Coordinación en todo el territorio Nacional.</w:t>
      </w:r>
    </w:p>
    <w:p w:rsidR="00FC7F0E" w:rsidRPr="00252FE2" w:rsidRDefault="00FC7F0E" w:rsidP="00FF784D">
      <w:pPr>
        <w:pStyle w:val="Prrafodelista"/>
        <w:numPr>
          <w:ilvl w:val="0"/>
          <w:numId w:val="45"/>
        </w:numPr>
        <w:spacing w:after="0" w:line="240" w:lineRule="auto"/>
        <w:jc w:val="both"/>
        <w:rPr>
          <w:rFonts w:ascii="Verdana" w:hAnsi="Verdana"/>
          <w:i/>
          <w:sz w:val="24"/>
          <w:szCs w:val="24"/>
        </w:rPr>
      </w:pPr>
      <w:r w:rsidRPr="00252FE2">
        <w:rPr>
          <w:rFonts w:ascii="Verdana" w:hAnsi="Verdana"/>
          <w:i/>
          <w:sz w:val="24"/>
          <w:szCs w:val="24"/>
        </w:rPr>
        <w:t>Fortalecer el seguimiento a la calidad del acompañamiento con el fin de promover el mejoramiento continuo de los procesos de acompañamiento familiar y comunitario y formación.</w:t>
      </w:r>
    </w:p>
    <w:p w:rsidR="00FC7F0E" w:rsidRPr="00252FE2" w:rsidRDefault="00FC7F0E" w:rsidP="00FF784D">
      <w:pPr>
        <w:pStyle w:val="Prrafodelista"/>
        <w:numPr>
          <w:ilvl w:val="0"/>
          <w:numId w:val="45"/>
        </w:numPr>
        <w:spacing w:after="0" w:line="240" w:lineRule="auto"/>
        <w:jc w:val="both"/>
        <w:rPr>
          <w:rFonts w:ascii="Verdana" w:hAnsi="Verdana"/>
          <w:i/>
          <w:sz w:val="24"/>
          <w:szCs w:val="24"/>
        </w:rPr>
      </w:pPr>
      <w:r w:rsidRPr="00252FE2">
        <w:rPr>
          <w:rFonts w:ascii="Verdana" w:hAnsi="Verdana"/>
          <w:i/>
          <w:sz w:val="24"/>
          <w:szCs w:val="24"/>
        </w:rPr>
        <w:t>Fortalecer los Equipos territoriales a través de procesos de formación pertinentes e integrales, que propicien un acompañamiento familiar y comunitario efectivo.</w:t>
      </w:r>
    </w:p>
    <w:p w:rsidR="00FC7F0E" w:rsidRPr="00252FE2" w:rsidRDefault="00FC7F0E" w:rsidP="00FF784D">
      <w:pPr>
        <w:pStyle w:val="Prrafodelista"/>
        <w:numPr>
          <w:ilvl w:val="0"/>
          <w:numId w:val="45"/>
        </w:numPr>
        <w:spacing w:after="0" w:line="240" w:lineRule="auto"/>
        <w:jc w:val="both"/>
        <w:rPr>
          <w:rFonts w:ascii="Verdana" w:hAnsi="Verdana"/>
          <w:i/>
          <w:sz w:val="24"/>
          <w:szCs w:val="24"/>
        </w:rPr>
      </w:pPr>
      <w:r w:rsidRPr="00252FE2">
        <w:rPr>
          <w:rFonts w:ascii="Verdana" w:hAnsi="Verdana"/>
          <w:i/>
          <w:sz w:val="24"/>
          <w:szCs w:val="24"/>
        </w:rPr>
        <w:t>Fortalecer de los instrumentos y metodologías de seguimiento a Operadores Sociales y actividades de acompañamiento familiar y comunitario.</w:t>
      </w:r>
    </w:p>
    <w:p w:rsidR="00FC7F0E" w:rsidRPr="00252FE2" w:rsidRDefault="00FC7F0E" w:rsidP="00FF784D">
      <w:pPr>
        <w:pStyle w:val="Prrafodelista"/>
        <w:numPr>
          <w:ilvl w:val="0"/>
          <w:numId w:val="45"/>
        </w:numPr>
        <w:spacing w:after="0" w:line="240" w:lineRule="auto"/>
        <w:jc w:val="both"/>
        <w:rPr>
          <w:rFonts w:ascii="Verdana" w:hAnsi="Verdana"/>
          <w:i/>
          <w:sz w:val="24"/>
          <w:szCs w:val="24"/>
        </w:rPr>
      </w:pPr>
      <w:r w:rsidRPr="00252FE2">
        <w:rPr>
          <w:rFonts w:ascii="Verdana" w:hAnsi="Verdana"/>
          <w:i/>
          <w:sz w:val="24"/>
          <w:szCs w:val="24"/>
        </w:rPr>
        <w:t>Avanzar en la implementación de la metodología de acompañamiento comunitario en los proyectos de subsidio familiar de vivienda en especie SFVE.</w:t>
      </w:r>
    </w:p>
    <w:p w:rsidR="00FC7F0E" w:rsidRPr="00252FE2" w:rsidRDefault="00FC7F0E" w:rsidP="00AA0FE4">
      <w:pPr>
        <w:spacing w:after="0" w:line="240" w:lineRule="auto"/>
        <w:jc w:val="both"/>
        <w:rPr>
          <w:rFonts w:ascii="Verdana" w:hAnsi="Verdana"/>
          <w:i/>
          <w:sz w:val="24"/>
          <w:szCs w:val="24"/>
        </w:rPr>
      </w:pPr>
    </w:p>
    <w:p w:rsidR="006B134A" w:rsidRDefault="006B134A" w:rsidP="00AA0FE4">
      <w:pPr>
        <w:spacing w:after="0" w:line="240" w:lineRule="auto"/>
        <w:jc w:val="both"/>
        <w:rPr>
          <w:rFonts w:ascii="Verdana" w:hAnsi="Verdana"/>
          <w:sz w:val="24"/>
          <w:szCs w:val="24"/>
          <w:u w:val="single"/>
        </w:rPr>
      </w:pPr>
    </w:p>
    <w:p w:rsidR="00FC7F0E" w:rsidRPr="0077363A" w:rsidRDefault="00FC7F0E" w:rsidP="00AA0FE4">
      <w:pPr>
        <w:spacing w:after="0" w:line="240" w:lineRule="auto"/>
        <w:jc w:val="both"/>
        <w:rPr>
          <w:rFonts w:ascii="Verdana" w:hAnsi="Verdana"/>
          <w:b/>
          <w:color w:val="0070C0"/>
          <w:sz w:val="24"/>
          <w:szCs w:val="24"/>
        </w:rPr>
      </w:pPr>
      <w:r w:rsidRPr="0077363A">
        <w:rPr>
          <w:rFonts w:ascii="Verdana" w:hAnsi="Verdana"/>
          <w:b/>
          <w:color w:val="0070C0"/>
          <w:sz w:val="24"/>
          <w:szCs w:val="24"/>
        </w:rPr>
        <w:t>DIRECCION DE GESTION DE OFERTA INSTITUCIONAL - DIGOIT</w:t>
      </w:r>
    </w:p>
    <w:p w:rsidR="00FC7F0E" w:rsidRPr="00AA0FE4" w:rsidRDefault="00FC7F0E" w:rsidP="00AA0FE4">
      <w:pPr>
        <w:pStyle w:val="Prrafodelista"/>
        <w:spacing w:after="0" w:line="240" w:lineRule="auto"/>
        <w:jc w:val="both"/>
        <w:rPr>
          <w:rFonts w:ascii="Verdana" w:hAnsi="Verdana"/>
          <w:sz w:val="24"/>
          <w:szCs w:val="24"/>
        </w:rPr>
      </w:pPr>
    </w:p>
    <w:p w:rsidR="00FC7F0E" w:rsidRPr="00AA0FE4" w:rsidRDefault="00FC7F0E" w:rsidP="00AA0FE4">
      <w:pPr>
        <w:spacing w:after="0" w:line="240" w:lineRule="auto"/>
        <w:jc w:val="both"/>
        <w:rPr>
          <w:rFonts w:ascii="Verdana" w:hAnsi="Verdana"/>
          <w:sz w:val="24"/>
          <w:szCs w:val="24"/>
          <w:lang w:val="es-MX"/>
        </w:rPr>
      </w:pPr>
      <w:r w:rsidRPr="00AA0FE4">
        <w:rPr>
          <w:rFonts w:ascii="Verdana" w:hAnsi="Verdana"/>
          <w:sz w:val="24"/>
          <w:szCs w:val="24"/>
          <w:lang w:val="es-MX"/>
        </w:rPr>
        <w:t>A 31 de diciembre de 2014, la DIGOIT había gestionado un total de 10.107.683 Logros, de los cuales 3.388.206 se gestionaron en 2014.</w:t>
      </w:r>
    </w:p>
    <w:p w:rsidR="00FC7F0E" w:rsidRPr="00AA0FE4" w:rsidRDefault="00FC7F0E" w:rsidP="00AA0FE4">
      <w:pPr>
        <w:spacing w:after="0" w:line="240" w:lineRule="auto"/>
        <w:jc w:val="both"/>
        <w:rPr>
          <w:rFonts w:ascii="Verdana" w:hAnsi="Verdana"/>
          <w:sz w:val="24"/>
          <w:szCs w:val="24"/>
          <w:lang w:val="es-MX"/>
        </w:rPr>
      </w:pPr>
    </w:p>
    <w:p w:rsidR="003F0CD2" w:rsidRDefault="00FC7F0E" w:rsidP="00AA0FE4">
      <w:pPr>
        <w:spacing w:after="0" w:line="240" w:lineRule="auto"/>
        <w:jc w:val="both"/>
        <w:rPr>
          <w:rFonts w:ascii="Verdana" w:hAnsi="Verdana"/>
          <w:sz w:val="24"/>
          <w:szCs w:val="24"/>
          <w:lang w:val="es-MX"/>
        </w:rPr>
      </w:pPr>
      <w:r w:rsidRPr="00AA0FE4">
        <w:rPr>
          <w:rFonts w:ascii="Verdana" w:hAnsi="Verdana"/>
          <w:sz w:val="24"/>
          <w:szCs w:val="24"/>
          <w:lang w:val="es-MX"/>
        </w:rPr>
        <w:t xml:space="preserve">A continuación se presenta, de manera muy sucinta, los principales logros cuantitativos de la DIGOIT en 2014. En algunos incluso, se superó la meta </w:t>
      </w:r>
    </w:p>
    <w:p w:rsidR="00FC7F0E" w:rsidRPr="00AA0FE4" w:rsidRDefault="00FC7F0E" w:rsidP="00AA0FE4">
      <w:pPr>
        <w:spacing w:after="0" w:line="240" w:lineRule="auto"/>
        <w:jc w:val="both"/>
        <w:rPr>
          <w:rFonts w:ascii="Verdana" w:hAnsi="Verdana"/>
          <w:sz w:val="24"/>
          <w:szCs w:val="24"/>
          <w:lang w:val="es-MX"/>
        </w:rPr>
      </w:pPr>
      <w:r w:rsidRPr="00AA0FE4">
        <w:rPr>
          <w:rFonts w:ascii="Verdana" w:hAnsi="Verdana"/>
          <w:sz w:val="24"/>
          <w:szCs w:val="24"/>
          <w:lang w:val="es-MX"/>
        </w:rPr>
        <w:t>propuesta:</w:t>
      </w:r>
    </w:p>
    <w:p w:rsidR="0077363A" w:rsidRDefault="0077363A" w:rsidP="003F0CD2">
      <w:pPr>
        <w:spacing w:after="0" w:line="240" w:lineRule="auto"/>
        <w:jc w:val="both"/>
        <w:rPr>
          <w:rFonts w:ascii="Verdana" w:hAnsi="Verdana"/>
          <w:b/>
          <w:color w:val="0070C0"/>
          <w:sz w:val="24"/>
          <w:szCs w:val="24"/>
        </w:rPr>
      </w:pPr>
    </w:p>
    <w:p w:rsidR="0077363A" w:rsidRDefault="0077363A" w:rsidP="003F0CD2">
      <w:pPr>
        <w:spacing w:after="0" w:line="240" w:lineRule="auto"/>
        <w:jc w:val="both"/>
        <w:rPr>
          <w:rFonts w:ascii="Verdana" w:hAnsi="Verdana"/>
          <w:b/>
          <w:color w:val="0070C0"/>
          <w:sz w:val="24"/>
          <w:szCs w:val="24"/>
        </w:rPr>
      </w:pPr>
    </w:p>
    <w:p w:rsidR="003F0CD2" w:rsidRDefault="003F0CD2" w:rsidP="003F0CD2">
      <w:pPr>
        <w:spacing w:after="0" w:line="240" w:lineRule="auto"/>
        <w:jc w:val="both"/>
        <w:rPr>
          <w:rFonts w:ascii="Verdana" w:hAnsi="Verdana"/>
          <w:b/>
          <w:color w:val="0070C0"/>
          <w:sz w:val="24"/>
          <w:szCs w:val="24"/>
        </w:rPr>
      </w:pPr>
      <w:r w:rsidRPr="00A269C5">
        <w:rPr>
          <w:rFonts w:ascii="Verdana" w:hAnsi="Verdana"/>
          <w:b/>
          <w:color w:val="0070C0"/>
          <w:sz w:val="24"/>
          <w:szCs w:val="24"/>
        </w:rPr>
        <w:lastRenderedPageBreak/>
        <w:t>Logros 2014</w:t>
      </w:r>
    </w:p>
    <w:p w:rsidR="00FC7F0E" w:rsidRPr="00AA0FE4" w:rsidRDefault="00FC7F0E" w:rsidP="00AA0FE4">
      <w:pPr>
        <w:spacing w:after="0" w:line="240" w:lineRule="auto"/>
        <w:jc w:val="both"/>
        <w:rPr>
          <w:rFonts w:ascii="Verdana" w:hAnsi="Verdana"/>
          <w:sz w:val="24"/>
          <w:szCs w:val="24"/>
          <w:lang w:val="es-MX"/>
        </w:rPr>
      </w:pPr>
    </w:p>
    <w:tbl>
      <w:tblPr>
        <w:tblW w:w="5000" w:type="pct"/>
        <w:jc w:val="center"/>
        <w:tblLook w:val="04A0"/>
      </w:tblPr>
      <w:tblGrid>
        <w:gridCol w:w="6500"/>
        <w:gridCol w:w="1952"/>
        <w:gridCol w:w="1736"/>
      </w:tblGrid>
      <w:tr w:rsidR="00FC7F0E" w:rsidRPr="00AA0FE4" w:rsidTr="006B134A">
        <w:trPr>
          <w:tblHeader/>
          <w:jc w:val="center"/>
        </w:trPr>
        <w:tc>
          <w:tcPr>
            <w:tcW w:w="3190" w:type="pct"/>
          </w:tcPr>
          <w:p w:rsidR="00FC7F0E" w:rsidRPr="006B134A" w:rsidRDefault="00FC7F0E" w:rsidP="00AA0FE4">
            <w:pPr>
              <w:jc w:val="center"/>
              <w:textAlignment w:val="bottom"/>
              <w:rPr>
                <w:rFonts w:ascii="Verdana" w:eastAsia="Times New Roman" w:hAnsi="Verdana" w:cs="Arial"/>
                <w:sz w:val="24"/>
                <w:szCs w:val="24"/>
                <w:lang w:eastAsia="es-CO"/>
              </w:rPr>
            </w:pPr>
            <w:r w:rsidRPr="006B134A">
              <w:rPr>
                <w:rFonts w:ascii="Verdana" w:eastAsia="Times New Roman" w:hAnsi="Verdana" w:cs="Arial"/>
                <w:kern w:val="24"/>
                <w:sz w:val="24"/>
                <w:szCs w:val="24"/>
                <w:lang w:eastAsia="es-CO"/>
              </w:rPr>
              <w:t>Logros</w:t>
            </w:r>
          </w:p>
        </w:tc>
        <w:tc>
          <w:tcPr>
            <w:tcW w:w="958" w:type="pct"/>
          </w:tcPr>
          <w:p w:rsidR="00FC7F0E" w:rsidRPr="006B134A" w:rsidRDefault="00FC7F0E" w:rsidP="00AA0FE4">
            <w:pPr>
              <w:jc w:val="center"/>
              <w:textAlignment w:val="bottom"/>
              <w:rPr>
                <w:rFonts w:ascii="Verdana" w:eastAsia="Times New Roman" w:hAnsi="Verdana" w:cs="Arial"/>
                <w:sz w:val="24"/>
                <w:szCs w:val="24"/>
                <w:lang w:eastAsia="es-CO"/>
              </w:rPr>
            </w:pPr>
            <w:r w:rsidRPr="006B134A">
              <w:rPr>
                <w:rFonts w:ascii="Verdana" w:eastAsia="Times New Roman" w:hAnsi="Verdana" w:cs="Arial"/>
                <w:kern w:val="24"/>
                <w:sz w:val="24"/>
                <w:szCs w:val="24"/>
                <w:lang w:eastAsia="es-CO"/>
              </w:rPr>
              <w:t>Meta 2014</w:t>
            </w:r>
          </w:p>
        </w:tc>
        <w:tc>
          <w:tcPr>
            <w:tcW w:w="852" w:type="pct"/>
          </w:tcPr>
          <w:p w:rsidR="00FC7F0E" w:rsidRPr="006B134A" w:rsidRDefault="00FC7F0E" w:rsidP="00AA0FE4">
            <w:pPr>
              <w:jc w:val="center"/>
              <w:textAlignment w:val="bottom"/>
              <w:rPr>
                <w:rFonts w:ascii="Verdana" w:eastAsia="Times New Roman" w:hAnsi="Verdana" w:cs="Arial"/>
                <w:sz w:val="24"/>
                <w:szCs w:val="24"/>
                <w:lang w:eastAsia="es-CO"/>
              </w:rPr>
            </w:pPr>
            <w:r w:rsidRPr="006B134A">
              <w:rPr>
                <w:rFonts w:ascii="Verdana" w:eastAsia="Times New Roman" w:hAnsi="Verdana" w:cs="Arial"/>
                <w:kern w:val="24"/>
                <w:sz w:val="24"/>
                <w:szCs w:val="24"/>
                <w:lang w:eastAsia="es-CO"/>
              </w:rPr>
              <w:t>Avance</w:t>
            </w:r>
          </w:p>
        </w:tc>
      </w:tr>
      <w:tr w:rsidR="00FC7F0E" w:rsidRPr="00AA0FE4" w:rsidTr="006B134A">
        <w:trPr>
          <w:jc w:val="center"/>
        </w:trPr>
        <w:tc>
          <w:tcPr>
            <w:tcW w:w="3190" w:type="pct"/>
          </w:tcPr>
          <w:p w:rsidR="00FC7F0E" w:rsidRPr="00AA0FE4" w:rsidRDefault="00FC7F0E" w:rsidP="00AA0FE4">
            <w:pPr>
              <w:jc w:val="center"/>
              <w:textAlignment w:val="bottom"/>
              <w:rPr>
                <w:rFonts w:ascii="Verdana" w:eastAsia="Times New Roman" w:hAnsi="Verdana" w:cs="Arial"/>
                <w:sz w:val="24"/>
                <w:szCs w:val="24"/>
                <w:lang w:eastAsia="es-CO"/>
              </w:rPr>
            </w:pPr>
            <w:r w:rsidRPr="00AA0FE4">
              <w:rPr>
                <w:rFonts w:ascii="Verdana" w:eastAsia="Times New Roman" w:hAnsi="Verdana" w:cs="Arial"/>
                <w:color w:val="000000"/>
                <w:kern w:val="24"/>
                <w:sz w:val="18"/>
                <w:szCs w:val="18"/>
                <w:lang w:eastAsia="es-CO"/>
              </w:rPr>
              <w:t>Municipios asistidos técnicamente en formulación de proyectos</w:t>
            </w:r>
          </w:p>
        </w:tc>
        <w:tc>
          <w:tcPr>
            <w:tcW w:w="958" w:type="pct"/>
          </w:tcPr>
          <w:p w:rsidR="00FC7F0E" w:rsidRPr="00AA0FE4" w:rsidRDefault="00FC7F0E" w:rsidP="00AA0FE4">
            <w:pPr>
              <w:jc w:val="center"/>
              <w:textAlignment w:val="bottom"/>
              <w:rPr>
                <w:rFonts w:ascii="Verdana" w:eastAsia="Times New Roman" w:hAnsi="Verdana" w:cs="Arial"/>
                <w:sz w:val="24"/>
                <w:szCs w:val="24"/>
                <w:lang w:eastAsia="es-CO"/>
              </w:rPr>
            </w:pPr>
            <w:r w:rsidRPr="00AA0FE4">
              <w:rPr>
                <w:rFonts w:ascii="Verdana" w:eastAsia="Times New Roman" w:hAnsi="Verdana" w:cs="Arial"/>
                <w:color w:val="000000"/>
                <w:kern w:val="24"/>
                <w:sz w:val="24"/>
                <w:szCs w:val="24"/>
                <w:lang w:eastAsia="es-CO"/>
              </w:rPr>
              <w:t>5</w:t>
            </w:r>
          </w:p>
        </w:tc>
        <w:tc>
          <w:tcPr>
            <w:tcW w:w="852" w:type="pct"/>
          </w:tcPr>
          <w:p w:rsidR="00FC7F0E" w:rsidRPr="00AA0FE4" w:rsidRDefault="00FC7F0E" w:rsidP="00AA0FE4">
            <w:pPr>
              <w:jc w:val="center"/>
              <w:textAlignment w:val="bottom"/>
              <w:rPr>
                <w:rFonts w:ascii="Verdana" w:eastAsia="Times New Roman" w:hAnsi="Verdana" w:cs="Arial"/>
                <w:sz w:val="24"/>
                <w:szCs w:val="24"/>
                <w:lang w:eastAsia="es-CO"/>
              </w:rPr>
            </w:pPr>
            <w:r w:rsidRPr="00AA0FE4">
              <w:rPr>
                <w:rFonts w:ascii="Verdana" w:eastAsia="Times New Roman" w:hAnsi="Verdana" w:cs="Arial"/>
                <w:color w:val="000000"/>
                <w:kern w:val="24"/>
                <w:sz w:val="24"/>
                <w:szCs w:val="24"/>
                <w:lang w:eastAsia="es-CO"/>
              </w:rPr>
              <w:t>26</w:t>
            </w:r>
          </w:p>
        </w:tc>
      </w:tr>
      <w:tr w:rsidR="00FC7F0E" w:rsidRPr="00021B2F" w:rsidTr="006B134A">
        <w:trPr>
          <w:jc w:val="center"/>
        </w:trPr>
        <w:tc>
          <w:tcPr>
            <w:tcW w:w="3190" w:type="pct"/>
          </w:tcPr>
          <w:p w:rsidR="00FC7F0E" w:rsidRPr="00021B2F" w:rsidRDefault="00FC7F0E" w:rsidP="00FC7F0E">
            <w:pPr>
              <w:jc w:val="center"/>
              <w:textAlignment w:val="bottom"/>
              <w:rPr>
                <w:rFonts w:ascii="Verdana" w:eastAsia="Times New Roman" w:hAnsi="Verdana" w:cs="Arial"/>
                <w:sz w:val="18"/>
                <w:szCs w:val="18"/>
                <w:lang w:eastAsia="es-CO"/>
              </w:rPr>
            </w:pPr>
            <w:r w:rsidRPr="00021B2F">
              <w:rPr>
                <w:rFonts w:ascii="Verdana" w:eastAsia="Times New Roman" w:hAnsi="Verdana" w:cs="Arial"/>
                <w:color w:val="000000"/>
                <w:kern w:val="24"/>
                <w:sz w:val="18"/>
                <w:szCs w:val="18"/>
                <w:lang w:eastAsia="es-CO"/>
              </w:rPr>
              <w:t>Familias que cumplen con la Condición Necesaria</w:t>
            </w:r>
          </w:p>
        </w:tc>
        <w:tc>
          <w:tcPr>
            <w:tcW w:w="958" w:type="pct"/>
          </w:tcPr>
          <w:p w:rsidR="00FC7F0E" w:rsidRPr="00021B2F" w:rsidRDefault="00FC7F0E" w:rsidP="00FC7F0E">
            <w:pPr>
              <w:jc w:val="center"/>
              <w:textAlignment w:val="bottom"/>
              <w:rPr>
                <w:rFonts w:ascii="Verdana" w:eastAsia="Times New Roman" w:hAnsi="Verdana" w:cs="Arial"/>
                <w:sz w:val="18"/>
                <w:szCs w:val="18"/>
                <w:lang w:eastAsia="es-CO"/>
              </w:rPr>
            </w:pPr>
            <w:r w:rsidRPr="00021B2F">
              <w:rPr>
                <w:rFonts w:ascii="Verdana" w:eastAsia="Times New Roman" w:hAnsi="Verdana" w:cs="Arial"/>
                <w:color w:val="000000"/>
                <w:kern w:val="24"/>
                <w:sz w:val="18"/>
                <w:szCs w:val="18"/>
                <w:lang w:eastAsia="es-CO"/>
              </w:rPr>
              <w:t>172.317</w:t>
            </w:r>
          </w:p>
        </w:tc>
        <w:tc>
          <w:tcPr>
            <w:tcW w:w="852" w:type="pct"/>
          </w:tcPr>
          <w:p w:rsidR="00FC7F0E" w:rsidRPr="00021B2F" w:rsidRDefault="00FC7F0E" w:rsidP="00FC7F0E">
            <w:pPr>
              <w:jc w:val="center"/>
              <w:textAlignment w:val="bottom"/>
              <w:rPr>
                <w:rFonts w:ascii="Verdana" w:eastAsia="Times New Roman" w:hAnsi="Verdana" w:cs="Arial"/>
                <w:sz w:val="18"/>
                <w:szCs w:val="18"/>
                <w:lang w:eastAsia="es-CO"/>
              </w:rPr>
            </w:pPr>
            <w:r w:rsidRPr="00021B2F">
              <w:rPr>
                <w:rFonts w:ascii="Verdana" w:eastAsia="Times New Roman" w:hAnsi="Verdana" w:cs="Arial"/>
                <w:color w:val="000000"/>
                <w:kern w:val="24"/>
                <w:sz w:val="18"/>
                <w:szCs w:val="18"/>
                <w:lang w:eastAsia="es-CO"/>
              </w:rPr>
              <w:t>179,626</w:t>
            </w:r>
          </w:p>
        </w:tc>
      </w:tr>
      <w:tr w:rsidR="00FC7F0E" w:rsidRPr="00021B2F" w:rsidTr="006B134A">
        <w:trPr>
          <w:jc w:val="center"/>
        </w:trPr>
        <w:tc>
          <w:tcPr>
            <w:tcW w:w="3190" w:type="pct"/>
          </w:tcPr>
          <w:p w:rsidR="00FC7F0E" w:rsidRPr="00021B2F" w:rsidRDefault="00FC7F0E" w:rsidP="00FC7F0E">
            <w:pPr>
              <w:jc w:val="center"/>
              <w:textAlignment w:val="bottom"/>
              <w:rPr>
                <w:rFonts w:ascii="Verdana" w:eastAsia="Times New Roman" w:hAnsi="Verdana" w:cs="Arial"/>
                <w:sz w:val="18"/>
                <w:szCs w:val="18"/>
                <w:lang w:eastAsia="es-CO"/>
              </w:rPr>
            </w:pPr>
            <w:r w:rsidRPr="00021B2F">
              <w:rPr>
                <w:rFonts w:ascii="Verdana" w:eastAsia="Times New Roman" w:hAnsi="Verdana" w:cs="Arial"/>
                <w:color w:val="000000"/>
                <w:kern w:val="24"/>
                <w:sz w:val="18"/>
                <w:szCs w:val="18"/>
                <w:lang w:eastAsia="es-CO"/>
              </w:rPr>
              <w:t>Familias promovidas de la Red UNIDOS</w:t>
            </w:r>
          </w:p>
        </w:tc>
        <w:tc>
          <w:tcPr>
            <w:tcW w:w="958" w:type="pct"/>
          </w:tcPr>
          <w:p w:rsidR="00FC7F0E" w:rsidRPr="00021B2F" w:rsidRDefault="00FC7F0E" w:rsidP="00FC7F0E">
            <w:pPr>
              <w:jc w:val="center"/>
              <w:textAlignment w:val="bottom"/>
              <w:rPr>
                <w:rFonts w:ascii="Verdana" w:eastAsia="Times New Roman" w:hAnsi="Verdana" w:cs="Arial"/>
                <w:sz w:val="18"/>
                <w:szCs w:val="18"/>
                <w:lang w:eastAsia="es-CO"/>
              </w:rPr>
            </w:pPr>
            <w:r w:rsidRPr="00021B2F">
              <w:rPr>
                <w:rFonts w:ascii="Verdana" w:eastAsia="Times New Roman" w:hAnsi="Verdana" w:cs="Arial"/>
                <w:color w:val="000000"/>
                <w:kern w:val="24"/>
                <w:sz w:val="18"/>
                <w:szCs w:val="18"/>
                <w:lang w:eastAsia="es-CO"/>
              </w:rPr>
              <w:t>131.259</w:t>
            </w:r>
          </w:p>
        </w:tc>
        <w:tc>
          <w:tcPr>
            <w:tcW w:w="852" w:type="pct"/>
          </w:tcPr>
          <w:p w:rsidR="00FC7F0E" w:rsidRPr="00021B2F" w:rsidRDefault="00FC7F0E" w:rsidP="00FC7F0E">
            <w:pPr>
              <w:jc w:val="center"/>
              <w:textAlignment w:val="bottom"/>
              <w:rPr>
                <w:rFonts w:ascii="Verdana" w:eastAsia="Times New Roman" w:hAnsi="Verdana" w:cs="Arial"/>
                <w:sz w:val="18"/>
                <w:szCs w:val="18"/>
                <w:lang w:eastAsia="es-CO"/>
              </w:rPr>
            </w:pPr>
            <w:r w:rsidRPr="00021B2F">
              <w:rPr>
                <w:rFonts w:ascii="Verdana" w:eastAsia="Times New Roman" w:hAnsi="Verdana" w:cs="Arial"/>
                <w:color w:val="000000"/>
                <w:kern w:val="24"/>
                <w:sz w:val="18"/>
                <w:szCs w:val="18"/>
                <w:lang w:eastAsia="es-CO"/>
              </w:rPr>
              <w:t>132,712</w:t>
            </w:r>
          </w:p>
        </w:tc>
      </w:tr>
      <w:tr w:rsidR="00FC7F0E" w:rsidRPr="00021B2F" w:rsidTr="006B134A">
        <w:trPr>
          <w:jc w:val="center"/>
        </w:trPr>
        <w:tc>
          <w:tcPr>
            <w:tcW w:w="3190" w:type="pct"/>
          </w:tcPr>
          <w:p w:rsidR="00FC7F0E" w:rsidRPr="00021B2F" w:rsidRDefault="00FC7F0E" w:rsidP="00FC7F0E">
            <w:pPr>
              <w:jc w:val="center"/>
              <w:textAlignment w:val="bottom"/>
              <w:rPr>
                <w:rFonts w:ascii="Verdana" w:eastAsia="Times New Roman" w:hAnsi="Verdana" w:cs="Arial"/>
                <w:sz w:val="18"/>
                <w:szCs w:val="18"/>
                <w:lang w:eastAsia="es-CO"/>
              </w:rPr>
            </w:pPr>
            <w:r w:rsidRPr="00021B2F">
              <w:rPr>
                <w:rFonts w:ascii="Verdana" w:eastAsia="Times New Roman" w:hAnsi="Verdana" w:cs="Arial"/>
                <w:color w:val="000000"/>
                <w:kern w:val="24"/>
                <w:sz w:val="18"/>
                <w:szCs w:val="18"/>
                <w:lang w:eastAsia="es-CO"/>
              </w:rPr>
              <w:t>Niños y niñas de la Red UNIDOS con atención integral a la primera infancia</w:t>
            </w:r>
          </w:p>
        </w:tc>
        <w:tc>
          <w:tcPr>
            <w:tcW w:w="958" w:type="pct"/>
          </w:tcPr>
          <w:p w:rsidR="00FC7F0E" w:rsidRPr="00021B2F" w:rsidRDefault="00FC7F0E" w:rsidP="00FC7F0E">
            <w:pPr>
              <w:jc w:val="center"/>
              <w:textAlignment w:val="bottom"/>
              <w:rPr>
                <w:rFonts w:ascii="Verdana" w:eastAsia="Times New Roman" w:hAnsi="Verdana" w:cs="Arial"/>
                <w:sz w:val="18"/>
                <w:szCs w:val="18"/>
                <w:lang w:eastAsia="es-CO"/>
              </w:rPr>
            </w:pPr>
            <w:r w:rsidRPr="00021B2F">
              <w:rPr>
                <w:rFonts w:ascii="Verdana" w:eastAsia="Times New Roman" w:hAnsi="Verdana" w:cs="Arial"/>
                <w:color w:val="000000"/>
                <w:kern w:val="24"/>
                <w:sz w:val="18"/>
                <w:szCs w:val="18"/>
                <w:lang w:eastAsia="es-CO"/>
              </w:rPr>
              <w:t>52.054</w:t>
            </w:r>
          </w:p>
        </w:tc>
        <w:tc>
          <w:tcPr>
            <w:tcW w:w="852" w:type="pct"/>
          </w:tcPr>
          <w:p w:rsidR="00FC7F0E" w:rsidRPr="00021B2F" w:rsidRDefault="00FC7F0E" w:rsidP="00FC7F0E">
            <w:pPr>
              <w:jc w:val="center"/>
              <w:textAlignment w:val="bottom"/>
              <w:rPr>
                <w:rFonts w:ascii="Verdana" w:eastAsia="Times New Roman" w:hAnsi="Verdana" w:cs="Arial"/>
                <w:sz w:val="18"/>
                <w:szCs w:val="18"/>
                <w:lang w:eastAsia="es-CO"/>
              </w:rPr>
            </w:pPr>
            <w:r w:rsidRPr="00021B2F">
              <w:rPr>
                <w:rFonts w:ascii="Verdana" w:eastAsia="Times New Roman" w:hAnsi="Verdana" w:cs="Arial"/>
                <w:color w:val="000000"/>
                <w:kern w:val="24"/>
                <w:sz w:val="18"/>
                <w:szCs w:val="18"/>
                <w:lang w:eastAsia="es-CO"/>
              </w:rPr>
              <w:t>95,346</w:t>
            </w:r>
          </w:p>
        </w:tc>
      </w:tr>
      <w:tr w:rsidR="00FC7F0E" w:rsidRPr="00021B2F" w:rsidTr="006B134A">
        <w:trPr>
          <w:jc w:val="center"/>
        </w:trPr>
        <w:tc>
          <w:tcPr>
            <w:tcW w:w="3190" w:type="pct"/>
          </w:tcPr>
          <w:p w:rsidR="00FC7F0E" w:rsidRPr="00021B2F" w:rsidRDefault="00FC7F0E" w:rsidP="00FC7F0E">
            <w:pPr>
              <w:jc w:val="center"/>
              <w:textAlignment w:val="bottom"/>
              <w:rPr>
                <w:rFonts w:ascii="Verdana" w:eastAsia="Times New Roman" w:hAnsi="Verdana" w:cs="Arial"/>
                <w:sz w:val="18"/>
                <w:szCs w:val="18"/>
                <w:lang w:eastAsia="es-CO"/>
              </w:rPr>
            </w:pPr>
            <w:r w:rsidRPr="00021B2F">
              <w:rPr>
                <w:rFonts w:ascii="Verdana" w:eastAsia="Times New Roman" w:hAnsi="Verdana" w:cs="Arial"/>
                <w:color w:val="000000"/>
                <w:kern w:val="24"/>
                <w:sz w:val="18"/>
                <w:szCs w:val="18"/>
                <w:lang w:eastAsia="es-CO"/>
              </w:rPr>
              <w:t>Planes de Acción y Acuerdos de Focalización con entidades</w:t>
            </w:r>
          </w:p>
        </w:tc>
        <w:tc>
          <w:tcPr>
            <w:tcW w:w="958" w:type="pct"/>
          </w:tcPr>
          <w:p w:rsidR="00FC7F0E" w:rsidRPr="00021B2F" w:rsidRDefault="00FC7F0E" w:rsidP="00FC7F0E">
            <w:pPr>
              <w:jc w:val="center"/>
              <w:textAlignment w:val="bottom"/>
              <w:rPr>
                <w:rFonts w:ascii="Verdana" w:eastAsia="Times New Roman" w:hAnsi="Verdana" w:cs="Arial"/>
                <w:sz w:val="18"/>
                <w:szCs w:val="18"/>
                <w:lang w:eastAsia="es-CO"/>
              </w:rPr>
            </w:pPr>
            <w:r w:rsidRPr="00021B2F">
              <w:rPr>
                <w:rFonts w:ascii="Verdana" w:eastAsia="Times New Roman" w:hAnsi="Verdana" w:cs="Arial"/>
                <w:color w:val="000000"/>
                <w:kern w:val="24"/>
                <w:sz w:val="18"/>
                <w:szCs w:val="18"/>
                <w:lang w:eastAsia="es-CO"/>
              </w:rPr>
              <w:t>21</w:t>
            </w:r>
          </w:p>
        </w:tc>
        <w:tc>
          <w:tcPr>
            <w:tcW w:w="852" w:type="pct"/>
          </w:tcPr>
          <w:p w:rsidR="00FC7F0E" w:rsidRPr="00021B2F" w:rsidRDefault="00FC7F0E" w:rsidP="00FC7F0E">
            <w:pPr>
              <w:jc w:val="center"/>
              <w:textAlignment w:val="bottom"/>
              <w:rPr>
                <w:rFonts w:ascii="Verdana" w:eastAsia="Times New Roman" w:hAnsi="Verdana" w:cs="Arial"/>
                <w:sz w:val="18"/>
                <w:szCs w:val="18"/>
                <w:lang w:eastAsia="es-CO"/>
              </w:rPr>
            </w:pPr>
            <w:r w:rsidRPr="00021B2F">
              <w:rPr>
                <w:rFonts w:ascii="Verdana" w:eastAsia="Times New Roman" w:hAnsi="Verdana" w:cs="Arial"/>
                <w:color w:val="000000"/>
                <w:kern w:val="24"/>
                <w:sz w:val="18"/>
                <w:szCs w:val="18"/>
                <w:lang w:eastAsia="es-CO"/>
              </w:rPr>
              <w:t>22</w:t>
            </w:r>
          </w:p>
        </w:tc>
      </w:tr>
      <w:tr w:rsidR="00FC7F0E" w:rsidRPr="00021B2F" w:rsidTr="006B134A">
        <w:trPr>
          <w:jc w:val="center"/>
        </w:trPr>
        <w:tc>
          <w:tcPr>
            <w:tcW w:w="3190" w:type="pct"/>
          </w:tcPr>
          <w:p w:rsidR="00FC7F0E" w:rsidRPr="00021B2F" w:rsidRDefault="00FC7F0E" w:rsidP="00FC7F0E">
            <w:pPr>
              <w:jc w:val="center"/>
              <w:textAlignment w:val="bottom"/>
              <w:rPr>
                <w:rFonts w:ascii="Verdana" w:eastAsia="Times New Roman" w:hAnsi="Verdana" w:cs="Arial"/>
                <w:sz w:val="18"/>
                <w:szCs w:val="18"/>
                <w:lang w:eastAsia="es-CO"/>
              </w:rPr>
            </w:pPr>
            <w:r w:rsidRPr="00021B2F">
              <w:rPr>
                <w:rFonts w:ascii="Verdana" w:eastAsia="Times New Roman" w:hAnsi="Verdana" w:cs="Arial"/>
                <w:color w:val="000000"/>
                <w:kern w:val="24"/>
                <w:sz w:val="18"/>
                <w:szCs w:val="18"/>
                <w:lang w:eastAsia="es-CO"/>
              </w:rPr>
              <w:t>Informes de participación en Consejos Departamentales de Política Social</w:t>
            </w:r>
          </w:p>
        </w:tc>
        <w:tc>
          <w:tcPr>
            <w:tcW w:w="958" w:type="pct"/>
          </w:tcPr>
          <w:p w:rsidR="00FC7F0E" w:rsidRPr="00021B2F" w:rsidRDefault="00FC7F0E" w:rsidP="00FC7F0E">
            <w:pPr>
              <w:jc w:val="center"/>
              <w:textAlignment w:val="bottom"/>
              <w:rPr>
                <w:rFonts w:ascii="Verdana" w:eastAsia="Times New Roman" w:hAnsi="Verdana" w:cs="Arial"/>
                <w:sz w:val="18"/>
                <w:szCs w:val="18"/>
                <w:lang w:eastAsia="es-CO"/>
              </w:rPr>
            </w:pPr>
            <w:r w:rsidRPr="00021B2F">
              <w:rPr>
                <w:rFonts w:ascii="Verdana" w:eastAsia="Times New Roman" w:hAnsi="Verdana" w:cs="Arial"/>
                <w:color w:val="000000"/>
                <w:kern w:val="24"/>
                <w:sz w:val="18"/>
                <w:szCs w:val="18"/>
                <w:lang w:eastAsia="es-CO"/>
              </w:rPr>
              <w:t>32</w:t>
            </w:r>
          </w:p>
        </w:tc>
        <w:tc>
          <w:tcPr>
            <w:tcW w:w="852" w:type="pct"/>
          </w:tcPr>
          <w:p w:rsidR="00FC7F0E" w:rsidRPr="00021B2F" w:rsidRDefault="00FC7F0E" w:rsidP="00FC7F0E">
            <w:pPr>
              <w:jc w:val="center"/>
              <w:textAlignment w:val="bottom"/>
              <w:rPr>
                <w:rFonts w:ascii="Verdana" w:eastAsia="Times New Roman" w:hAnsi="Verdana" w:cs="Arial"/>
                <w:sz w:val="18"/>
                <w:szCs w:val="18"/>
                <w:lang w:eastAsia="es-CO"/>
              </w:rPr>
            </w:pPr>
            <w:r w:rsidRPr="00021B2F">
              <w:rPr>
                <w:rFonts w:ascii="Verdana" w:eastAsia="Times New Roman" w:hAnsi="Verdana" w:cs="Arial"/>
                <w:color w:val="000000"/>
                <w:kern w:val="24"/>
                <w:sz w:val="18"/>
                <w:szCs w:val="18"/>
                <w:lang w:eastAsia="es-CO"/>
              </w:rPr>
              <w:t>32</w:t>
            </w:r>
          </w:p>
        </w:tc>
      </w:tr>
      <w:tr w:rsidR="00FC7F0E" w:rsidRPr="00021B2F" w:rsidTr="006B134A">
        <w:trPr>
          <w:jc w:val="center"/>
        </w:trPr>
        <w:tc>
          <w:tcPr>
            <w:tcW w:w="3190" w:type="pct"/>
          </w:tcPr>
          <w:p w:rsidR="00FC7F0E" w:rsidRPr="00021B2F" w:rsidRDefault="00FC7F0E" w:rsidP="00FC7F0E">
            <w:pPr>
              <w:jc w:val="center"/>
              <w:textAlignment w:val="bottom"/>
              <w:rPr>
                <w:rFonts w:ascii="Verdana" w:eastAsia="Times New Roman" w:hAnsi="Verdana" w:cs="Arial"/>
                <w:color w:val="000000"/>
                <w:kern w:val="24"/>
                <w:sz w:val="18"/>
                <w:szCs w:val="18"/>
                <w:lang w:eastAsia="es-CO"/>
              </w:rPr>
            </w:pPr>
            <w:r w:rsidRPr="00021B2F">
              <w:rPr>
                <w:rFonts w:ascii="Verdana" w:eastAsia="Times New Roman" w:hAnsi="Verdana" w:cs="Arial"/>
                <w:color w:val="000000"/>
                <w:kern w:val="24"/>
                <w:sz w:val="18"/>
                <w:szCs w:val="18"/>
                <w:lang w:eastAsia="es-CO"/>
              </w:rPr>
              <w:t>Ferias de Servicios a nivel nacional</w:t>
            </w:r>
          </w:p>
        </w:tc>
        <w:tc>
          <w:tcPr>
            <w:tcW w:w="958" w:type="pct"/>
          </w:tcPr>
          <w:p w:rsidR="00FC7F0E" w:rsidRPr="00021B2F" w:rsidRDefault="00FC7F0E" w:rsidP="00FC7F0E">
            <w:pPr>
              <w:jc w:val="center"/>
              <w:textAlignment w:val="bottom"/>
              <w:rPr>
                <w:rFonts w:ascii="Verdana" w:eastAsia="Times New Roman" w:hAnsi="Verdana" w:cs="Arial"/>
                <w:color w:val="000000"/>
                <w:kern w:val="24"/>
                <w:sz w:val="18"/>
                <w:szCs w:val="18"/>
                <w:lang w:eastAsia="es-CO"/>
              </w:rPr>
            </w:pPr>
            <w:r w:rsidRPr="00021B2F">
              <w:rPr>
                <w:rFonts w:ascii="Verdana" w:eastAsia="Times New Roman" w:hAnsi="Verdana" w:cs="Arial"/>
                <w:color w:val="000000"/>
                <w:kern w:val="24"/>
                <w:sz w:val="18"/>
                <w:szCs w:val="18"/>
                <w:lang w:eastAsia="es-CO"/>
              </w:rPr>
              <w:t>--</w:t>
            </w:r>
          </w:p>
        </w:tc>
        <w:tc>
          <w:tcPr>
            <w:tcW w:w="852" w:type="pct"/>
          </w:tcPr>
          <w:p w:rsidR="00FC7F0E" w:rsidRPr="00021B2F" w:rsidRDefault="00FC7F0E" w:rsidP="00FC7F0E">
            <w:pPr>
              <w:jc w:val="center"/>
              <w:textAlignment w:val="bottom"/>
              <w:rPr>
                <w:rFonts w:ascii="Verdana" w:eastAsia="Times New Roman" w:hAnsi="Verdana" w:cs="Arial"/>
                <w:color w:val="000000"/>
                <w:kern w:val="24"/>
                <w:sz w:val="18"/>
                <w:szCs w:val="18"/>
                <w:lang w:eastAsia="es-CO"/>
              </w:rPr>
            </w:pPr>
            <w:r w:rsidRPr="00021B2F">
              <w:rPr>
                <w:rFonts w:ascii="Verdana" w:eastAsia="Times New Roman" w:hAnsi="Verdana" w:cs="Arial"/>
                <w:color w:val="000000"/>
                <w:kern w:val="24"/>
                <w:sz w:val="18"/>
                <w:szCs w:val="18"/>
                <w:lang w:eastAsia="es-CO"/>
              </w:rPr>
              <w:t>1.025</w:t>
            </w:r>
          </w:p>
        </w:tc>
      </w:tr>
    </w:tbl>
    <w:p w:rsidR="006B134A" w:rsidRPr="00C16A2F" w:rsidRDefault="006B134A" w:rsidP="006B134A">
      <w:pPr>
        <w:spacing w:after="0" w:line="240" w:lineRule="auto"/>
        <w:jc w:val="right"/>
        <w:rPr>
          <w:rFonts w:ascii="Verdana" w:hAnsi="Verdana"/>
          <w:szCs w:val="24"/>
          <w:lang w:val="es-MX"/>
        </w:rPr>
      </w:pPr>
      <w:r w:rsidRPr="00C16A2F">
        <w:rPr>
          <w:rFonts w:ascii="Verdana" w:hAnsi="Verdana"/>
          <w:szCs w:val="24"/>
          <w:lang w:val="es-MX"/>
        </w:rPr>
        <w:t>Tabla 6. Logros DIGOIT</w:t>
      </w:r>
    </w:p>
    <w:p w:rsidR="00FC7F0E" w:rsidRPr="00021B2F" w:rsidRDefault="00FC7F0E" w:rsidP="006B134A">
      <w:pPr>
        <w:spacing w:after="0" w:line="240" w:lineRule="auto"/>
        <w:jc w:val="right"/>
        <w:rPr>
          <w:rFonts w:ascii="Verdana" w:hAnsi="Verdana"/>
          <w:sz w:val="24"/>
          <w:szCs w:val="24"/>
          <w:lang w:val="es-MX"/>
        </w:rPr>
      </w:pPr>
    </w:p>
    <w:p w:rsidR="00FC7F0E" w:rsidRPr="00021B2F" w:rsidRDefault="00FC7F0E" w:rsidP="00FC7F0E">
      <w:pPr>
        <w:spacing w:after="0" w:line="240" w:lineRule="auto"/>
        <w:jc w:val="both"/>
        <w:rPr>
          <w:rFonts w:ascii="Verdana" w:hAnsi="Verdana"/>
          <w:sz w:val="24"/>
          <w:szCs w:val="24"/>
          <w:lang w:val="es-MX"/>
        </w:rPr>
      </w:pPr>
      <w:r w:rsidRPr="00021B2F">
        <w:rPr>
          <w:rFonts w:ascii="Verdana" w:hAnsi="Verdana"/>
          <w:sz w:val="24"/>
          <w:szCs w:val="24"/>
          <w:lang w:val="es-MX"/>
        </w:rPr>
        <w:t xml:space="preserve">Sobre los principales logros cualitativos, vale la pena </w:t>
      </w:r>
      <w:r w:rsidR="00A92923">
        <w:rPr>
          <w:rFonts w:ascii="Verdana" w:hAnsi="Verdana"/>
          <w:sz w:val="24"/>
          <w:szCs w:val="24"/>
          <w:lang w:val="es-MX"/>
        </w:rPr>
        <w:t>resaltar</w:t>
      </w:r>
      <w:r w:rsidRPr="00021B2F">
        <w:rPr>
          <w:rFonts w:ascii="Verdana" w:hAnsi="Verdana"/>
          <w:sz w:val="24"/>
          <w:szCs w:val="24"/>
          <w:lang w:val="es-MX"/>
        </w:rPr>
        <w:t>:</w:t>
      </w:r>
    </w:p>
    <w:p w:rsidR="00FC7F0E" w:rsidRPr="00021B2F" w:rsidRDefault="00FC7F0E" w:rsidP="00FC7F0E">
      <w:pPr>
        <w:spacing w:after="0" w:line="240" w:lineRule="auto"/>
        <w:jc w:val="both"/>
        <w:rPr>
          <w:rFonts w:ascii="Verdana" w:hAnsi="Verdana"/>
          <w:sz w:val="24"/>
          <w:szCs w:val="24"/>
          <w:lang w:val="es-MX"/>
        </w:rPr>
      </w:pPr>
    </w:p>
    <w:p w:rsidR="00FC7F0E" w:rsidRPr="00C16A2F" w:rsidRDefault="00FC7F0E" w:rsidP="00582BDE">
      <w:pPr>
        <w:pStyle w:val="Prrafodelista"/>
        <w:numPr>
          <w:ilvl w:val="0"/>
          <w:numId w:val="132"/>
        </w:numPr>
        <w:spacing w:after="0" w:line="240" w:lineRule="auto"/>
        <w:jc w:val="both"/>
        <w:rPr>
          <w:rFonts w:ascii="Verdana" w:hAnsi="Verdana"/>
          <w:i/>
          <w:sz w:val="24"/>
          <w:szCs w:val="24"/>
          <w:lang w:val="es-MX"/>
        </w:rPr>
      </w:pPr>
      <w:r w:rsidRPr="00C16A2F">
        <w:rPr>
          <w:rFonts w:ascii="Verdana" w:hAnsi="Verdana"/>
          <w:i/>
          <w:sz w:val="24"/>
          <w:szCs w:val="24"/>
          <w:lang w:val="es-MX"/>
        </w:rPr>
        <w:t>En 2013, 32 entidades trabajaban articuladamente como miembros de la Red Unidos, gracias a las gestiones adelantadas en 2014, se logró que 4 nuevas entidades se vincularan activamente.</w:t>
      </w:r>
    </w:p>
    <w:p w:rsidR="00FC7F0E" w:rsidRPr="00C16A2F" w:rsidRDefault="00FC7F0E" w:rsidP="00582BDE">
      <w:pPr>
        <w:pStyle w:val="Prrafodelista"/>
        <w:numPr>
          <w:ilvl w:val="0"/>
          <w:numId w:val="132"/>
        </w:numPr>
        <w:spacing w:after="0" w:line="240" w:lineRule="auto"/>
        <w:jc w:val="both"/>
        <w:rPr>
          <w:rFonts w:ascii="Verdana" w:hAnsi="Verdana"/>
          <w:i/>
          <w:sz w:val="24"/>
          <w:szCs w:val="24"/>
          <w:lang w:val="es-MX"/>
        </w:rPr>
      </w:pPr>
      <w:r w:rsidRPr="00C16A2F">
        <w:rPr>
          <w:rFonts w:ascii="Verdana" w:hAnsi="Verdana"/>
          <w:i/>
          <w:sz w:val="24"/>
          <w:szCs w:val="24"/>
          <w:lang w:val="es-MX"/>
        </w:rPr>
        <w:t xml:space="preserve">En 2014, se lograron acuerdos explícitos de focalización de los programas sociales a familias de la Red UNIDOS con 22 entidades del nivel nacional, de los cuales 13 se formalizaron a través de la suscripción de los Planes de Acción Unidos (PAU) entre ANSPE y las entidades. </w:t>
      </w:r>
    </w:p>
    <w:p w:rsidR="00FC7F0E" w:rsidRPr="00C16A2F" w:rsidRDefault="00FC7F0E" w:rsidP="00582BDE">
      <w:pPr>
        <w:pStyle w:val="Prrafodelista"/>
        <w:numPr>
          <w:ilvl w:val="0"/>
          <w:numId w:val="132"/>
        </w:numPr>
        <w:spacing w:after="0" w:line="240" w:lineRule="auto"/>
        <w:jc w:val="both"/>
        <w:rPr>
          <w:rFonts w:ascii="Verdana" w:hAnsi="Verdana"/>
          <w:i/>
          <w:sz w:val="24"/>
          <w:szCs w:val="24"/>
          <w:lang w:val="es-MX"/>
        </w:rPr>
      </w:pPr>
      <w:r w:rsidRPr="00C16A2F">
        <w:rPr>
          <w:rFonts w:ascii="Verdana" w:hAnsi="Verdana"/>
          <w:i/>
          <w:sz w:val="24"/>
          <w:szCs w:val="24"/>
          <w:lang w:val="es-MX"/>
        </w:rPr>
        <w:t>Durante el 2014 el número de programas que focalizaron en la población UNIDOS ascendió a 60 programas de las entidades nacionales.</w:t>
      </w:r>
    </w:p>
    <w:p w:rsidR="00FC7F0E" w:rsidRPr="00C16A2F" w:rsidRDefault="00FC7F0E" w:rsidP="00582BDE">
      <w:pPr>
        <w:pStyle w:val="Prrafodelista"/>
        <w:numPr>
          <w:ilvl w:val="0"/>
          <w:numId w:val="132"/>
        </w:numPr>
        <w:spacing w:after="0" w:line="240" w:lineRule="auto"/>
        <w:jc w:val="both"/>
        <w:rPr>
          <w:rFonts w:ascii="Verdana" w:hAnsi="Verdana"/>
          <w:i/>
          <w:sz w:val="24"/>
          <w:szCs w:val="24"/>
          <w:lang w:val="es-MX"/>
        </w:rPr>
      </w:pPr>
      <w:r w:rsidRPr="00C16A2F">
        <w:rPr>
          <w:rFonts w:ascii="Verdana" w:hAnsi="Verdana"/>
          <w:i/>
          <w:sz w:val="24"/>
          <w:szCs w:val="24"/>
          <w:lang w:val="es-MX"/>
        </w:rPr>
        <w:t>En 2014, logramos que en 868 municipios se contara con al meno0s una oferta social para la población UNIDOS.</w:t>
      </w:r>
    </w:p>
    <w:p w:rsidR="00FC7F0E" w:rsidRPr="00C16A2F" w:rsidRDefault="00FC7F0E" w:rsidP="00582BDE">
      <w:pPr>
        <w:pStyle w:val="Prrafodelista"/>
        <w:numPr>
          <w:ilvl w:val="0"/>
          <w:numId w:val="132"/>
        </w:numPr>
        <w:spacing w:after="0" w:line="240" w:lineRule="auto"/>
        <w:jc w:val="both"/>
        <w:rPr>
          <w:rFonts w:ascii="Verdana" w:hAnsi="Verdana"/>
          <w:i/>
          <w:sz w:val="24"/>
          <w:szCs w:val="24"/>
          <w:lang w:val="es-MX"/>
        </w:rPr>
      </w:pPr>
      <w:r w:rsidRPr="00C16A2F">
        <w:rPr>
          <w:rFonts w:ascii="Verdana" w:hAnsi="Verdana"/>
          <w:i/>
          <w:sz w:val="24"/>
          <w:szCs w:val="24"/>
          <w:lang w:val="es-MX"/>
        </w:rPr>
        <w:t>A través de la gestión local principalmente, logramos que tomara impulso el modelo de ferias de servicios como un espacio adecuado para facilitar el acceso de las familias UNIDOS a servicios sociales básicos de una manera integral. Es por ello, que se realizaron más de 1.000 ferias en todo el país.</w:t>
      </w:r>
    </w:p>
    <w:p w:rsidR="00FC7F0E" w:rsidRPr="00C16A2F" w:rsidRDefault="00FC7F0E" w:rsidP="00582BDE">
      <w:pPr>
        <w:pStyle w:val="Prrafodelista"/>
        <w:numPr>
          <w:ilvl w:val="0"/>
          <w:numId w:val="132"/>
        </w:numPr>
        <w:spacing w:after="0" w:line="240" w:lineRule="auto"/>
        <w:jc w:val="both"/>
        <w:rPr>
          <w:rFonts w:ascii="Verdana" w:hAnsi="Verdana"/>
          <w:i/>
          <w:sz w:val="24"/>
          <w:szCs w:val="24"/>
          <w:lang w:val="es-MX"/>
        </w:rPr>
      </w:pPr>
      <w:r w:rsidRPr="00C16A2F">
        <w:rPr>
          <w:rFonts w:ascii="Verdana" w:hAnsi="Verdana"/>
          <w:i/>
          <w:sz w:val="24"/>
          <w:szCs w:val="24"/>
          <w:lang w:val="es-MX"/>
        </w:rPr>
        <w:t xml:space="preserve"> Posicionamos la estrategia de superación de pobreza extrema y la Red UNIDOS en los Consejos de Política Social. A nivel departamental, logramos que en al menos uno de estos espacios en el año se tratara los avances y retos de la estrategia.</w:t>
      </w:r>
    </w:p>
    <w:p w:rsidR="00FC7F0E" w:rsidRPr="00C16A2F" w:rsidRDefault="00FC7F0E" w:rsidP="00582BDE">
      <w:pPr>
        <w:pStyle w:val="Prrafodelista"/>
        <w:numPr>
          <w:ilvl w:val="0"/>
          <w:numId w:val="132"/>
        </w:numPr>
        <w:spacing w:after="0" w:line="240" w:lineRule="auto"/>
        <w:jc w:val="both"/>
        <w:rPr>
          <w:rFonts w:ascii="Verdana" w:hAnsi="Verdana"/>
          <w:i/>
          <w:sz w:val="24"/>
          <w:szCs w:val="24"/>
          <w:lang w:val="es-MX"/>
        </w:rPr>
      </w:pPr>
      <w:r w:rsidRPr="00C16A2F">
        <w:rPr>
          <w:rFonts w:ascii="Verdana" w:hAnsi="Verdana"/>
          <w:i/>
          <w:sz w:val="24"/>
          <w:szCs w:val="24"/>
          <w:lang w:val="es-MX"/>
        </w:rPr>
        <w:lastRenderedPageBreak/>
        <w:t>Con el propósito de avanzar en el diseño de métodos e instrumentos que permitieran a la ANSPE prepararse para un operativo rural que facilite la vinculación de la población UNIDOS a los programas sociales en estas zonas, se desarrolló un método de focalización, que fue aplicado mediante un piloto a la oferta del programa de seguridad alimentaria (RESA) del DPS. Con el ejercicio se logró ubicar 20.250 potenciales UNIDOS del rural disperso para ser beneficiarios de ReSA.</w:t>
      </w:r>
    </w:p>
    <w:p w:rsidR="00FC7F0E" w:rsidRPr="00C16A2F" w:rsidRDefault="00FC7F0E" w:rsidP="00582BDE">
      <w:pPr>
        <w:pStyle w:val="Prrafodelista"/>
        <w:numPr>
          <w:ilvl w:val="0"/>
          <w:numId w:val="132"/>
        </w:numPr>
        <w:spacing w:after="0" w:line="240" w:lineRule="auto"/>
        <w:jc w:val="both"/>
        <w:rPr>
          <w:rFonts w:ascii="Verdana" w:hAnsi="Verdana"/>
          <w:i/>
          <w:sz w:val="24"/>
          <w:szCs w:val="24"/>
          <w:lang w:val="es-MX"/>
        </w:rPr>
      </w:pPr>
      <w:r w:rsidRPr="00C16A2F">
        <w:rPr>
          <w:rFonts w:ascii="Verdana" w:hAnsi="Verdana"/>
          <w:i/>
          <w:sz w:val="24"/>
          <w:szCs w:val="24"/>
          <w:lang w:val="es-MX"/>
        </w:rPr>
        <w:t>Tras la implementación del nuevo programa de Subsidio Familiar de Vivienda Gratuita –SFVE-, dirigido a la población pobre extrema, víctima del desplazamiento y damnificada por la Ola Invernal, 57.432 viviendas de este programa fueron asignadas a familias UNIDOS cerrando el 2014, es decir, el 92% del total de beneficiarios.</w:t>
      </w:r>
    </w:p>
    <w:p w:rsidR="00FC7F0E" w:rsidRPr="00021B2F" w:rsidRDefault="00FC7F0E" w:rsidP="00FC7F0E">
      <w:pPr>
        <w:pStyle w:val="Prrafodelista"/>
        <w:spacing w:after="0" w:line="240" w:lineRule="auto"/>
        <w:jc w:val="both"/>
        <w:rPr>
          <w:rFonts w:ascii="Verdana" w:hAnsi="Verdana"/>
          <w:sz w:val="24"/>
          <w:szCs w:val="24"/>
          <w:lang w:val="es-MX"/>
        </w:rPr>
      </w:pPr>
    </w:p>
    <w:p w:rsidR="00A92923" w:rsidRPr="003F0CD2" w:rsidRDefault="00A92923" w:rsidP="00A92923">
      <w:pPr>
        <w:spacing w:after="0" w:line="240" w:lineRule="auto"/>
        <w:jc w:val="both"/>
        <w:rPr>
          <w:rFonts w:ascii="Verdana" w:hAnsi="Verdana"/>
          <w:b/>
          <w:color w:val="0070C0"/>
          <w:sz w:val="24"/>
          <w:szCs w:val="24"/>
        </w:rPr>
      </w:pPr>
      <w:r w:rsidRPr="003F0CD2">
        <w:rPr>
          <w:rFonts w:ascii="Verdana" w:hAnsi="Verdana"/>
          <w:b/>
          <w:color w:val="0070C0"/>
          <w:sz w:val="24"/>
          <w:szCs w:val="24"/>
        </w:rPr>
        <w:t>Retos 2015</w:t>
      </w:r>
    </w:p>
    <w:p w:rsidR="00FC7F0E" w:rsidRPr="00021B2F" w:rsidRDefault="00FC7F0E" w:rsidP="00FC7F0E">
      <w:pPr>
        <w:spacing w:after="0" w:line="240" w:lineRule="auto"/>
        <w:jc w:val="both"/>
        <w:rPr>
          <w:rFonts w:ascii="Verdana" w:hAnsi="Verdana"/>
          <w:sz w:val="24"/>
          <w:szCs w:val="24"/>
          <w:lang w:val="es-MX"/>
        </w:rPr>
      </w:pPr>
    </w:p>
    <w:p w:rsidR="00FC7F0E" w:rsidRPr="00C16A2F" w:rsidRDefault="00FC7F0E" w:rsidP="00582BDE">
      <w:pPr>
        <w:pStyle w:val="Prrafodelista"/>
        <w:numPr>
          <w:ilvl w:val="0"/>
          <w:numId w:val="133"/>
        </w:numPr>
        <w:spacing w:after="0" w:line="240" w:lineRule="auto"/>
        <w:jc w:val="both"/>
        <w:rPr>
          <w:rFonts w:ascii="Verdana" w:hAnsi="Verdana"/>
          <w:i/>
          <w:sz w:val="24"/>
          <w:szCs w:val="24"/>
          <w:lang w:val="es-MX"/>
        </w:rPr>
      </w:pPr>
      <w:r w:rsidRPr="00C16A2F">
        <w:rPr>
          <w:rFonts w:ascii="Verdana" w:hAnsi="Verdana"/>
          <w:i/>
          <w:sz w:val="24"/>
          <w:szCs w:val="24"/>
          <w:lang w:val="es-MX"/>
        </w:rPr>
        <w:t>Cobertura y operación de programas sociales en lo rural: El principal reto de la estrategia de superación de pobreza está asociado al cierre de la brecha urbano-rural. Si bien algunos programas sociales hoy cuentan con una cobertura rural, esta es marginal y no se cuenta con un conjunto de intervenciones que tengan una cobertura a escala que pueda incidir significativamente en la reducción de pobreza en esas zonas.</w:t>
      </w:r>
    </w:p>
    <w:p w:rsidR="00FC7F0E" w:rsidRPr="00C16A2F" w:rsidRDefault="00FC7F0E" w:rsidP="00582BDE">
      <w:pPr>
        <w:pStyle w:val="Prrafodelista"/>
        <w:numPr>
          <w:ilvl w:val="0"/>
          <w:numId w:val="133"/>
        </w:numPr>
        <w:spacing w:after="0" w:line="240" w:lineRule="auto"/>
        <w:jc w:val="both"/>
        <w:rPr>
          <w:rFonts w:ascii="Verdana" w:hAnsi="Verdana"/>
          <w:i/>
          <w:sz w:val="24"/>
          <w:szCs w:val="24"/>
          <w:lang w:val="es-MX"/>
        </w:rPr>
      </w:pPr>
      <w:r w:rsidRPr="00C16A2F">
        <w:rPr>
          <w:rFonts w:ascii="Verdana" w:hAnsi="Verdana"/>
          <w:i/>
          <w:sz w:val="24"/>
          <w:szCs w:val="24"/>
          <w:lang w:val="es-MX"/>
        </w:rPr>
        <w:t>Programas con baja cobertura frente a una alta demanda: Es el caso de mejoramiento de vivienda o generación de ingresos. Existe un número importante de familias que demandan estos servicios y la oferta frente al tamaño del reto es baja.</w:t>
      </w:r>
    </w:p>
    <w:p w:rsidR="00FC7F0E" w:rsidRPr="00C16A2F" w:rsidRDefault="00FC7F0E" w:rsidP="00582BDE">
      <w:pPr>
        <w:pStyle w:val="Prrafodelista"/>
        <w:numPr>
          <w:ilvl w:val="0"/>
          <w:numId w:val="133"/>
        </w:numPr>
        <w:spacing w:after="0" w:line="240" w:lineRule="auto"/>
        <w:jc w:val="both"/>
        <w:rPr>
          <w:rFonts w:ascii="Verdana" w:hAnsi="Verdana"/>
          <w:i/>
          <w:sz w:val="24"/>
          <w:szCs w:val="24"/>
          <w:lang w:val="es-MX"/>
        </w:rPr>
      </w:pPr>
      <w:r w:rsidRPr="00C16A2F">
        <w:rPr>
          <w:rFonts w:ascii="Verdana" w:hAnsi="Verdana"/>
          <w:i/>
          <w:sz w:val="24"/>
          <w:szCs w:val="24"/>
          <w:lang w:val="es-MX"/>
        </w:rPr>
        <w:t>Fortalecimiento de las instancias de coordinación de la Red Unidos: Para efectos de garantizar que las intervenciones y la operación de los programas sociales se dé de forma articulada y se optimicen las inversiones que se vayan a realizar, es de vital importancia fortalecer la Comisión Intersectorial de Unidos y mantener y consolidar la Mesa Transversal de Pobreza y Desigualdad.</w:t>
      </w:r>
    </w:p>
    <w:p w:rsidR="00FC7F0E" w:rsidRPr="00C16A2F" w:rsidRDefault="00FC7F0E" w:rsidP="00582BDE">
      <w:pPr>
        <w:pStyle w:val="Prrafodelista"/>
        <w:numPr>
          <w:ilvl w:val="0"/>
          <w:numId w:val="133"/>
        </w:numPr>
        <w:spacing w:after="0" w:line="240" w:lineRule="auto"/>
        <w:jc w:val="both"/>
        <w:rPr>
          <w:rFonts w:ascii="Verdana" w:hAnsi="Verdana"/>
          <w:i/>
          <w:sz w:val="24"/>
          <w:szCs w:val="24"/>
          <w:lang w:val="es-MX"/>
        </w:rPr>
      </w:pPr>
      <w:r w:rsidRPr="00C16A2F">
        <w:rPr>
          <w:rFonts w:ascii="Verdana" w:hAnsi="Verdana"/>
          <w:i/>
          <w:sz w:val="24"/>
          <w:szCs w:val="24"/>
          <w:lang w:val="es-MX"/>
        </w:rPr>
        <w:t>Fin periodos de gobiernos territoriales y nuevos planes de desarrollo territoriales: Es necesario trabajar de la mano con las alcaldías y gobernaciones en el cierre del periodo de gobierno y hacer recomendaciones para que los mandatarios entrantes incluyan en sus planes de desarrollo el tema de superación de pobreza extrema.</w:t>
      </w:r>
    </w:p>
    <w:p w:rsidR="00FC7F0E" w:rsidRPr="00021B2F" w:rsidRDefault="00FC7F0E" w:rsidP="00FC7F0E">
      <w:pPr>
        <w:spacing w:after="0" w:line="240" w:lineRule="auto"/>
        <w:jc w:val="both"/>
        <w:rPr>
          <w:rFonts w:ascii="Verdana" w:hAnsi="Verdana"/>
          <w:sz w:val="24"/>
          <w:szCs w:val="24"/>
        </w:rPr>
      </w:pPr>
    </w:p>
    <w:p w:rsidR="00FC7F0E" w:rsidRDefault="00FC7F0E" w:rsidP="00FC7F0E">
      <w:pPr>
        <w:spacing w:after="0" w:line="240" w:lineRule="auto"/>
        <w:jc w:val="both"/>
        <w:rPr>
          <w:rFonts w:ascii="Verdana" w:hAnsi="Verdana"/>
          <w:sz w:val="24"/>
          <w:szCs w:val="24"/>
          <w:u w:val="single"/>
        </w:rPr>
      </w:pPr>
    </w:p>
    <w:p w:rsidR="00FC7F0E" w:rsidRDefault="00FC7F0E" w:rsidP="00FC7F0E">
      <w:pPr>
        <w:spacing w:after="0" w:line="240" w:lineRule="auto"/>
        <w:jc w:val="both"/>
        <w:rPr>
          <w:rFonts w:ascii="Verdana" w:hAnsi="Verdana"/>
          <w:sz w:val="24"/>
          <w:szCs w:val="24"/>
          <w:u w:val="single"/>
        </w:rPr>
      </w:pPr>
    </w:p>
    <w:p w:rsidR="00FC7F0E" w:rsidRPr="00C16A2F" w:rsidRDefault="00FC7F0E" w:rsidP="00FC7F0E">
      <w:pPr>
        <w:spacing w:after="0" w:line="240" w:lineRule="auto"/>
        <w:jc w:val="both"/>
        <w:rPr>
          <w:rFonts w:ascii="Verdana" w:hAnsi="Verdana"/>
          <w:b/>
          <w:color w:val="0070C0"/>
          <w:sz w:val="24"/>
          <w:szCs w:val="24"/>
        </w:rPr>
      </w:pPr>
      <w:bookmarkStart w:id="86" w:name="_GoBack"/>
      <w:bookmarkEnd w:id="86"/>
      <w:r w:rsidRPr="00C16A2F">
        <w:rPr>
          <w:rFonts w:ascii="Verdana" w:hAnsi="Verdana"/>
          <w:b/>
          <w:color w:val="548DD4" w:themeColor="text2" w:themeTint="99"/>
          <w:sz w:val="24"/>
          <w:szCs w:val="24"/>
        </w:rPr>
        <w:t>DIRECCION</w:t>
      </w:r>
      <w:r w:rsidRPr="00C16A2F">
        <w:rPr>
          <w:rFonts w:ascii="Verdana" w:hAnsi="Verdana"/>
          <w:b/>
          <w:color w:val="0070C0"/>
          <w:sz w:val="24"/>
          <w:szCs w:val="24"/>
        </w:rPr>
        <w:t xml:space="preserve"> INVERSION SOCIAL PRIVADA - DISP </w:t>
      </w:r>
    </w:p>
    <w:p w:rsidR="003F0CD2" w:rsidRDefault="003F0CD2" w:rsidP="003F0CD2">
      <w:pPr>
        <w:spacing w:after="0" w:line="240" w:lineRule="auto"/>
        <w:jc w:val="both"/>
        <w:rPr>
          <w:rFonts w:ascii="Verdana" w:hAnsi="Verdana"/>
          <w:b/>
          <w:color w:val="0070C0"/>
          <w:sz w:val="24"/>
          <w:szCs w:val="24"/>
        </w:rPr>
      </w:pPr>
    </w:p>
    <w:p w:rsidR="003F0CD2" w:rsidRDefault="003F0CD2" w:rsidP="003F0CD2">
      <w:pPr>
        <w:spacing w:after="0" w:line="240" w:lineRule="auto"/>
        <w:jc w:val="both"/>
        <w:rPr>
          <w:rFonts w:ascii="Verdana" w:hAnsi="Verdana"/>
          <w:b/>
          <w:color w:val="0070C0"/>
          <w:sz w:val="24"/>
          <w:szCs w:val="24"/>
        </w:rPr>
      </w:pPr>
      <w:r w:rsidRPr="00A269C5">
        <w:rPr>
          <w:rFonts w:ascii="Verdana" w:hAnsi="Verdana"/>
          <w:b/>
          <w:color w:val="0070C0"/>
          <w:sz w:val="24"/>
          <w:szCs w:val="24"/>
        </w:rPr>
        <w:t>Logros 2014</w:t>
      </w:r>
    </w:p>
    <w:p w:rsidR="00FC7F0E" w:rsidRPr="00021B2F" w:rsidRDefault="00FC7F0E" w:rsidP="00FC7F0E">
      <w:pPr>
        <w:pStyle w:val="Prrafodelista"/>
        <w:spacing w:after="0" w:line="240" w:lineRule="auto"/>
        <w:jc w:val="both"/>
        <w:rPr>
          <w:rFonts w:ascii="Verdana" w:hAnsi="Verdana"/>
          <w:sz w:val="24"/>
          <w:szCs w:val="24"/>
        </w:rPr>
      </w:pPr>
    </w:p>
    <w:p w:rsidR="00FC7F0E" w:rsidRPr="00C16A2F" w:rsidRDefault="00FC7F0E" w:rsidP="00FF784D">
      <w:pPr>
        <w:pStyle w:val="Prrafodelista"/>
        <w:numPr>
          <w:ilvl w:val="0"/>
          <w:numId w:val="47"/>
        </w:numPr>
        <w:spacing w:after="0" w:line="240" w:lineRule="auto"/>
        <w:jc w:val="both"/>
        <w:rPr>
          <w:rFonts w:ascii="Verdana" w:hAnsi="Verdana"/>
          <w:i/>
          <w:sz w:val="24"/>
          <w:szCs w:val="24"/>
        </w:rPr>
      </w:pPr>
      <w:r w:rsidRPr="00C16A2F">
        <w:rPr>
          <w:rFonts w:ascii="Verdana" w:hAnsi="Verdana"/>
          <w:i/>
          <w:sz w:val="24"/>
          <w:szCs w:val="24"/>
        </w:rPr>
        <w:t>En 2014, como resultado de la gestión de oferta privada, del tercer sector y de la cooperación internacional se formalizaron 8  nuevas alianzas y se movilizaron $23.000 millones de pesos de 34  aliados para la atención de familias en pobreza extrema.</w:t>
      </w:r>
    </w:p>
    <w:p w:rsidR="00FC7F0E" w:rsidRPr="00C16A2F" w:rsidRDefault="00FC7F0E" w:rsidP="00FC7F0E">
      <w:pPr>
        <w:pStyle w:val="Prrafodelista"/>
        <w:spacing w:after="0" w:line="240" w:lineRule="auto"/>
        <w:jc w:val="both"/>
        <w:rPr>
          <w:rFonts w:ascii="Verdana" w:hAnsi="Verdana"/>
          <w:i/>
          <w:sz w:val="24"/>
          <w:szCs w:val="24"/>
        </w:rPr>
      </w:pPr>
    </w:p>
    <w:p w:rsidR="00FC7F0E" w:rsidRPr="00C16A2F" w:rsidRDefault="00FC7F0E" w:rsidP="00FF784D">
      <w:pPr>
        <w:pStyle w:val="Prrafodelista"/>
        <w:numPr>
          <w:ilvl w:val="0"/>
          <w:numId w:val="47"/>
        </w:numPr>
        <w:spacing w:after="0" w:line="240" w:lineRule="auto"/>
        <w:jc w:val="both"/>
        <w:rPr>
          <w:rFonts w:ascii="Verdana" w:hAnsi="Verdana"/>
          <w:i/>
          <w:sz w:val="24"/>
          <w:szCs w:val="24"/>
        </w:rPr>
      </w:pPr>
      <w:r w:rsidRPr="00C16A2F">
        <w:rPr>
          <w:rFonts w:ascii="Verdana" w:hAnsi="Verdana"/>
          <w:i/>
          <w:sz w:val="24"/>
          <w:szCs w:val="24"/>
        </w:rPr>
        <w:t>Se realizó el Encuentro Internacional de Intercambio de Experiencias para la Superación de la Pobreza Extrema con la presencia de funcionarios de alto nivel de 14 países, con énfasis en los temas de Desarrollo Económico Incluyente y Sostenible; Desarrollo Rural y Territorial; Enfoque Diferencial, y Acompañamiento Comunitario.</w:t>
      </w:r>
    </w:p>
    <w:p w:rsidR="00FC7F0E" w:rsidRPr="00C16A2F" w:rsidRDefault="00FC7F0E" w:rsidP="003F0CD2">
      <w:pPr>
        <w:pStyle w:val="Prrafodelista"/>
        <w:spacing w:after="0" w:line="240" w:lineRule="auto"/>
        <w:ind w:firstLine="90"/>
        <w:jc w:val="both"/>
        <w:rPr>
          <w:rFonts w:ascii="Verdana" w:hAnsi="Verdana"/>
          <w:i/>
          <w:sz w:val="24"/>
          <w:szCs w:val="24"/>
        </w:rPr>
      </w:pPr>
    </w:p>
    <w:p w:rsidR="00FC7F0E" w:rsidRPr="00C16A2F" w:rsidRDefault="00FC7F0E" w:rsidP="00FF784D">
      <w:pPr>
        <w:pStyle w:val="Prrafodelista"/>
        <w:numPr>
          <w:ilvl w:val="0"/>
          <w:numId w:val="47"/>
        </w:numPr>
        <w:spacing w:after="0" w:line="240" w:lineRule="auto"/>
        <w:jc w:val="both"/>
        <w:rPr>
          <w:rFonts w:ascii="Verdana" w:hAnsi="Verdana"/>
          <w:i/>
          <w:sz w:val="24"/>
          <w:szCs w:val="24"/>
        </w:rPr>
      </w:pPr>
      <w:r w:rsidRPr="00C16A2F">
        <w:rPr>
          <w:rFonts w:ascii="Verdana" w:hAnsi="Verdana"/>
          <w:i/>
          <w:sz w:val="24"/>
          <w:szCs w:val="24"/>
        </w:rPr>
        <w:t xml:space="preserve">Como reconocimiento a la política de superación de pobreza extrema y por promover la Estrategia Red Unidos como un referente internacional, la ANSPE recibió el Premio Respuesta, otorgado por la Agencia Presidencial de Cooperación Internacional de Colombia y Marca País. </w:t>
      </w:r>
    </w:p>
    <w:p w:rsidR="00FC7F0E" w:rsidRPr="00021B2F" w:rsidRDefault="00FC7F0E" w:rsidP="00FC7F0E">
      <w:pPr>
        <w:pStyle w:val="Prrafodelista"/>
        <w:spacing w:after="0" w:line="240" w:lineRule="auto"/>
        <w:jc w:val="both"/>
        <w:rPr>
          <w:rFonts w:ascii="Verdana" w:hAnsi="Verdana"/>
          <w:sz w:val="24"/>
          <w:szCs w:val="24"/>
        </w:rPr>
      </w:pPr>
    </w:p>
    <w:p w:rsidR="00A92923" w:rsidRPr="003F0CD2" w:rsidRDefault="00A92923" w:rsidP="00A92923">
      <w:pPr>
        <w:spacing w:after="0" w:line="240" w:lineRule="auto"/>
        <w:jc w:val="both"/>
        <w:rPr>
          <w:rFonts w:ascii="Verdana" w:hAnsi="Verdana"/>
          <w:b/>
          <w:color w:val="0070C0"/>
          <w:sz w:val="24"/>
          <w:szCs w:val="24"/>
        </w:rPr>
      </w:pPr>
      <w:r w:rsidRPr="003F0CD2">
        <w:rPr>
          <w:rFonts w:ascii="Verdana" w:hAnsi="Verdana"/>
          <w:b/>
          <w:color w:val="0070C0"/>
          <w:sz w:val="24"/>
          <w:szCs w:val="24"/>
        </w:rPr>
        <w:t>Retos 2015</w:t>
      </w:r>
    </w:p>
    <w:p w:rsidR="00A92923" w:rsidRPr="00AA0FE4" w:rsidRDefault="00A92923" w:rsidP="00A92923">
      <w:pPr>
        <w:spacing w:after="0" w:line="240" w:lineRule="auto"/>
        <w:jc w:val="both"/>
        <w:rPr>
          <w:rFonts w:ascii="Verdana" w:hAnsi="Verdana"/>
          <w:sz w:val="24"/>
          <w:szCs w:val="24"/>
        </w:rPr>
      </w:pPr>
    </w:p>
    <w:p w:rsidR="00FC7F0E" w:rsidRPr="00C16A2F" w:rsidRDefault="00FC7F0E" w:rsidP="00FF784D">
      <w:pPr>
        <w:pStyle w:val="Prrafodelista"/>
        <w:numPr>
          <w:ilvl w:val="0"/>
          <w:numId w:val="46"/>
        </w:numPr>
        <w:spacing w:after="0" w:line="240" w:lineRule="auto"/>
        <w:jc w:val="both"/>
        <w:rPr>
          <w:rFonts w:ascii="Verdana" w:hAnsi="Verdana"/>
          <w:i/>
          <w:sz w:val="24"/>
          <w:szCs w:val="24"/>
        </w:rPr>
      </w:pPr>
      <w:r w:rsidRPr="00C16A2F">
        <w:rPr>
          <w:rFonts w:ascii="Verdana" w:hAnsi="Verdana"/>
          <w:i/>
          <w:sz w:val="24"/>
          <w:szCs w:val="24"/>
        </w:rPr>
        <w:t>Para 2015 es importante trabajar en una normativa de Alianzas Público Privadas para el desarrollo social, ya que la Ley 1508 de 2012 de  Asociaciones Público Privadas, se enfocó por completo en asuntos de infraestructura. Este marco regulatorio debe tener en cuenta al menos cuatro líneas de trabajo: la primera debe ir ligada a generar un marco de incentivos para la contratación de población en condición de pobreza extrema, que permitan la reducción de costos laborales y faciliten las estrategias de enganche laboral. La segunda, debe ir encaminada al estímulo financiero y no financiero a la creación, fortalecimiento y regulación de formas asociativas para población vulnerable que faciliten encadenamientos productivos y negocios inclusivos de valor compartido. La tercera, debe estar en la línea de promover la vinculación entre productores de bajos ingresos e inversionistas privados para permitir su integración en el mercado en condiciones justas para ambas partes. La cuarta debe dar línea sobre las diferentes formas de participación del sector privado en la prestación de servicios sociales.</w:t>
      </w:r>
    </w:p>
    <w:p w:rsidR="00FC7F0E" w:rsidRPr="00C16A2F" w:rsidRDefault="00FC7F0E" w:rsidP="00A92923">
      <w:pPr>
        <w:pStyle w:val="Prrafodelista"/>
        <w:spacing w:after="0" w:line="240" w:lineRule="auto"/>
        <w:ind w:firstLine="90"/>
        <w:jc w:val="both"/>
        <w:rPr>
          <w:rFonts w:ascii="Verdana" w:hAnsi="Verdana"/>
          <w:i/>
          <w:sz w:val="24"/>
          <w:szCs w:val="24"/>
        </w:rPr>
      </w:pPr>
    </w:p>
    <w:p w:rsidR="00FC7F0E" w:rsidRPr="00C16A2F" w:rsidRDefault="00FC7F0E" w:rsidP="00FF784D">
      <w:pPr>
        <w:pStyle w:val="Prrafodelista"/>
        <w:numPr>
          <w:ilvl w:val="0"/>
          <w:numId w:val="46"/>
        </w:numPr>
        <w:spacing w:after="0" w:line="240" w:lineRule="auto"/>
        <w:jc w:val="both"/>
        <w:rPr>
          <w:rFonts w:ascii="Verdana" w:hAnsi="Verdana"/>
          <w:i/>
          <w:sz w:val="24"/>
          <w:szCs w:val="24"/>
        </w:rPr>
      </w:pPr>
      <w:r w:rsidRPr="00C16A2F">
        <w:rPr>
          <w:rFonts w:ascii="Verdana" w:hAnsi="Verdana"/>
          <w:i/>
          <w:sz w:val="24"/>
          <w:szCs w:val="24"/>
        </w:rPr>
        <w:t>Otro reto es lograr como sector de la Inclusión Social mayor costo efectividad en la articulación con el sector privado y evitar duplicidades. Con la oficina de Alianzas por lo Social del DPS trabajamos en la focalización de esfuerzos conjuntos como las intervenciones integrales, ZOLIPs y los proyectos de 100 mil viviendas gratuitas, y de esta manera presentar a los potenciales aliados propuestas robustas de mayor impacto.</w:t>
      </w:r>
    </w:p>
    <w:p w:rsidR="00FC7F0E" w:rsidRPr="00C16A2F" w:rsidRDefault="00FC7F0E" w:rsidP="00FC7F0E">
      <w:pPr>
        <w:pStyle w:val="Prrafodelista"/>
        <w:spacing w:after="0" w:line="240" w:lineRule="auto"/>
        <w:jc w:val="both"/>
        <w:rPr>
          <w:rFonts w:ascii="Verdana" w:hAnsi="Verdana"/>
          <w:i/>
          <w:sz w:val="24"/>
          <w:szCs w:val="24"/>
        </w:rPr>
      </w:pPr>
    </w:p>
    <w:p w:rsidR="00FC7F0E" w:rsidRPr="00C16A2F" w:rsidRDefault="00FC7F0E" w:rsidP="00FF784D">
      <w:pPr>
        <w:pStyle w:val="Prrafodelista"/>
        <w:numPr>
          <w:ilvl w:val="0"/>
          <w:numId w:val="46"/>
        </w:numPr>
        <w:spacing w:after="0" w:line="240" w:lineRule="auto"/>
        <w:jc w:val="both"/>
        <w:rPr>
          <w:rFonts w:ascii="Verdana" w:hAnsi="Verdana"/>
          <w:i/>
          <w:sz w:val="24"/>
          <w:szCs w:val="24"/>
        </w:rPr>
      </w:pPr>
      <w:r w:rsidRPr="00C16A2F">
        <w:rPr>
          <w:rFonts w:ascii="Verdana" w:hAnsi="Verdana"/>
          <w:i/>
          <w:sz w:val="24"/>
          <w:szCs w:val="24"/>
        </w:rPr>
        <w:t>En el marco del postconflicto, el sector privado tiene interés en acompañar al gobierno en este esfuerzo, ya que las condiciones de inequidad y pobreza afectan a las comunidades en los entornos de operación de las empresas. El desafío es construir agendas comunes de desarrollo social que contemplen el acompañamiento en los territorios de manera integral, donde las diferentes entidades del gobierno coordinemos nuestros esfuerzos e intereses.</w:t>
      </w:r>
    </w:p>
    <w:p w:rsidR="00FC7F0E" w:rsidRPr="00C16A2F" w:rsidRDefault="00FC7F0E" w:rsidP="00FC7F0E">
      <w:pPr>
        <w:spacing w:after="0" w:line="240" w:lineRule="auto"/>
        <w:jc w:val="both"/>
        <w:rPr>
          <w:rFonts w:ascii="Verdana" w:hAnsi="Verdana"/>
          <w:i/>
          <w:sz w:val="24"/>
          <w:szCs w:val="24"/>
        </w:rPr>
      </w:pPr>
    </w:p>
    <w:p w:rsidR="00FC7F0E" w:rsidRPr="00021B2F" w:rsidRDefault="00FC7F0E" w:rsidP="00FC7F0E">
      <w:pPr>
        <w:spacing w:after="0" w:line="240" w:lineRule="auto"/>
        <w:jc w:val="both"/>
        <w:rPr>
          <w:rFonts w:ascii="Verdana" w:hAnsi="Verdana"/>
          <w:sz w:val="24"/>
          <w:szCs w:val="24"/>
          <w:u w:val="single"/>
        </w:rPr>
      </w:pPr>
    </w:p>
    <w:p w:rsidR="00FC7F0E" w:rsidRPr="00C16A2F" w:rsidRDefault="00FC7F0E" w:rsidP="00FC7F0E">
      <w:pPr>
        <w:spacing w:after="0" w:line="240" w:lineRule="auto"/>
        <w:jc w:val="both"/>
        <w:rPr>
          <w:rFonts w:ascii="Verdana" w:hAnsi="Verdana"/>
          <w:b/>
          <w:color w:val="0070C0"/>
          <w:sz w:val="24"/>
          <w:szCs w:val="24"/>
        </w:rPr>
      </w:pPr>
      <w:r w:rsidRPr="00C16A2F">
        <w:rPr>
          <w:rFonts w:ascii="Verdana" w:hAnsi="Verdana"/>
          <w:b/>
          <w:color w:val="0070C0"/>
          <w:sz w:val="24"/>
          <w:szCs w:val="24"/>
        </w:rPr>
        <w:t>DIRECCION DE INNOVACION SOCIAL - DIS</w:t>
      </w:r>
    </w:p>
    <w:p w:rsidR="00FC7F0E" w:rsidRPr="00021B2F" w:rsidRDefault="00FC7F0E" w:rsidP="00FC7F0E">
      <w:pPr>
        <w:spacing w:after="0" w:line="240" w:lineRule="auto"/>
        <w:jc w:val="both"/>
        <w:rPr>
          <w:rFonts w:ascii="Verdana" w:hAnsi="Verdana"/>
          <w:sz w:val="24"/>
          <w:szCs w:val="24"/>
        </w:rPr>
      </w:pPr>
    </w:p>
    <w:p w:rsidR="00FC7F0E" w:rsidRPr="006F3381" w:rsidRDefault="00FC7F0E" w:rsidP="00FC7F0E">
      <w:pPr>
        <w:spacing w:after="0" w:line="240" w:lineRule="auto"/>
        <w:jc w:val="both"/>
        <w:rPr>
          <w:rFonts w:ascii="Verdana" w:hAnsi="Verdana"/>
          <w:b/>
          <w:color w:val="548DD4" w:themeColor="text2" w:themeTint="99"/>
          <w:sz w:val="24"/>
          <w:szCs w:val="24"/>
        </w:rPr>
      </w:pPr>
      <w:r w:rsidRPr="006F3381">
        <w:rPr>
          <w:rFonts w:ascii="Verdana" w:hAnsi="Verdana"/>
          <w:b/>
          <w:color w:val="548DD4" w:themeColor="text2" w:themeTint="99"/>
          <w:sz w:val="24"/>
          <w:szCs w:val="24"/>
        </w:rPr>
        <w:t>Grupo Promoción de la Innovación Social y Gestión del Conocimiento</w:t>
      </w:r>
    </w:p>
    <w:p w:rsidR="00FC7F0E" w:rsidRPr="00021B2F" w:rsidRDefault="00FC7F0E" w:rsidP="00FC7F0E">
      <w:pPr>
        <w:spacing w:after="0" w:line="240" w:lineRule="auto"/>
        <w:jc w:val="both"/>
        <w:rPr>
          <w:rFonts w:ascii="Verdana" w:hAnsi="Verdana"/>
          <w:sz w:val="24"/>
          <w:szCs w:val="24"/>
        </w:rPr>
      </w:pPr>
    </w:p>
    <w:p w:rsidR="00FC7F0E" w:rsidRPr="00021B2F" w:rsidRDefault="00FC7F0E" w:rsidP="00FC7F0E">
      <w:pPr>
        <w:spacing w:after="0" w:line="240" w:lineRule="auto"/>
        <w:jc w:val="both"/>
        <w:rPr>
          <w:rFonts w:ascii="Verdana" w:hAnsi="Verdana"/>
          <w:sz w:val="24"/>
          <w:szCs w:val="24"/>
        </w:rPr>
      </w:pPr>
      <w:r w:rsidRPr="00021B2F">
        <w:rPr>
          <w:rFonts w:ascii="Verdana" w:hAnsi="Verdana"/>
          <w:sz w:val="24"/>
          <w:szCs w:val="24"/>
        </w:rPr>
        <w:t>En el marco del proyecto Hilando  durante 2014:</w:t>
      </w:r>
    </w:p>
    <w:p w:rsidR="00FC7F0E" w:rsidRPr="00021B2F" w:rsidRDefault="00FC7F0E" w:rsidP="00FC7F0E">
      <w:pPr>
        <w:spacing w:after="0" w:line="240" w:lineRule="auto"/>
        <w:jc w:val="both"/>
        <w:rPr>
          <w:rFonts w:ascii="Verdana" w:hAnsi="Verdana"/>
          <w:sz w:val="24"/>
          <w:szCs w:val="24"/>
        </w:rPr>
      </w:pPr>
      <w:r w:rsidRPr="00021B2F">
        <w:rPr>
          <w:rFonts w:ascii="Verdana" w:hAnsi="Verdana"/>
          <w:sz w:val="24"/>
          <w:szCs w:val="24"/>
        </w:rPr>
        <w:t>1. Se mejoró la metodología de mapeo para la identificación de innovaciones sociales para superación de pobreza.</w:t>
      </w:r>
    </w:p>
    <w:p w:rsidR="00FC7F0E" w:rsidRPr="00021B2F" w:rsidRDefault="00FC7F0E" w:rsidP="00FC7F0E">
      <w:pPr>
        <w:spacing w:after="0" w:line="240" w:lineRule="auto"/>
        <w:jc w:val="both"/>
        <w:rPr>
          <w:rFonts w:ascii="Verdana" w:hAnsi="Verdana"/>
          <w:sz w:val="24"/>
          <w:szCs w:val="24"/>
        </w:rPr>
      </w:pPr>
      <w:r w:rsidRPr="00021B2F">
        <w:rPr>
          <w:rFonts w:ascii="Verdana" w:hAnsi="Verdana"/>
          <w:sz w:val="24"/>
          <w:szCs w:val="24"/>
        </w:rPr>
        <w:t>2. Se continuó con el desarrollo de la Ruta de Servicios para los innovadores sociales que desarrollan soluciones para superación de pobreza, con el ánimo de facilitar el camino hacia el fortalecimiento de su innovación.</w:t>
      </w:r>
    </w:p>
    <w:p w:rsidR="00FC7F0E" w:rsidRPr="00021B2F" w:rsidRDefault="00FC7F0E" w:rsidP="00FC7F0E">
      <w:pPr>
        <w:spacing w:after="0" w:line="240" w:lineRule="auto"/>
        <w:jc w:val="both"/>
        <w:rPr>
          <w:rFonts w:ascii="Verdana" w:hAnsi="Verdana"/>
          <w:sz w:val="24"/>
          <w:szCs w:val="24"/>
        </w:rPr>
      </w:pPr>
      <w:r w:rsidRPr="00021B2F">
        <w:rPr>
          <w:rFonts w:ascii="Verdana" w:hAnsi="Verdana"/>
          <w:sz w:val="24"/>
          <w:szCs w:val="24"/>
        </w:rPr>
        <w:t xml:space="preserve">3. Se construyó un modelo para medir el potencial de desarrollo de la innovación social en un territorio. Esta herramienta nos ayudará a seleccionar los departamentos a mapear en las siguientes fases de Hilando de una manera más rigurosa, facilitando así la toma de decisiones. Este modelo de diagnóstico de innovación social, fue aplicado en 8 departamentos: Córdoba, Cauca, Santander, Tolima, Cesar, Norte de Santander, Sucre y Quindío. </w:t>
      </w:r>
    </w:p>
    <w:p w:rsidR="00FC7F0E" w:rsidRPr="00021B2F" w:rsidRDefault="00FC7F0E" w:rsidP="00FC7F0E">
      <w:pPr>
        <w:spacing w:after="0" w:line="240" w:lineRule="auto"/>
        <w:jc w:val="both"/>
        <w:rPr>
          <w:rFonts w:ascii="Verdana" w:hAnsi="Verdana"/>
          <w:sz w:val="24"/>
          <w:szCs w:val="24"/>
        </w:rPr>
      </w:pPr>
      <w:r w:rsidRPr="00021B2F">
        <w:rPr>
          <w:rFonts w:ascii="Verdana" w:hAnsi="Verdana"/>
          <w:sz w:val="24"/>
          <w:szCs w:val="24"/>
        </w:rPr>
        <w:t>4. Se continuó con la estrategia de fortalecimiento de la comunidad on-line ya registrada en el portal web 2.0 www.hilando.gov.co.</w:t>
      </w:r>
    </w:p>
    <w:p w:rsidR="00FC7F0E" w:rsidRDefault="00FC7F0E" w:rsidP="00FC7F0E">
      <w:pPr>
        <w:spacing w:after="0" w:line="240" w:lineRule="auto"/>
        <w:jc w:val="both"/>
        <w:rPr>
          <w:rFonts w:ascii="Verdana" w:hAnsi="Verdana"/>
          <w:sz w:val="24"/>
          <w:szCs w:val="24"/>
        </w:rPr>
      </w:pPr>
    </w:p>
    <w:p w:rsidR="00C75A93" w:rsidRDefault="00C75A93" w:rsidP="00FC7F0E">
      <w:pPr>
        <w:spacing w:after="0" w:line="240" w:lineRule="auto"/>
        <w:jc w:val="both"/>
        <w:rPr>
          <w:rFonts w:ascii="Verdana" w:hAnsi="Verdana"/>
          <w:b/>
          <w:color w:val="548DD4" w:themeColor="text2" w:themeTint="99"/>
          <w:sz w:val="24"/>
          <w:szCs w:val="24"/>
        </w:rPr>
      </w:pPr>
    </w:p>
    <w:p w:rsidR="003F0CD2" w:rsidRDefault="006F3381" w:rsidP="00FC7F0E">
      <w:pPr>
        <w:spacing w:after="0" w:line="240" w:lineRule="auto"/>
        <w:jc w:val="both"/>
        <w:rPr>
          <w:rFonts w:ascii="Verdana" w:hAnsi="Verdana"/>
          <w:b/>
          <w:color w:val="548DD4" w:themeColor="text2" w:themeTint="99"/>
          <w:sz w:val="24"/>
          <w:szCs w:val="24"/>
        </w:rPr>
      </w:pPr>
      <w:r w:rsidRPr="006F3381">
        <w:rPr>
          <w:rFonts w:ascii="Verdana" w:hAnsi="Verdana"/>
          <w:b/>
          <w:color w:val="548DD4" w:themeColor="text2" w:themeTint="99"/>
          <w:sz w:val="24"/>
          <w:szCs w:val="24"/>
        </w:rPr>
        <w:t>Logros 2014</w:t>
      </w:r>
    </w:p>
    <w:p w:rsidR="006F3381" w:rsidRPr="006F3381" w:rsidRDefault="006F3381" w:rsidP="00FC7F0E">
      <w:pPr>
        <w:spacing w:after="0" w:line="240" w:lineRule="auto"/>
        <w:jc w:val="both"/>
        <w:rPr>
          <w:rFonts w:ascii="Verdana" w:hAnsi="Verdana"/>
          <w:b/>
          <w:color w:val="548DD4" w:themeColor="text2" w:themeTint="99"/>
          <w:sz w:val="24"/>
          <w:szCs w:val="24"/>
        </w:rPr>
      </w:pPr>
    </w:p>
    <w:p w:rsidR="00FC7F0E" w:rsidRPr="00C16A2F" w:rsidRDefault="00FC7F0E" w:rsidP="00FF784D">
      <w:pPr>
        <w:pStyle w:val="Prrafodelista"/>
        <w:numPr>
          <w:ilvl w:val="0"/>
          <w:numId w:val="48"/>
        </w:numPr>
        <w:spacing w:after="0" w:line="240" w:lineRule="auto"/>
        <w:jc w:val="both"/>
        <w:rPr>
          <w:rFonts w:ascii="Verdana" w:hAnsi="Verdana"/>
          <w:i/>
          <w:sz w:val="24"/>
          <w:szCs w:val="24"/>
        </w:rPr>
      </w:pPr>
      <w:r w:rsidRPr="00C16A2F">
        <w:rPr>
          <w:rFonts w:ascii="Verdana" w:hAnsi="Verdana"/>
          <w:i/>
          <w:sz w:val="24"/>
          <w:szCs w:val="24"/>
        </w:rPr>
        <w:lastRenderedPageBreak/>
        <w:t xml:space="preserve">La Dirección de Innovación Social desarrolló su propia caja de herramientas llamada Cazando Ideas, que contiene metodologías para realizar caracterizaciones comunitarias, identificación de desviantes positivos y aplicación de pensamiento de diseño para el desarrollo de proyectos. Este ejercicio se realizó en el marco del apoyo metodológico que la Dirección de Innovación Social prestó al grupo de Acompañamiento Comunitario de la ANSPE. </w:t>
      </w:r>
    </w:p>
    <w:p w:rsidR="00FC7F0E" w:rsidRPr="00C16A2F" w:rsidRDefault="00FC7F0E" w:rsidP="00FF784D">
      <w:pPr>
        <w:pStyle w:val="Prrafodelista"/>
        <w:numPr>
          <w:ilvl w:val="0"/>
          <w:numId w:val="48"/>
        </w:numPr>
        <w:spacing w:after="0" w:line="240" w:lineRule="auto"/>
        <w:jc w:val="both"/>
        <w:rPr>
          <w:rFonts w:ascii="Verdana" w:hAnsi="Verdana"/>
          <w:i/>
          <w:sz w:val="24"/>
          <w:szCs w:val="24"/>
        </w:rPr>
      </w:pPr>
      <w:r w:rsidRPr="00C16A2F">
        <w:rPr>
          <w:rFonts w:ascii="Verdana" w:hAnsi="Verdana"/>
          <w:i/>
          <w:sz w:val="24"/>
          <w:szCs w:val="24"/>
        </w:rPr>
        <w:t>Se realizaron 5 investigaciones sociales aplicando la caja de herramientas Cazando Ideas de la Dirección de Innovación Social. Para procesos internos de la ANSPE se apoyó al área de Enfoques Diferenciales en la construcción del Plan Comunitario Étnico con la comunidad Embera-Chamí del resguardo Karmata Rua (Jardín, Antioquia). Con aliados externos se realizaron 4 investigaciones.</w:t>
      </w:r>
    </w:p>
    <w:p w:rsidR="00FC7F0E" w:rsidRPr="00C16A2F" w:rsidRDefault="00FC7F0E" w:rsidP="00FF784D">
      <w:pPr>
        <w:pStyle w:val="Prrafodelista"/>
        <w:numPr>
          <w:ilvl w:val="0"/>
          <w:numId w:val="48"/>
        </w:numPr>
        <w:spacing w:after="0" w:line="240" w:lineRule="auto"/>
        <w:jc w:val="both"/>
        <w:rPr>
          <w:rFonts w:ascii="Verdana" w:hAnsi="Verdana"/>
          <w:i/>
          <w:sz w:val="24"/>
          <w:szCs w:val="24"/>
        </w:rPr>
      </w:pPr>
      <w:r w:rsidRPr="00C16A2F">
        <w:rPr>
          <w:rFonts w:ascii="Verdana" w:hAnsi="Verdana"/>
          <w:i/>
          <w:sz w:val="24"/>
          <w:szCs w:val="24"/>
        </w:rPr>
        <w:t>Se construyó un modelo de monitoreo, evaluación y seguimiento a proyectos de innovación social, en asocio con el DNP, la Alianza Pioneros, el FOMIN del BID y Compartamos con Colombia. Aplicando este modelo se realizaron 4 procesos de seguimiento a los indicadores cualitativos de los proyectos implementados en San José de Saco, Pueblo Viejo  y uno adicional en el municipio de Chía.</w:t>
      </w:r>
    </w:p>
    <w:p w:rsidR="00FC7F0E" w:rsidRPr="00C16A2F" w:rsidRDefault="00FC7F0E" w:rsidP="00FF784D">
      <w:pPr>
        <w:pStyle w:val="Prrafodelista"/>
        <w:numPr>
          <w:ilvl w:val="0"/>
          <w:numId w:val="48"/>
        </w:numPr>
        <w:spacing w:after="0" w:line="240" w:lineRule="auto"/>
        <w:jc w:val="both"/>
        <w:rPr>
          <w:rFonts w:ascii="Verdana" w:hAnsi="Verdana"/>
          <w:i/>
          <w:sz w:val="24"/>
          <w:szCs w:val="24"/>
        </w:rPr>
      </w:pPr>
      <w:r w:rsidRPr="00C16A2F">
        <w:rPr>
          <w:rFonts w:ascii="Verdana" w:hAnsi="Verdana"/>
          <w:i/>
          <w:sz w:val="24"/>
          <w:szCs w:val="24"/>
        </w:rPr>
        <w:t>Durante 2014, la Dirección de Innovación Social reportó 15 publicaciones: 11 propias y 4 realizadas por otras organizaciones. Las 11 publicaciones propias se pueden consultar y descargar en línea en la página http://issuu.com/ciscolombia puesto que sólo están en formato digital, las 4 publicaciones internacionales  están disponibles en formato físico y en formato digital.</w:t>
      </w:r>
    </w:p>
    <w:p w:rsidR="00FC7F0E" w:rsidRPr="00C16A2F" w:rsidRDefault="00FC7F0E" w:rsidP="00FF784D">
      <w:pPr>
        <w:pStyle w:val="Prrafodelista"/>
        <w:numPr>
          <w:ilvl w:val="0"/>
          <w:numId w:val="48"/>
        </w:numPr>
        <w:spacing w:after="0" w:line="240" w:lineRule="auto"/>
        <w:jc w:val="both"/>
        <w:rPr>
          <w:rFonts w:ascii="Verdana" w:hAnsi="Verdana"/>
          <w:i/>
          <w:sz w:val="24"/>
          <w:szCs w:val="24"/>
        </w:rPr>
      </w:pPr>
      <w:r w:rsidRPr="00C16A2F">
        <w:rPr>
          <w:rFonts w:ascii="Verdana" w:hAnsi="Verdana"/>
          <w:i/>
          <w:sz w:val="24"/>
          <w:szCs w:val="24"/>
        </w:rPr>
        <w:t xml:space="preserve">Se realizaron 14 eventos (bien como organizadores principales o aliados), 9 de carácter nacional y 5 de carácter internacional. Todos ellos asociados a movilización de temáticas relevantes para el desarrollo de la innovación social en Colombia. </w:t>
      </w:r>
    </w:p>
    <w:p w:rsidR="00FC7F0E" w:rsidRPr="00C16A2F" w:rsidRDefault="00FC7F0E" w:rsidP="00FF784D">
      <w:pPr>
        <w:pStyle w:val="Prrafodelista"/>
        <w:numPr>
          <w:ilvl w:val="0"/>
          <w:numId w:val="48"/>
        </w:numPr>
        <w:spacing w:after="0" w:line="240" w:lineRule="auto"/>
        <w:jc w:val="both"/>
        <w:rPr>
          <w:rFonts w:ascii="Verdana" w:hAnsi="Verdana"/>
          <w:i/>
          <w:sz w:val="24"/>
          <w:szCs w:val="24"/>
        </w:rPr>
      </w:pPr>
      <w:r w:rsidRPr="00C16A2F">
        <w:rPr>
          <w:rFonts w:ascii="Verdana" w:hAnsi="Verdana"/>
          <w:i/>
          <w:sz w:val="24"/>
          <w:szCs w:val="24"/>
        </w:rPr>
        <w:t>Se crearon 10 alianzas con universidades del país y un convenio con la Asociación Colombiana Red Académica de Diseño (RAD), con el fin de promover espacios de aprendizaje que sensibilicen a los futuros profesionales de diseño con las problemáticas sociales, y que permitan la co-creación de proyectos de innovación social que aporten a la solución de retos y necesidades de la población en situación de pobreza extrema en Colombia. Bajo estas alianzas 200 estudiantes de diseño participaron del proceso y alrededor de 30 ideas o proyectos han sido diseñados.</w:t>
      </w:r>
    </w:p>
    <w:p w:rsidR="00FC7F0E" w:rsidRPr="00C16A2F" w:rsidRDefault="00FC7F0E" w:rsidP="00FF784D">
      <w:pPr>
        <w:pStyle w:val="Prrafodelista"/>
        <w:numPr>
          <w:ilvl w:val="0"/>
          <w:numId w:val="48"/>
        </w:numPr>
        <w:spacing w:after="0" w:line="240" w:lineRule="auto"/>
        <w:jc w:val="both"/>
        <w:rPr>
          <w:rFonts w:ascii="Verdana" w:hAnsi="Verdana"/>
          <w:i/>
          <w:sz w:val="24"/>
          <w:szCs w:val="24"/>
        </w:rPr>
      </w:pPr>
      <w:r w:rsidRPr="00C16A2F">
        <w:rPr>
          <w:rFonts w:ascii="Verdana" w:hAnsi="Verdana"/>
          <w:i/>
          <w:sz w:val="24"/>
          <w:szCs w:val="24"/>
        </w:rPr>
        <w:t xml:space="preserve">En gestión de comunidades on-line se creó una estrategia basada en la publicación continua de contenidos de valor para la comunidad virtual </w:t>
      </w:r>
      <w:r w:rsidRPr="00C16A2F">
        <w:rPr>
          <w:rFonts w:ascii="Verdana" w:hAnsi="Verdana"/>
          <w:i/>
          <w:sz w:val="24"/>
          <w:szCs w:val="24"/>
        </w:rPr>
        <w:lastRenderedPageBreak/>
        <w:t xml:space="preserve">interesada en la innovación social, alcanzando un crecimiento del 40% de seguidores en Facebook y 50% en Twitter, con respecto a las cifras al iniciar el año 2014. </w:t>
      </w:r>
    </w:p>
    <w:p w:rsidR="00C16A2F" w:rsidRDefault="00C16A2F" w:rsidP="00FC7F0E">
      <w:pPr>
        <w:spacing w:after="0" w:line="240" w:lineRule="auto"/>
        <w:jc w:val="both"/>
        <w:rPr>
          <w:rFonts w:ascii="Verdana" w:hAnsi="Verdana"/>
          <w:b/>
          <w:color w:val="548DD4" w:themeColor="text2" w:themeTint="99"/>
          <w:sz w:val="24"/>
          <w:szCs w:val="24"/>
        </w:rPr>
      </w:pPr>
    </w:p>
    <w:p w:rsidR="00FC7F0E" w:rsidRPr="006F3381" w:rsidRDefault="00FC7F0E" w:rsidP="00FC7F0E">
      <w:pPr>
        <w:spacing w:after="0" w:line="240" w:lineRule="auto"/>
        <w:jc w:val="both"/>
        <w:rPr>
          <w:rFonts w:ascii="Verdana" w:hAnsi="Verdana"/>
          <w:b/>
          <w:color w:val="548DD4" w:themeColor="text2" w:themeTint="99"/>
          <w:sz w:val="24"/>
          <w:szCs w:val="24"/>
        </w:rPr>
      </w:pPr>
      <w:r w:rsidRPr="006F3381">
        <w:rPr>
          <w:rFonts w:ascii="Verdana" w:hAnsi="Verdana"/>
          <w:b/>
          <w:color w:val="548DD4" w:themeColor="text2" w:themeTint="99"/>
          <w:sz w:val="24"/>
          <w:szCs w:val="24"/>
        </w:rPr>
        <w:t>Grupo de Proyectos</w:t>
      </w:r>
    </w:p>
    <w:p w:rsidR="00A269C5" w:rsidRDefault="00A269C5" w:rsidP="00FC7F0E">
      <w:pPr>
        <w:spacing w:after="0" w:line="240" w:lineRule="auto"/>
        <w:jc w:val="both"/>
        <w:rPr>
          <w:rFonts w:ascii="Verdana" w:hAnsi="Verdana"/>
          <w:sz w:val="24"/>
          <w:szCs w:val="24"/>
        </w:rPr>
      </w:pPr>
    </w:p>
    <w:p w:rsidR="006F3381" w:rsidRDefault="006F3381" w:rsidP="006F3381">
      <w:pPr>
        <w:spacing w:after="0" w:line="240" w:lineRule="auto"/>
        <w:jc w:val="both"/>
        <w:rPr>
          <w:rFonts w:ascii="Verdana" w:hAnsi="Verdana"/>
          <w:b/>
          <w:color w:val="548DD4" w:themeColor="text2" w:themeTint="99"/>
          <w:sz w:val="24"/>
          <w:szCs w:val="24"/>
        </w:rPr>
      </w:pPr>
      <w:r w:rsidRPr="006F3381">
        <w:rPr>
          <w:rFonts w:ascii="Verdana" w:hAnsi="Verdana"/>
          <w:b/>
          <w:color w:val="548DD4" w:themeColor="text2" w:themeTint="99"/>
          <w:sz w:val="24"/>
          <w:szCs w:val="24"/>
        </w:rPr>
        <w:t>Logros 2014</w:t>
      </w:r>
    </w:p>
    <w:p w:rsidR="00A269C5" w:rsidRPr="00021B2F" w:rsidRDefault="00A269C5" w:rsidP="00FC7F0E">
      <w:pPr>
        <w:spacing w:after="0" w:line="240" w:lineRule="auto"/>
        <w:jc w:val="both"/>
        <w:rPr>
          <w:rFonts w:ascii="Verdana" w:hAnsi="Verdana"/>
          <w:sz w:val="24"/>
          <w:szCs w:val="24"/>
        </w:rPr>
      </w:pPr>
    </w:p>
    <w:p w:rsidR="00FC7F0E" w:rsidRPr="00C16A2F" w:rsidRDefault="00FC7F0E" w:rsidP="00FF784D">
      <w:pPr>
        <w:pStyle w:val="Prrafodelista"/>
        <w:numPr>
          <w:ilvl w:val="0"/>
          <w:numId w:val="49"/>
        </w:numPr>
        <w:spacing w:after="0" w:line="240" w:lineRule="auto"/>
        <w:jc w:val="both"/>
        <w:rPr>
          <w:rFonts w:ascii="Verdana" w:hAnsi="Verdana"/>
          <w:i/>
          <w:sz w:val="24"/>
          <w:szCs w:val="24"/>
        </w:rPr>
      </w:pPr>
      <w:r w:rsidRPr="00C16A2F">
        <w:rPr>
          <w:rFonts w:ascii="Verdana" w:hAnsi="Verdana"/>
          <w:i/>
          <w:sz w:val="24"/>
          <w:szCs w:val="24"/>
        </w:rPr>
        <w:t>Se avanzó en la formulación del documento CONPES de Innovación Social, el cual se encuentra en su última etapa para aprobación en el Departamento Nacional de Planeación. Un vez aprobado este documento, alrededor de 15 entidades del gobierno nacional se sumarán a implementar innovaciones sociales para la búsqueda de nuevas soluciones para la población.</w:t>
      </w:r>
    </w:p>
    <w:p w:rsidR="00FC7F0E" w:rsidRPr="00C16A2F" w:rsidRDefault="00FC7F0E" w:rsidP="00FC7F0E">
      <w:pPr>
        <w:spacing w:after="0" w:line="240" w:lineRule="auto"/>
        <w:jc w:val="both"/>
        <w:rPr>
          <w:rFonts w:ascii="Verdana" w:hAnsi="Verdana"/>
          <w:i/>
          <w:sz w:val="24"/>
          <w:szCs w:val="24"/>
        </w:rPr>
      </w:pPr>
    </w:p>
    <w:p w:rsidR="00FC7F0E" w:rsidRPr="00C16A2F" w:rsidRDefault="00FC7F0E" w:rsidP="00FF784D">
      <w:pPr>
        <w:pStyle w:val="Prrafodelista"/>
        <w:numPr>
          <w:ilvl w:val="0"/>
          <w:numId w:val="49"/>
        </w:numPr>
        <w:spacing w:after="0" w:line="240" w:lineRule="auto"/>
        <w:jc w:val="both"/>
        <w:rPr>
          <w:rFonts w:ascii="Verdana" w:hAnsi="Verdana"/>
          <w:i/>
          <w:sz w:val="24"/>
          <w:szCs w:val="24"/>
        </w:rPr>
      </w:pPr>
      <w:r w:rsidRPr="00C16A2F">
        <w:rPr>
          <w:rFonts w:ascii="Verdana" w:hAnsi="Verdana"/>
          <w:i/>
          <w:sz w:val="24"/>
          <w:szCs w:val="24"/>
        </w:rPr>
        <w:t>Alianza con la Fundación EPM para el financiamiento conjunto del proyecto “Agua para la Educación, Educación para el Agua” en los municipios de Buriticá, Cañasgordas, Dabeiba, Sonsón y Urrao en Antioquia; la intervención incluyó la instalación de sistemas de potabilización de agua en siete escuelas rurales y talleres de hábitos saludables en la preparación y manipulación de alimentos dirigidos a estudiantes, docentes y familias UNIDOS de las veredas.</w:t>
      </w:r>
    </w:p>
    <w:p w:rsidR="00FC7F0E" w:rsidRPr="00C16A2F" w:rsidRDefault="00FC7F0E" w:rsidP="00FC7F0E">
      <w:pPr>
        <w:spacing w:after="0" w:line="240" w:lineRule="auto"/>
        <w:jc w:val="both"/>
        <w:rPr>
          <w:rFonts w:ascii="Verdana" w:hAnsi="Verdana"/>
          <w:i/>
          <w:sz w:val="24"/>
          <w:szCs w:val="24"/>
        </w:rPr>
      </w:pPr>
    </w:p>
    <w:p w:rsidR="00FC7F0E" w:rsidRPr="00C16A2F" w:rsidRDefault="00FC7F0E" w:rsidP="00FF784D">
      <w:pPr>
        <w:pStyle w:val="Prrafodelista"/>
        <w:numPr>
          <w:ilvl w:val="0"/>
          <w:numId w:val="49"/>
        </w:numPr>
        <w:spacing w:after="0" w:line="240" w:lineRule="auto"/>
        <w:jc w:val="both"/>
        <w:rPr>
          <w:rFonts w:ascii="Verdana" w:hAnsi="Verdana"/>
          <w:i/>
          <w:sz w:val="24"/>
          <w:szCs w:val="24"/>
        </w:rPr>
      </w:pPr>
      <w:r w:rsidRPr="00C16A2F">
        <w:rPr>
          <w:rFonts w:ascii="Verdana" w:hAnsi="Verdana"/>
          <w:i/>
          <w:sz w:val="24"/>
          <w:szCs w:val="24"/>
        </w:rPr>
        <w:t>Alianza con el SENA y FONADE para el desarrollo de una convocatoria de Innovación Social en la plataforma del Fondo Emprender, con el fin de promover emprendimientos y planes de negocio de impacto social a través de productos, modelos o servicios relacionados con las dimensiones de la Red UNIDOS.</w:t>
      </w:r>
    </w:p>
    <w:p w:rsidR="00FC7F0E" w:rsidRPr="00C16A2F" w:rsidRDefault="00FC7F0E" w:rsidP="00FC7F0E">
      <w:pPr>
        <w:spacing w:after="0" w:line="240" w:lineRule="auto"/>
        <w:jc w:val="both"/>
        <w:rPr>
          <w:rFonts w:ascii="Verdana" w:hAnsi="Verdana"/>
          <w:i/>
          <w:sz w:val="24"/>
          <w:szCs w:val="24"/>
        </w:rPr>
      </w:pPr>
    </w:p>
    <w:p w:rsidR="00FC7F0E" w:rsidRPr="00C16A2F" w:rsidRDefault="00FC7F0E" w:rsidP="00FF784D">
      <w:pPr>
        <w:pStyle w:val="Prrafodelista"/>
        <w:numPr>
          <w:ilvl w:val="0"/>
          <w:numId w:val="49"/>
        </w:numPr>
        <w:spacing w:after="0" w:line="240" w:lineRule="auto"/>
        <w:jc w:val="both"/>
        <w:rPr>
          <w:rFonts w:ascii="Verdana" w:hAnsi="Verdana"/>
          <w:i/>
          <w:sz w:val="24"/>
          <w:szCs w:val="24"/>
        </w:rPr>
      </w:pPr>
      <w:r w:rsidRPr="00C16A2F">
        <w:rPr>
          <w:rFonts w:ascii="Verdana" w:hAnsi="Verdana"/>
          <w:i/>
          <w:sz w:val="24"/>
          <w:szCs w:val="24"/>
        </w:rPr>
        <w:t>Implementación de tres proyectos de la Convocatoria “Ideas para el Cambio” en alianza con COLCIENCIAS en los municipios de Maicao, Riohacha y Uribia en el departamento de La Guajira. Los tres proyectos implementados permiten el acceso a agua segura a 132 familias, en su mayoría indígenas de la etnia Wayúu.</w:t>
      </w:r>
    </w:p>
    <w:p w:rsidR="00FC7F0E" w:rsidRPr="00C16A2F" w:rsidRDefault="00FC7F0E" w:rsidP="00FC7F0E">
      <w:pPr>
        <w:spacing w:after="0" w:line="240" w:lineRule="auto"/>
        <w:jc w:val="both"/>
        <w:rPr>
          <w:rFonts w:ascii="Verdana" w:hAnsi="Verdana"/>
          <w:i/>
          <w:sz w:val="24"/>
          <w:szCs w:val="24"/>
        </w:rPr>
      </w:pPr>
    </w:p>
    <w:p w:rsidR="00FC7F0E" w:rsidRPr="00C16A2F" w:rsidRDefault="00FC7F0E" w:rsidP="00FF784D">
      <w:pPr>
        <w:pStyle w:val="Prrafodelista"/>
        <w:numPr>
          <w:ilvl w:val="0"/>
          <w:numId w:val="49"/>
        </w:numPr>
        <w:spacing w:after="0" w:line="240" w:lineRule="auto"/>
        <w:jc w:val="both"/>
        <w:rPr>
          <w:rFonts w:ascii="Verdana" w:hAnsi="Verdana"/>
          <w:i/>
          <w:sz w:val="24"/>
          <w:szCs w:val="24"/>
        </w:rPr>
      </w:pPr>
      <w:r w:rsidRPr="00C16A2F">
        <w:rPr>
          <w:rFonts w:ascii="Verdana" w:hAnsi="Verdana"/>
          <w:i/>
          <w:sz w:val="24"/>
          <w:szCs w:val="24"/>
        </w:rPr>
        <w:t xml:space="preserve">Implementación de cuatro proyectos de la Convocatoria “Ideas para el Cambio” en alianza con COLCIENCIAS en los municipios de Balboa, Santa Rosa de Cabal y Mistrató (incluyendo Comunidad Embera Chamí) en el </w:t>
      </w:r>
      <w:r w:rsidRPr="00C16A2F">
        <w:rPr>
          <w:rFonts w:ascii="Verdana" w:hAnsi="Verdana"/>
          <w:i/>
          <w:sz w:val="24"/>
          <w:szCs w:val="24"/>
        </w:rPr>
        <w:lastRenderedPageBreak/>
        <w:t>departamento de Risaralda. Los cuatro proyectos implementados permiten el acceso a agua segura a 258 familias del departamento.</w:t>
      </w:r>
    </w:p>
    <w:p w:rsidR="00FC7F0E" w:rsidRPr="00C16A2F" w:rsidRDefault="00FC7F0E" w:rsidP="00FC7F0E">
      <w:pPr>
        <w:spacing w:after="0" w:line="240" w:lineRule="auto"/>
        <w:jc w:val="both"/>
        <w:rPr>
          <w:rFonts w:ascii="Verdana" w:hAnsi="Verdana"/>
          <w:i/>
          <w:sz w:val="24"/>
          <w:szCs w:val="24"/>
        </w:rPr>
      </w:pPr>
    </w:p>
    <w:p w:rsidR="00FC7F0E" w:rsidRPr="00C16A2F" w:rsidRDefault="00FC7F0E" w:rsidP="00FF784D">
      <w:pPr>
        <w:pStyle w:val="Prrafodelista"/>
        <w:numPr>
          <w:ilvl w:val="0"/>
          <w:numId w:val="49"/>
        </w:numPr>
        <w:spacing w:after="0" w:line="240" w:lineRule="auto"/>
        <w:jc w:val="both"/>
        <w:rPr>
          <w:rFonts w:ascii="Verdana" w:hAnsi="Verdana"/>
          <w:i/>
          <w:sz w:val="24"/>
          <w:szCs w:val="24"/>
        </w:rPr>
      </w:pPr>
      <w:r w:rsidRPr="00C16A2F">
        <w:rPr>
          <w:rFonts w:ascii="Verdana" w:hAnsi="Verdana"/>
          <w:i/>
          <w:sz w:val="24"/>
          <w:szCs w:val="24"/>
        </w:rPr>
        <w:t>Finalización del proyecto con la Corporación PBA, a través del cual se beneficiaron 26 familias Unidos en Sabanalarga, Atlántico y 20 en Paipa, Boyacá. A partir de la implementación, las familias no solo desarrollaron proyectos productivos usando biotecnología sino que también aprendieron sobre la asociatividad y sus ventajas a la hora de comercializar sus productos.</w:t>
      </w:r>
    </w:p>
    <w:p w:rsidR="00FC7F0E" w:rsidRPr="00C16A2F" w:rsidRDefault="00FC7F0E" w:rsidP="00FC7F0E">
      <w:pPr>
        <w:spacing w:after="0" w:line="240" w:lineRule="auto"/>
        <w:jc w:val="both"/>
        <w:rPr>
          <w:rFonts w:ascii="Verdana" w:hAnsi="Verdana"/>
          <w:i/>
          <w:sz w:val="24"/>
          <w:szCs w:val="24"/>
        </w:rPr>
      </w:pPr>
    </w:p>
    <w:p w:rsidR="00FC7F0E" w:rsidRPr="00C16A2F" w:rsidRDefault="00FC7F0E" w:rsidP="00FF784D">
      <w:pPr>
        <w:pStyle w:val="Prrafodelista"/>
        <w:numPr>
          <w:ilvl w:val="0"/>
          <w:numId w:val="49"/>
        </w:numPr>
        <w:spacing w:after="0" w:line="240" w:lineRule="auto"/>
        <w:jc w:val="both"/>
        <w:rPr>
          <w:rFonts w:ascii="Verdana" w:hAnsi="Verdana"/>
          <w:i/>
          <w:sz w:val="24"/>
          <w:szCs w:val="24"/>
        </w:rPr>
      </w:pPr>
      <w:r w:rsidRPr="00C16A2F">
        <w:rPr>
          <w:rFonts w:ascii="Verdana" w:hAnsi="Verdana"/>
          <w:i/>
          <w:sz w:val="24"/>
          <w:szCs w:val="24"/>
        </w:rPr>
        <w:t xml:space="preserve">Finalización del proyecto Transformando, que benefició a 225 niños y niñas de 7 a 13 años, pertenecientes a 158 familias Unidos del municipio de Chía. Se destaca el protagonismo de los niños usando la tecnología como parte de una estrategia integral para apoyar a sus familias en el aprendizaje de hábitos adecuados de manipulación y consumo de alimentos y en el aprendizaje de estrategias de prevención de la violencia intrafamiliar y del abuso sexual infantil. </w:t>
      </w:r>
    </w:p>
    <w:p w:rsidR="00FC7F0E" w:rsidRPr="00C16A2F" w:rsidRDefault="00FC7F0E" w:rsidP="00FC7F0E">
      <w:pPr>
        <w:spacing w:after="0" w:line="240" w:lineRule="auto"/>
        <w:jc w:val="both"/>
        <w:rPr>
          <w:rFonts w:ascii="Verdana" w:hAnsi="Verdana"/>
          <w:i/>
          <w:sz w:val="24"/>
          <w:szCs w:val="24"/>
        </w:rPr>
      </w:pPr>
    </w:p>
    <w:p w:rsidR="00FC7F0E" w:rsidRPr="00C16A2F" w:rsidRDefault="00FC7F0E" w:rsidP="00FF784D">
      <w:pPr>
        <w:pStyle w:val="Prrafodelista"/>
        <w:numPr>
          <w:ilvl w:val="0"/>
          <w:numId w:val="49"/>
        </w:numPr>
        <w:spacing w:after="0" w:line="240" w:lineRule="auto"/>
        <w:jc w:val="both"/>
        <w:rPr>
          <w:rFonts w:ascii="Verdana" w:hAnsi="Verdana"/>
          <w:i/>
          <w:sz w:val="24"/>
          <w:szCs w:val="24"/>
        </w:rPr>
      </w:pPr>
      <w:r w:rsidRPr="00C16A2F">
        <w:rPr>
          <w:rFonts w:ascii="Verdana" w:hAnsi="Verdana"/>
          <w:i/>
          <w:sz w:val="24"/>
          <w:szCs w:val="24"/>
        </w:rPr>
        <w:t>A través de la plataforma Little Big Money se llevó a cabo el proyecto Buenos Vecinos, logrando financiar 8 iniciativas comunitarias de los beneficiarios del programa 100 mil viviendas gratis en los departamentos de Valle del Cauca, Norte de Santander, Cesar y Cauca.</w:t>
      </w:r>
    </w:p>
    <w:p w:rsidR="00FC7F0E" w:rsidRPr="00C16A2F" w:rsidRDefault="00FC7F0E" w:rsidP="006F3381">
      <w:pPr>
        <w:spacing w:after="0" w:line="240" w:lineRule="auto"/>
        <w:ind w:firstLine="90"/>
        <w:jc w:val="both"/>
        <w:rPr>
          <w:rFonts w:ascii="Verdana" w:hAnsi="Verdana"/>
          <w:i/>
          <w:sz w:val="24"/>
          <w:szCs w:val="24"/>
        </w:rPr>
      </w:pPr>
    </w:p>
    <w:p w:rsidR="00FC7F0E" w:rsidRPr="00C16A2F" w:rsidRDefault="00FC7F0E" w:rsidP="00FF784D">
      <w:pPr>
        <w:pStyle w:val="Prrafodelista"/>
        <w:numPr>
          <w:ilvl w:val="0"/>
          <w:numId w:val="49"/>
        </w:numPr>
        <w:spacing w:after="0" w:line="240" w:lineRule="auto"/>
        <w:jc w:val="both"/>
        <w:rPr>
          <w:rFonts w:ascii="Verdana" w:hAnsi="Verdana"/>
          <w:i/>
          <w:sz w:val="24"/>
          <w:szCs w:val="24"/>
        </w:rPr>
      </w:pPr>
      <w:r w:rsidRPr="00C16A2F">
        <w:rPr>
          <w:rFonts w:ascii="Verdana" w:hAnsi="Verdana"/>
          <w:i/>
          <w:sz w:val="24"/>
          <w:szCs w:val="24"/>
        </w:rPr>
        <w:t xml:space="preserve">El proyecto Buen Provecho desarrollado por el Banco de Alimentos de Medellín y por la empresa Alsec S.A. que busca aprovechar frutas y verduras en alto estado de madurez, para crear complementos nutricionales para población vulnerable, ha beneficiado a 745 mujeres en el departamento de Antioquia mejorando su nutrición y su seguridad alimentaria. </w:t>
      </w:r>
    </w:p>
    <w:p w:rsidR="00FC7F0E" w:rsidRPr="00C16A2F" w:rsidRDefault="00FC7F0E" w:rsidP="006F3381">
      <w:pPr>
        <w:spacing w:after="0" w:line="240" w:lineRule="auto"/>
        <w:ind w:firstLine="90"/>
        <w:jc w:val="both"/>
        <w:rPr>
          <w:rFonts w:ascii="Verdana" w:hAnsi="Verdana"/>
          <w:i/>
          <w:sz w:val="24"/>
          <w:szCs w:val="24"/>
        </w:rPr>
      </w:pPr>
    </w:p>
    <w:p w:rsidR="00FC7F0E" w:rsidRPr="00C16A2F" w:rsidRDefault="00FC7F0E" w:rsidP="00FF784D">
      <w:pPr>
        <w:pStyle w:val="Prrafodelista"/>
        <w:numPr>
          <w:ilvl w:val="0"/>
          <w:numId w:val="49"/>
        </w:numPr>
        <w:spacing w:after="0" w:line="240" w:lineRule="auto"/>
        <w:jc w:val="both"/>
        <w:rPr>
          <w:rFonts w:ascii="Verdana" w:hAnsi="Verdana"/>
          <w:i/>
          <w:sz w:val="24"/>
          <w:szCs w:val="24"/>
        </w:rPr>
      </w:pPr>
      <w:r w:rsidRPr="00C16A2F">
        <w:rPr>
          <w:rFonts w:ascii="Verdana" w:hAnsi="Verdana"/>
          <w:i/>
          <w:sz w:val="24"/>
          <w:szCs w:val="24"/>
        </w:rPr>
        <w:t>Definición del proyecto a desarrollar en la Zolip de El Morro, Casanare bajo una metodología innovadora de generación de liderazgo, ajustándose a la estrategia de acompañamiento comunitario de la agencia.</w:t>
      </w:r>
    </w:p>
    <w:p w:rsidR="00FC7F0E" w:rsidRPr="00C16A2F" w:rsidRDefault="00FC7F0E" w:rsidP="00FC7F0E">
      <w:pPr>
        <w:spacing w:after="0" w:line="240" w:lineRule="auto"/>
        <w:jc w:val="both"/>
        <w:rPr>
          <w:rFonts w:ascii="Verdana" w:hAnsi="Verdana"/>
          <w:i/>
          <w:sz w:val="24"/>
          <w:szCs w:val="24"/>
        </w:rPr>
      </w:pPr>
    </w:p>
    <w:p w:rsidR="00FC7F0E" w:rsidRPr="00C16A2F" w:rsidRDefault="00FC7F0E" w:rsidP="00FF784D">
      <w:pPr>
        <w:pStyle w:val="Prrafodelista"/>
        <w:numPr>
          <w:ilvl w:val="0"/>
          <w:numId w:val="49"/>
        </w:numPr>
        <w:spacing w:after="0" w:line="240" w:lineRule="auto"/>
        <w:jc w:val="both"/>
        <w:rPr>
          <w:rFonts w:ascii="Verdana" w:hAnsi="Verdana"/>
          <w:i/>
          <w:sz w:val="24"/>
          <w:szCs w:val="24"/>
        </w:rPr>
      </w:pPr>
      <w:r w:rsidRPr="00C16A2F">
        <w:rPr>
          <w:rFonts w:ascii="Verdana" w:hAnsi="Verdana"/>
          <w:i/>
          <w:sz w:val="24"/>
          <w:szCs w:val="24"/>
        </w:rPr>
        <w:t xml:space="preserve">Finalización de la segunda etapa de intervención en el Municipio de Puebloviejo – Magdalena, a través de la cual se ha impulsado el desarrollo de dos negocios sociales: Delimar, dedicado a la producción de butifarra a base de pescado y SocialTex, enfocado en el diseño y confección de </w:t>
      </w:r>
      <w:r w:rsidRPr="00C16A2F">
        <w:rPr>
          <w:rFonts w:ascii="Verdana" w:hAnsi="Verdana"/>
          <w:i/>
          <w:sz w:val="24"/>
          <w:szCs w:val="24"/>
        </w:rPr>
        <w:lastRenderedPageBreak/>
        <w:t>uniformes. El proyecto beneficia a un total de 31 familias, quienes cuentan hoy con oportunidades para generar ingresos.</w:t>
      </w:r>
    </w:p>
    <w:p w:rsidR="00FC7F0E" w:rsidRPr="00C16A2F" w:rsidRDefault="00FC7F0E" w:rsidP="006F3381">
      <w:pPr>
        <w:spacing w:after="0" w:line="240" w:lineRule="auto"/>
        <w:ind w:firstLine="90"/>
        <w:jc w:val="both"/>
        <w:rPr>
          <w:rFonts w:ascii="Verdana" w:hAnsi="Verdana"/>
          <w:i/>
          <w:sz w:val="24"/>
          <w:szCs w:val="24"/>
        </w:rPr>
      </w:pPr>
    </w:p>
    <w:p w:rsidR="00FC7F0E" w:rsidRPr="00C16A2F" w:rsidRDefault="00FC7F0E" w:rsidP="00FF784D">
      <w:pPr>
        <w:pStyle w:val="Prrafodelista"/>
        <w:numPr>
          <w:ilvl w:val="0"/>
          <w:numId w:val="49"/>
        </w:numPr>
        <w:spacing w:after="0" w:line="240" w:lineRule="auto"/>
        <w:jc w:val="both"/>
        <w:rPr>
          <w:rFonts w:ascii="Verdana" w:hAnsi="Verdana"/>
          <w:i/>
          <w:sz w:val="24"/>
          <w:szCs w:val="24"/>
        </w:rPr>
      </w:pPr>
      <w:r w:rsidRPr="00C16A2F">
        <w:rPr>
          <w:rFonts w:ascii="Verdana" w:hAnsi="Verdana"/>
          <w:i/>
          <w:sz w:val="24"/>
          <w:szCs w:val="24"/>
        </w:rPr>
        <w:t>En alianza con el Ministerio de Tecnologías de la Información y las Comunicaciones – MinTIC, se llevó a cabo APPuesta Social, una maratón de desarrollo de aplicaciones que convocó a 146 desarrolladores con el objetivo de crear 7 aplicaciones móviles, web o de SMS enfocadas los temas clave del acompañamiento que realiza la ANSPE a las familias colombianas relacionado con salud, generación de ingresos y trabajo, nutrición, dinámica familiar, acceso a la información y demanda de empleo para población en situación de pobreza. Las aplicaciones fueron a entregadas a las entidades responsables de su utilización a partir del segundo semestre de 2015.</w:t>
      </w:r>
    </w:p>
    <w:p w:rsidR="00FC7F0E" w:rsidRPr="00021B2F" w:rsidRDefault="00FC7F0E" w:rsidP="00FC7F0E">
      <w:pPr>
        <w:spacing w:after="0" w:line="240" w:lineRule="auto"/>
        <w:jc w:val="both"/>
        <w:rPr>
          <w:rFonts w:ascii="Verdana" w:hAnsi="Verdana"/>
          <w:sz w:val="24"/>
          <w:szCs w:val="24"/>
        </w:rPr>
      </w:pPr>
    </w:p>
    <w:p w:rsidR="00FC7F0E" w:rsidRPr="006F3381" w:rsidRDefault="00FC7F0E" w:rsidP="00FC7F0E">
      <w:pPr>
        <w:spacing w:after="0" w:line="240" w:lineRule="auto"/>
        <w:jc w:val="both"/>
        <w:rPr>
          <w:rFonts w:ascii="Verdana" w:hAnsi="Verdana"/>
          <w:b/>
          <w:color w:val="548DD4" w:themeColor="text2" w:themeTint="99"/>
          <w:sz w:val="24"/>
          <w:szCs w:val="24"/>
        </w:rPr>
      </w:pPr>
      <w:r w:rsidRPr="006F3381">
        <w:rPr>
          <w:rFonts w:ascii="Verdana" w:hAnsi="Verdana"/>
          <w:b/>
          <w:color w:val="548DD4" w:themeColor="text2" w:themeTint="99"/>
          <w:sz w:val="24"/>
          <w:szCs w:val="24"/>
        </w:rPr>
        <w:t>Retos 2015</w:t>
      </w:r>
    </w:p>
    <w:p w:rsidR="00FC7F0E" w:rsidRPr="00021B2F" w:rsidRDefault="00FC7F0E" w:rsidP="00FC7F0E">
      <w:pPr>
        <w:spacing w:after="0" w:line="240" w:lineRule="auto"/>
        <w:jc w:val="both"/>
        <w:rPr>
          <w:rFonts w:ascii="Verdana" w:hAnsi="Verdana"/>
          <w:sz w:val="24"/>
          <w:szCs w:val="24"/>
        </w:rPr>
      </w:pPr>
    </w:p>
    <w:p w:rsidR="00FC7F0E" w:rsidRPr="006F3381" w:rsidRDefault="00FC7F0E" w:rsidP="00FC7F0E">
      <w:pPr>
        <w:spacing w:after="0" w:line="240" w:lineRule="auto"/>
        <w:jc w:val="both"/>
        <w:rPr>
          <w:rFonts w:ascii="Verdana" w:hAnsi="Verdana"/>
          <w:color w:val="548DD4" w:themeColor="text2" w:themeTint="99"/>
          <w:sz w:val="24"/>
          <w:szCs w:val="24"/>
        </w:rPr>
      </w:pPr>
      <w:r w:rsidRPr="006F3381">
        <w:rPr>
          <w:rFonts w:ascii="Verdana" w:hAnsi="Verdana"/>
          <w:color w:val="548DD4" w:themeColor="text2" w:themeTint="99"/>
          <w:sz w:val="24"/>
          <w:szCs w:val="24"/>
        </w:rPr>
        <w:t>Grupo Promoción de la Innovación Social y Gestión del Conocimiento</w:t>
      </w:r>
    </w:p>
    <w:p w:rsidR="00FC7F0E" w:rsidRPr="00021B2F" w:rsidRDefault="00FC7F0E" w:rsidP="00FC7F0E">
      <w:pPr>
        <w:spacing w:after="0" w:line="240" w:lineRule="auto"/>
        <w:jc w:val="both"/>
        <w:rPr>
          <w:rFonts w:ascii="Verdana" w:hAnsi="Verdana"/>
          <w:sz w:val="24"/>
          <w:szCs w:val="24"/>
        </w:rPr>
      </w:pPr>
    </w:p>
    <w:p w:rsidR="00FC7F0E" w:rsidRPr="00C16A2F" w:rsidRDefault="00FC7F0E" w:rsidP="00FF784D">
      <w:pPr>
        <w:pStyle w:val="Prrafodelista"/>
        <w:numPr>
          <w:ilvl w:val="0"/>
          <w:numId w:val="50"/>
        </w:numPr>
        <w:spacing w:after="0" w:line="240" w:lineRule="auto"/>
        <w:ind w:left="851" w:hanging="425"/>
        <w:jc w:val="both"/>
        <w:rPr>
          <w:rFonts w:ascii="Verdana" w:hAnsi="Verdana"/>
          <w:i/>
          <w:sz w:val="24"/>
          <w:szCs w:val="24"/>
        </w:rPr>
      </w:pPr>
      <w:r w:rsidRPr="00C16A2F">
        <w:rPr>
          <w:rFonts w:ascii="Verdana" w:hAnsi="Verdana"/>
          <w:i/>
          <w:sz w:val="24"/>
          <w:szCs w:val="24"/>
        </w:rPr>
        <w:t>Desarrollar actividades para la ampliación, profundización y diversificación del ejercicio de mapeo: Hilando 2015</w:t>
      </w:r>
    </w:p>
    <w:p w:rsidR="00FC7F0E" w:rsidRPr="00C16A2F" w:rsidRDefault="00FC7F0E" w:rsidP="00FF784D">
      <w:pPr>
        <w:pStyle w:val="Prrafodelista"/>
        <w:numPr>
          <w:ilvl w:val="0"/>
          <w:numId w:val="50"/>
        </w:numPr>
        <w:spacing w:after="0" w:line="240" w:lineRule="auto"/>
        <w:ind w:left="851" w:hanging="425"/>
        <w:jc w:val="both"/>
        <w:rPr>
          <w:rFonts w:ascii="Verdana" w:hAnsi="Verdana"/>
          <w:i/>
          <w:sz w:val="24"/>
          <w:szCs w:val="24"/>
        </w:rPr>
      </w:pPr>
      <w:r w:rsidRPr="00C16A2F">
        <w:rPr>
          <w:rFonts w:ascii="Verdana" w:hAnsi="Verdana"/>
          <w:i/>
          <w:sz w:val="24"/>
          <w:szCs w:val="24"/>
        </w:rPr>
        <w:t>Realizar eventos, charlas, y/o conversatorios que aporten a la gestión del conocimiento en innovación social y pobreza extrema en los que la Dirección de Innovación Social sea organizador, aliado, ponente y/o participante.</w:t>
      </w:r>
    </w:p>
    <w:p w:rsidR="00FC7F0E" w:rsidRPr="00C16A2F" w:rsidRDefault="00FC7F0E" w:rsidP="00FF784D">
      <w:pPr>
        <w:pStyle w:val="Prrafodelista"/>
        <w:numPr>
          <w:ilvl w:val="0"/>
          <w:numId w:val="50"/>
        </w:numPr>
        <w:spacing w:after="0" w:line="240" w:lineRule="auto"/>
        <w:ind w:left="851" w:hanging="425"/>
        <w:jc w:val="both"/>
        <w:rPr>
          <w:rFonts w:ascii="Verdana" w:hAnsi="Verdana"/>
          <w:i/>
          <w:sz w:val="24"/>
          <w:szCs w:val="24"/>
        </w:rPr>
      </w:pPr>
      <w:r w:rsidRPr="00C16A2F">
        <w:rPr>
          <w:rFonts w:ascii="Verdana" w:hAnsi="Verdana"/>
          <w:i/>
          <w:sz w:val="24"/>
          <w:szCs w:val="24"/>
        </w:rPr>
        <w:t>Desarrollar investigaciones sociales y realizar transferencias metodológicas para la promoción de la innovación social para la superación de pobreza extrema.</w:t>
      </w:r>
    </w:p>
    <w:p w:rsidR="00FC7F0E" w:rsidRPr="00C16A2F" w:rsidRDefault="00FC7F0E" w:rsidP="00FF784D">
      <w:pPr>
        <w:pStyle w:val="Prrafodelista"/>
        <w:numPr>
          <w:ilvl w:val="0"/>
          <w:numId w:val="50"/>
        </w:numPr>
        <w:spacing w:after="0" w:line="240" w:lineRule="auto"/>
        <w:ind w:left="851" w:hanging="425"/>
        <w:jc w:val="both"/>
        <w:rPr>
          <w:rFonts w:ascii="Verdana" w:hAnsi="Verdana"/>
          <w:i/>
          <w:sz w:val="24"/>
          <w:szCs w:val="24"/>
        </w:rPr>
      </w:pPr>
      <w:r w:rsidRPr="00C16A2F">
        <w:rPr>
          <w:rFonts w:ascii="Verdana" w:hAnsi="Verdana"/>
          <w:i/>
          <w:sz w:val="24"/>
          <w:szCs w:val="24"/>
        </w:rPr>
        <w:t>Promover la innovación social desde la academia a nivel nacional.</w:t>
      </w:r>
    </w:p>
    <w:p w:rsidR="00FC7F0E" w:rsidRPr="00C16A2F" w:rsidRDefault="00FC7F0E" w:rsidP="00FF784D">
      <w:pPr>
        <w:pStyle w:val="Prrafodelista"/>
        <w:numPr>
          <w:ilvl w:val="0"/>
          <w:numId w:val="50"/>
        </w:numPr>
        <w:spacing w:after="0" w:line="240" w:lineRule="auto"/>
        <w:ind w:left="851" w:hanging="425"/>
        <w:jc w:val="both"/>
        <w:rPr>
          <w:rFonts w:ascii="Verdana" w:hAnsi="Verdana"/>
          <w:i/>
          <w:sz w:val="24"/>
          <w:szCs w:val="24"/>
        </w:rPr>
      </w:pPr>
      <w:r w:rsidRPr="00C16A2F">
        <w:rPr>
          <w:rFonts w:ascii="Verdana" w:hAnsi="Verdana"/>
          <w:i/>
          <w:sz w:val="24"/>
          <w:szCs w:val="24"/>
        </w:rPr>
        <w:t>Publicar boletines, artículos, estudios, papers, investigaciones, y documentos en general de carácter interno y/o externo con apoyo de la DIS, nacionales e internacionales</w:t>
      </w:r>
    </w:p>
    <w:p w:rsidR="00FC7F0E" w:rsidRPr="00021B2F" w:rsidRDefault="00FC7F0E" w:rsidP="00FC7F0E">
      <w:pPr>
        <w:spacing w:after="0" w:line="240" w:lineRule="auto"/>
        <w:jc w:val="both"/>
        <w:rPr>
          <w:rFonts w:ascii="Verdana" w:hAnsi="Verdana"/>
          <w:sz w:val="24"/>
          <w:szCs w:val="24"/>
        </w:rPr>
      </w:pPr>
    </w:p>
    <w:p w:rsidR="00FC7F0E" w:rsidRPr="006F3381" w:rsidRDefault="00FC7F0E" w:rsidP="00FC7F0E">
      <w:pPr>
        <w:spacing w:after="0" w:line="240" w:lineRule="auto"/>
        <w:jc w:val="both"/>
        <w:rPr>
          <w:rFonts w:ascii="Verdana" w:hAnsi="Verdana"/>
          <w:color w:val="548DD4" w:themeColor="text2" w:themeTint="99"/>
          <w:sz w:val="24"/>
          <w:szCs w:val="24"/>
        </w:rPr>
      </w:pPr>
      <w:r w:rsidRPr="006F3381">
        <w:rPr>
          <w:rFonts w:ascii="Verdana" w:hAnsi="Verdana"/>
          <w:color w:val="548DD4" w:themeColor="text2" w:themeTint="99"/>
          <w:sz w:val="24"/>
          <w:szCs w:val="24"/>
        </w:rPr>
        <w:t>Grupo de Proyectos</w:t>
      </w:r>
    </w:p>
    <w:p w:rsidR="00FC7F0E" w:rsidRPr="00021B2F" w:rsidRDefault="00FC7F0E" w:rsidP="00FC7F0E">
      <w:pPr>
        <w:spacing w:after="0" w:line="240" w:lineRule="auto"/>
        <w:jc w:val="both"/>
        <w:rPr>
          <w:rFonts w:ascii="Verdana" w:hAnsi="Verdana"/>
          <w:sz w:val="24"/>
          <w:szCs w:val="24"/>
        </w:rPr>
      </w:pPr>
    </w:p>
    <w:p w:rsidR="00FC7F0E" w:rsidRPr="00C16A2F" w:rsidRDefault="00FC7F0E" w:rsidP="00FF784D">
      <w:pPr>
        <w:pStyle w:val="Prrafodelista"/>
        <w:numPr>
          <w:ilvl w:val="0"/>
          <w:numId w:val="51"/>
        </w:numPr>
        <w:spacing w:after="0" w:line="240" w:lineRule="auto"/>
        <w:ind w:left="851" w:hanging="425"/>
        <w:jc w:val="both"/>
        <w:rPr>
          <w:rFonts w:ascii="Verdana" w:hAnsi="Verdana"/>
          <w:i/>
          <w:sz w:val="24"/>
          <w:szCs w:val="24"/>
        </w:rPr>
      </w:pPr>
      <w:r w:rsidRPr="00C16A2F">
        <w:rPr>
          <w:rFonts w:ascii="Verdana" w:hAnsi="Verdana"/>
          <w:i/>
          <w:sz w:val="24"/>
          <w:szCs w:val="24"/>
        </w:rPr>
        <w:t>Presentar al menos dos (2) proyectos ante el OCAD (Órgano Colegiado de Administración y Decisión Nacional) del fondo de Ciencia, Tecnología e Innovación del Sistema General de Regalías.</w:t>
      </w:r>
    </w:p>
    <w:p w:rsidR="00FC7F0E" w:rsidRPr="00C16A2F" w:rsidRDefault="00FC7F0E" w:rsidP="00FF784D">
      <w:pPr>
        <w:pStyle w:val="Prrafodelista"/>
        <w:numPr>
          <w:ilvl w:val="0"/>
          <w:numId w:val="51"/>
        </w:numPr>
        <w:spacing w:after="0" w:line="240" w:lineRule="auto"/>
        <w:ind w:left="851" w:hanging="425"/>
        <w:jc w:val="both"/>
        <w:rPr>
          <w:rFonts w:ascii="Verdana" w:hAnsi="Verdana"/>
          <w:i/>
          <w:sz w:val="24"/>
          <w:szCs w:val="24"/>
        </w:rPr>
      </w:pPr>
      <w:r w:rsidRPr="00C16A2F">
        <w:rPr>
          <w:rFonts w:ascii="Verdana" w:hAnsi="Verdana"/>
          <w:i/>
          <w:sz w:val="24"/>
          <w:szCs w:val="24"/>
        </w:rPr>
        <w:t>Realizar recomendaciones para el rediseño de al menos un (1) programa social a través de metodologías de innovación social.</w:t>
      </w:r>
    </w:p>
    <w:p w:rsidR="00FC7F0E" w:rsidRPr="00C16A2F" w:rsidRDefault="00FC7F0E" w:rsidP="00FF784D">
      <w:pPr>
        <w:pStyle w:val="Prrafodelista"/>
        <w:numPr>
          <w:ilvl w:val="0"/>
          <w:numId w:val="51"/>
        </w:numPr>
        <w:spacing w:after="0" w:line="240" w:lineRule="auto"/>
        <w:ind w:left="851" w:hanging="425"/>
        <w:jc w:val="both"/>
        <w:rPr>
          <w:rFonts w:ascii="Verdana" w:hAnsi="Verdana"/>
          <w:i/>
          <w:sz w:val="24"/>
          <w:szCs w:val="24"/>
        </w:rPr>
      </w:pPr>
      <w:r w:rsidRPr="00C16A2F">
        <w:rPr>
          <w:rFonts w:ascii="Verdana" w:hAnsi="Verdana"/>
          <w:i/>
          <w:sz w:val="24"/>
          <w:szCs w:val="24"/>
        </w:rPr>
        <w:lastRenderedPageBreak/>
        <w:t>Realizar la caracterización de al menos seis (6) nodos regionales de innovación social.</w:t>
      </w:r>
    </w:p>
    <w:p w:rsidR="00FC7F0E" w:rsidRPr="00C16A2F" w:rsidRDefault="00FC7F0E" w:rsidP="00FF784D">
      <w:pPr>
        <w:pStyle w:val="Prrafodelista"/>
        <w:numPr>
          <w:ilvl w:val="0"/>
          <w:numId w:val="51"/>
        </w:numPr>
        <w:spacing w:after="0" w:line="240" w:lineRule="auto"/>
        <w:ind w:left="851" w:hanging="425"/>
        <w:jc w:val="both"/>
        <w:rPr>
          <w:rFonts w:ascii="Verdana" w:hAnsi="Verdana"/>
          <w:i/>
          <w:sz w:val="24"/>
          <w:szCs w:val="24"/>
        </w:rPr>
      </w:pPr>
      <w:r w:rsidRPr="00C16A2F">
        <w:rPr>
          <w:rFonts w:ascii="Verdana" w:hAnsi="Verdana"/>
          <w:i/>
          <w:sz w:val="24"/>
          <w:szCs w:val="24"/>
        </w:rPr>
        <w:t>Beneficiar al menos a seiscientas (600) familias a través de los proyectos de innovación social adelantados por la Dirección de Innovación Social.</w:t>
      </w:r>
    </w:p>
    <w:p w:rsidR="00FC7F0E" w:rsidRPr="00C16A2F" w:rsidRDefault="00FC7F0E" w:rsidP="00FF784D">
      <w:pPr>
        <w:pStyle w:val="Prrafodelista"/>
        <w:numPr>
          <w:ilvl w:val="0"/>
          <w:numId w:val="51"/>
        </w:numPr>
        <w:spacing w:after="0" w:line="240" w:lineRule="auto"/>
        <w:ind w:left="851" w:hanging="425"/>
        <w:jc w:val="both"/>
        <w:rPr>
          <w:rFonts w:ascii="Verdana" w:hAnsi="Verdana"/>
          <w:i/>
          <w:sz w:val="24"/>
          <w:szCs w:val="24"/>
        </w:rPr>
      </w:pPr>
      <w:r w:rsidRPr="00C16A2F">
        <w:rPr>
          <w:rFonts w:ascii="Verdana" w:hAnsi="Verdana"/>
          <w:i/>
          <w:sz w:val="24"/>
          <w:szCs w:val="24"/>
        </w:rPr>
        <w:t>Gestionar al menos seiscientos (600) logros a través de los por los proyectos de innovación social adelantados por la Dirección de Innovación Social.</w:t>
      </w:r>
    </w:p>
    <w:p w:rsidR="00FC7F0E" w:rsidRPr="00C16A2F" w:rsidRDefault="00FC7F0E" w:rsidP="00FF784D">
      <w:pPr>
        <w:pStyle w:val="Prrafodelista"/>
        <w:numPr>
          <w:ilvl w:val="0"/>
          <w:numId w:val="51"/>
        </w:numPr>
        <w:spacing w:after="0" w:line="240" w:lineRule="auto"/>
        <w:ind w:left="851" w:hanging="425"/>
        <w:jc w:val="both"/>
        <w:rPr>
          <w:rFonts w:ascii="Verdana" w:hAnsi="Verdana"/>
          <w:i/>
          <w:sz w:val="24"/>
          <w:szCs w:val="24"/>
        </w:rPr>
      </w:pPr>
      <w:r w:rsidRPr="00C16A2F">
        <w:rPr>
          <w:rFonts w:ascii="Verdana" w:hAnsi="Verdana"/>
          <w:i/>
          <w:sz w:val="24"/>
          <w:szCs w:val="24"/>
        </w:rPr>
        <w:t>Realizar quince (15) evaluaciones a los proyectos de innovación social realizados por parte dela Dirección de Innovación Social.</w:t>
      </w:r>
    </w:p>
    <w:p w:rsidR="00FC7F0E" w:rsidRPr="00C16A2F" w:rsidRDefault="00FC7F0E" w:rsidP="00FF784D">
      <w:pPr>
        <w:pStyle w:val="Prrafodelista"/>
        <w:numPr>
          <w:ilvl w:val="0"/>
          <w:numId w:val="51"/>
        </w:numPr>
        <w:spacing w:after="0" w:line="240" w:lineRule="auto"/>
        <w:ind w:left="851" w:hanging="425"/>
        <w:jc w:val="both"/>
        <w:rPr>
          <w:rFonts w:ascii="Verdana" w:hAnsi="Verdana"/>
          <w:i/>
          <w:sz w:val="24"/>
          <w:szCs w:val="24"/>
        </w:rPr>
      </w:pPr>
      <w:r w:rsidRPr="00C16A2F">
        <w:rPr>
          <w:rFonts w:ascii="Verdana" w:hAnsi="Verdana"/>
          <w:i/>
          <w:sz w:val="24"/>
          <w:szCs w:val="24"/>
        </w:rPr>
        <w:t>Replicar dos (2) de proyectos de innovación social adelantados por la Dirección de Innovación Social.</w:t>
      </w:r>
    </w:p>
    <w:p w:rsidR="00FC7F0E" w:rsidRPr="00021B2F" w:rsidRDefault="00FC7F0E" w:rsidP="003641F7">
      <w:pPr>
        <w:spacing w:after="0" w:line="240" w:lineRule="auto"/>
        <w:ind w:left="851" w:hanging="425"/>
        <w:jc w:val="both"/>
        <w:rPr>
          <w:rFonts w:ascii="Verdana" w:hAnsi="Verdana"/>
          <w:sz w:val="24"/>
          <w:szCs w:val="24"/>
        </w:rPr>
      </w:pPr>
    </w:p>
    <w:p w:rsidR="00FC7F0E" w:rsidRPr="00021B2F" w:rsidRDefault="00FC7F0E" w:rsidP="003641F7">
      <w:pPr>
        <w:spacing w:after="0" w:line="240" w:lineRule="auto"/>
        <w:ind w:left="851" w:hanging="425"/>
        <w:jc w:val="both"/>
        <w:rPr>
          <w:rFonts w:ascii="Verdana" w:hAnsi="Verdana"/>
          <w:sz w:val="24"/>
          <w:szCs w:val="24"/>
          <w:u w:val="single"/>
        </w:rPr>
      </w:pPr>
    </w:p>
    <w:p w:rsidR="00FC7F0E" w:rsidRPr="00C16A2F" w:rsidRDefault="00FC7F0E" w:rsidP="00FC7F0E">
      <w:pPr>
        <w:spacing w:after="0" w:line="240" w:lineRule="auto"/>
        <w:jc w:val="both"/>
        <w:rPr>
          <w:rFonts w:ascii="Verdana" w:hAnsi="Verdana"/>
          <w:b/>
          <w:color w:val="548DD4" w:themeColor="text2" w:themeTint="99"/>
          <w:sz w:val="24"/>
          <w:szCs w:val="24"/>
        </w:rPr>
      </w:pPr>
      <w:r w:rsidRPr="00C16A2F">
        <w:rPr>
          <w:rFonts w:ascii="Verdana" w:hAnsi="Verdana"/>
          <w:b/>
          <w:color w:val="548DD4" w:themeColor="text2" w:themeTint="99"/>
          <w:sz w:val="24"/>
          <w:szCs w:val="24"/>
        </w:rPr>
        <w:t>ESTRATEGIA ZOLIP – Zonas Libres de Pobreza Extrema</w:t>
      </w:r>
    </w:p>
    <w:p w:rsidR="00FC7F0E" w:rsidRPr="00021B2F" w:rsidRDefault="00FC7F0E" w:rsidP="00FC7F0E">
      <w:pPr>
        <w:spacing w:after="0" w:line="240" w:lineRule="auto"/>
        <w:jc w:val="both"/>
        <w:rPr>
          <w:rFonts w:ascii="Verdana" w:hAnsi="Verdana"/>
          <w:sz w:val="24"/>
          <w:szCs w:val="24"/>
          <w:u w:val="single"/>
        </w:rPr>
      </w:pPr>
    </w:p>
    <w:p w:rsidR="00FC7F0E" w:rsidRPr="00021B2F" w:rsidRDefault="00FC7F0E" w:rsidP="00FC7F0E">
      <w:pPr>
        <w:spacing w:after="0" w:line="240" w:lineRule="auto"/>
        <w:jc w:val="both"/>
        <w:rPr>
          <w:rFonts w:ascii="Verdana" w:hAnsi="Verdana"/>
          <w:sz w:val="24"/>
          <w:szCs w:val="24"/>
        </w:rPr>
      </w:pPr>
      <w:r w:rsidRPr="00021B2F">
        <w:rPr>
          <w:rFonts w:ascii="Verdana" w:hAnsi="Verdana"/>
          <w:sz w:val="24"/>
          <w:szCs w:val="24"/>
        </w:rPr>
        <w:t>En el 2014 la estrategia fue revitalizada, año a partir del cual es entendida como una intervención intensiva en una zona geográficamente delimitada, liderada por un actor público local en alianza con el sector privado, el tercer sector y la participación activa de la comunidad en ella, en la que se dinamizan los procesos de acompañamiento familiar y comunitario, la gestión de oferta y se desarrollan proyectos significativos que impactan positivamente la calidad de vida en el territorio y de sus pobladores. Como resultados de este año se resaltan:</w:t>
      </w:r>
    </w:p>
    <w:p w:rsidR="000B7DA4" w:rsidRDefault="000B7DA4" w:rsidP="000B7DA4">
      <w:pPr>
        <w:spacing w:after="0" w:line="240" w:lineRule="auto"/>
        <w:jc w:val="both"/>
        <w:rPr>
          <w:rFonts w:ascii="Verdana" w:hAnsi="Verdana"/>
          <w:sz w:val="24"/>
          <w:szCs w:val="24"/>
        </w:rPr>
      </w:pPr>
    </w:p>
    <w:p w:rsidR="000B7DA4" w:rsidRDefault="000B7DA4" w:rsidP="000B7DA4">
      <w:pPr>
        <w:spacing w:after="0" w:line="240" w:lineRule="auto"/>
        <w:jc w:val="both"/>
        <w:rPr>
          <w:rFonts w:ascii="Verdana" w:hAnsi="Verdana"/>
          <w:b/>
          <w:color w:val="548DD4" w:themeColor="text2" w:themeTint="99"/>
          <w:sz w:val="24"/>
          <w:szCs w:val="24"/>
        </w:rPr>
      </w:pPr>
      <w:r w:rsidRPr="006F3381">
        <w:rPr>
          <w:rFonts w:ascii="Verdana" w:hAnsi="Verdana"/>
          <w:b/>
          <w:color w:val="548DD4" w:themeColor="text2" w:themeTint="99"/>
          <w:sz w:val="24"/>
          <w:szCs w:val="24"/>
        </w:rPr>
        <w:t>Logros 2014</w:t>
      </w:r>
    </w:p>
    <w:p w:rsidR="008F0BBE" w:rsidRDefault="008F0BBE" w:rsidP="00FC7F0E">
      <w:pPr>
        <w:spacing w:after="0" w:line="240" w:lineRule="auto"/>
        <w:jc w:val="both"/>
        <w:rPr>
          <w:rFonts w:ascii="Verdana" w:hAnsi="Verdana"/>
          <w:sz w:val="24"/>
          <w:szCs w:val="24"/>
        </w:rPr>
      </w:pPr>
    </w:p>
    <w:p w:rsidR="008F0BBE" w:rsidRPr="00021B2F" w:rsidRDefault="008F0BBE" w:rsidP="00FC7F0E">
      <w:pPr>
        <w:spacing w:after="0" w:line="240" w:lineRule="auto"/>
        <w:jc w:val="both"/>
        <w:rPr>
          <w:rFonts w:ascii="Verdana" w:hAnsi="Verdana"/>
          <w:sz w:val="24"/>
          <w:szCs w:val="24"/>
        </w:rPr>
      </w:pPr>
    </w:p>
    <w:p w:rsidR="00FC7F0E" w:rsidRPr="00C16A2F" w:rsidRDefault="00FC7F0E" w:rsidP="00FF784D">
      <w:pPr>
        <w:pStyle w:val="Prrafodelista"/>
        <w:numPr>
          <w:ilvl w:val="0"/>
          <w:numId w:val="52"/>
        </w:numPr>
        <w:spacing w:after="0" w:line="240" w:lineRule="auto"/>
        <w:jc w:val="both"/>
        <w:rPr>
          <w:rFonts w:ascii="Verdana" w:hAnsi="Verdana"/>
          <w:i/>
          <w:sz w:val="24"/>
          <w:szCs w:val="24"/>
        </w:rPr>
      </w:pPr>
      <w:r w:rsidRPr="00C16A2F">
        <w:rPr>
          <w:rFonts w:ascii="Verdana" w:hAnsi="Verdana"/>
          <w:i/>
          <w:sz w:val="24"/>
          <w:szCs w:val="24"/>
        </w:rPr>
        <w:t>39 territorios</w:t>
      </w:r>
      <w:r w:rsidRPr="00C16A2F">
        <w:rPr>
          <w:rFonts w:ascii="Verdana" w:hAnsi="Verdana"/>
          <w:i/>
          <w:sz w:val="24"/>
          <w:szCs w:val="24"/>
          <w:vertAlign w:val="superscript"/>
        </w:rPr>
        <w:footnoteReference w:id="5"/>
      </w:r>
      <w:r w:rsidRPr="00C16A2F">
        <w:rPr>
          <w:rFonts w:ascii="Verdana" w:hAnsi="Verdana"/>
          <w:i/>
          <w:sz w:val="24"/>
          <w:szCs w:val="24"/>
        </w:rPr>
        <w:t xml:space="preserve"> intervenidos, con 8.184 hogares acompañados, y se resalta que 718 hogares han superado su situación de pobreza extrema como resultado conjunto, que presenta un incremento del 30% que superan pobreza extrema en territorios Zolip con respecto al 2013 (550 hogares).</w:t>
      </w:r>
    </w:p>
    <w:p w:rsidR="00FC7F0E" w:rsidRPr="00C16A2F" w:rsidRDefault="00FC7F0E" w:rsidP="00FF784D">
      <w:pPr>
        <w:pStyle w:val="Prrafodelista"/>
        <w:numPr>
          <w:ilvl w:val="0"/>
          <w:numId w:val="52"/>
        </w:numPr>
        <w:spacing w:after="0" w:line="240" w:lineRule="auto"/>
        <w:jc w:val="both"/>
        <w:rPr>
          <w:rFonts w:ascii="Verdana" w:hAnsi="Verdana"/>
          <w:i/>
          <w:sz w:val="24"/>
          <w:szCs w:val="24"/>
        </w:rPr>
      </w:pPr>
      <w:r w:rsidRPr="00C16A2F">
        <w:rPr>
          <w:rFonts w:ascii="Verdana" w:hAnsi="Verdana"/>
          <w:i/>
          <w:sz w:val="24"/>
          <w:szCs w:val="24"/>
        </w:rPr>
        <w:t xml:space="preserve">21 Planes Territoriales para la Superación de la Pobreza Extrema – PTSPE están ejecución, y son construidos los PTSPEs del territorio focalizado en </w:t>
      </w:r>
      <w:r w:rsidRPr="00C16A2F">
        <w:rPr>
          <w:rFonts w:ascii="Verdana" w:hAnsi="Verdana"/>
          <w:i/>
          <w:sz w:val="24"/>
          <w:szCs w:val="24"/>
        </w:rPr>
        <w:lastRenderedPageBreak/>
        <w:t>Barranquilla e Ibagué, siendo aprobado el primero. 4 planes están en proceso formalización y construcción con los aliados del territorio. Se resalta el inicio del proceso de construcción del Plan Comunitario Étnico con la Comunidad Indígena Embera chami del resguardo Karmata Rua en el municipio de Jardín que hace parte de la estrategia Zolip.</w:t>
      </w:r>
    </w:p>
    <w:p w:rsidR="00FC7F0E" w:rsidRPr="00C16A2F" w:rsidRDefault="00FC7F0E" w:rsidP="00FF784D">
      <w:pPr>
        <w:pStyle w:val="Prrafodelista"/>
        <w:numPr>
          <w:ilvl w:val="0"/>
          <w:numId w:val="52"/>
        </w:numPr>
        <w:spacing w:after="0" w:line="240" w:lineRule="auto"/>
        <w:jc w:val="both"/>
        <w:rPr>
          <w:rFonts w:ascii="Verdana" w:hAnsi="Verdana"/>
          <w:i/>
          <w:sz w:val="24"/>
          <w:szCs w:val="24"/>
        </w:rPr>
      </w:pPr>
      <w:r w:rsidRPr="00C16A2F">
        <w:rPr>
          <w:rFonts w:ascii="Verdana" w:hAnsi="Verdana"/>
          <w:i/>
          <w:sz w:val="24"/>
          <w:szCs w:val="24"/>
        </w:rPr>
        <w:t>27 Comités Técnicos Territoriales</w:t>
      </w:r>
      <w:r w:rsidRPr="00C16A2F">
        <w:rPr>
          <w:rFonts w:ascii="Verdana" w:hAnsi="Verdana"/>
          <w:i/>
          <w:sz w:val="24"/>
          <w:szCs w:val="24"/>
          <w:vertAlign w:val="superscript"/>
        </w:rPr>
        <w:footnoteReference w:id="6"/>
      </w:r>
      <w:r w:rsidRPr="00C16A2F">
        <w:rPr>
          <w:rFonts w:ascii="Verdana" w:hAnsi="Verdana"/>
          <w:i/>
          <w:sz w:val="24"/>
          <w:szCs w:val="24"/>
        </w:rPr>
        <w:t xml:space="preserve"> constituidos en funcionamiento. De éstos, 4 son liderados por Gobernaciones, 19 por Alcaldías municipales, ratificando el liderazgo del actor público local. </w:t>
      </w:r>
    </w:p>
    <w:p w:rsidR="00FC7F0E" w:rsidRPr="00C16A2F" w:rsidRDefault="00FC7F0E" w:rsidP="00FF784D">
      <w:pPr>
        <w:pStyle w:val="Prrafodelista"/>
        <w:numPr>
          <w:ilvl w:val="0"/>
          <w:numId w:val="52"/>
        </w:numPr>
        <w:spacing w:after="0" w:line="240" w:lineRule="auto"/>
        <w:jc w:val="both"/>
        <w:rPr>
          <w:rFonts w:ascii="Verdana" w:hAnsi="Verdana"/>
          <w:i/>
          <w:sz w:val="24"/>
          <w:szCs w:val="24"/>
        </w:rPr>
      </w:pPr>
      <w:r w:rsidRPr="00C16A2F">
        <w:rPr>
          <w:rFonts w:ascii="Verdana" w:hAnsi="Verdana"/>
          <w:i/>
          <w:sz w:val="24"/>
          <w:szCs w:val="24"/>
        </w:rPr>
        <w:t>Más de 50 aliados privados</w:t>
      </w:r>
      <w:r w:rsidRPr="00C16A2F">
        <w:rPr>
          <w:rFonts w:ascii="Verdana" w:hAnsi="Verdana"/>
          <w:i/>
          <w:sz w:val="24"/>
          <w:szCs w:val="24"/>
          <w:vertAlign w:val="superscript"/>
        </w:rPr>
        <w:footnoteReference w:id="7"/>
      </w:r>
      <w:r w:rsidRPr="00C16A2F">
        <w:rPr>
          <w:rFonts w:ascii="Verdana" w:hAnsi="Verdana"/>
          <w:i/>
          <w:sz w:val="24"/>
          <w:szCs w:val="24"/>
        </w:rPr>
        <w:t xml:space="preserve"> continúan trabajando en el marco de la ZOLIP. Más de 40 aliados públicos</w:t>
      </w:r>
      <w:r w:rsidRPr="00C16A2F">
        <w:rPr>
          <w:rFonts w:ascii="Verdana" w:hAnsi="Verdana"/>
          <w:i/>
          <w:sz w:val="24"/>
          <w:szCs w:val="24"/>
          <w:vertAlign w:val="superscript"/>
        </w:rPr>
        <w:footnoteReference w:id="8"/>
      </w:r>
      <w:r w:rsidRPr="00C16A2F">
        <w:rPr>
          <w:rFonts w:ascii="Verdana" w:hAnsi="Verdana"/>
          <w:i/>
          <w:sz w:val="24"/>
          <w:szCs w:val="24"/>
        </w:rPr>
        <w:t xml:space="preserve"> hacen parte de la estrategia en la práctica. Se realizaron más de 12 ferias de servicios en territorios Zolip.</w:t>
      </w:r>
    </w:p>
    <w:p w:rsidR="00FC7F0E" w:rsidRPr="00C16A2F" w:rsidRDefault="00FC7F0E" w:rsidP="00FF784D">
      <w:pPr>
        <w:pStyle w:val="Prrafodelista"/>
        <w:numPr>
          <w:ilvl w:val="0"/>
          <w:numId w:val="52"/>
        </w:numPr>
        <w:spacing w:after="0" w:line="240" w:lineRule="auto"/>
        <w:jc w:val="both"/>
        <w:rPr>
          <w:rFonts w:ascii="Verdana" w:hAnsi="Verdana"/>
          <w:i/>
          <w:sz w:val="24"/>
          <w:szCs w:val="24"/>
        </w:rPr>
      </w:pPr>
      <w:r w:rsidRPr="00C16A2F">
        <w:rPr>
          <w:rFonts w:ascii="Verdana" w:hAnsi="Verdana"/>
          <w:i/>
          <w:sz w:val="24"/>
          <w:szCs w:val="24"/>
        </w:rPr>
        <w:t>Se celebró la declaración de 2 territorios en la Senda de la Prosperidad, Usme Nevado en Bogotá y Sopó en Cundinamarca, cada uno realizó la construcción del Plan de Sostenibilidad de manera conjunta entre los aliados y se encuentran en ejecución propiciando la continuidad del avance alcanzado conjuntamente.</w:t>
      </w:r>
    </w:p>
    <w:p w:rsidR="00FC7F0E" w:rsidRPr="00C16A2F" w:rsidRDefault="00FC7F0E" w:rsidP="00FF784D">
      <w:pPr>
        <w:pStyle w:val="Prrafodelista"/>
        <w:numPr>
          <w:ilvl w:val="0"/>
          <w:numId w:val="52"/>
        </w:numPr>
        <w:spacing w:after="0" w:line="240" w:lineRule="auto"/>
        <w:jc w:val="both"/>
        <w:rPr>
          <w:rFonts w:ascii="Verdana" w:hAnsi="Verdana"/>
          <w:i/>
          <w:sz w:val="24"/>
          <w:szCs w:val="24"/>
        </w:rPr>
      </w:pPr>
      <w:r w:rsidRPr="00C16A2F">
        <w:rPr>
          <w:rFonts w:ascii="Verdana" w:hAnsi="Verdana"/>
          <w:i/>
          <w:sz w:val="24"/>
          <w:szCs w:val="24"/>
        </w:rPr>
        <w:t>Se realizó el “Evento de Experiencias Significativas en Territorios ZOLIP” el 18 de julio de 2014 en la ciudad de Cartagena con el apoyo de CISP, al cual asistieron más de 200 participantes, incluidos Alcaldes, secretarios de despacho, funcionarios de gobernaciones, cooperantes y de aliados privados con y sin ánimo de lucro, quienes celebraron los avances de las experiencias y compartieron prácticas exitosas con impacto en superación de pobreza extrema que podrían ser replicadas con el apoyo de quienes las implementaron exitosamente.</w:t>
      </w:r>
    </w:p>
    <w:p w:rsidR="00FC7F0E" w:rsidRPr="00C16A2F" w:rsidRDefault="00FC7F0E" w:rsidP="00FF784D">
      <w:pPr>
        <w:pStyle w:val="Prrafodelista"/>
        <w:numPr>
          <w:ilvl w:val="0"/>
          <w:numId w:val="52"/>
        </w:numPr>
        <w:spacing w:after="0" w:line="240" w:lineRule="auto"/>
        <w:jc w:val="both"/>
        <w:rPr>
          <w:rFonts w:ascii="Verdana" w:hAnsi="Verdana"/>
          <w:i/>
          <w:sz w:val="24"/>
          <w:szCs w:val="24"/>
        </w:rPr>
      </w:pPr>
      <w:r w:rsidRPr="00C16A2F">
        <w:rPr>
          <w:rFonts w:ascii="Verdana" w:hAnsi="Verdana"/>
          <w:i/>
          <w:sz w:val="24"/>
          <w:szCs w:val="24"/>
        </w:rPr>
        <w:t xml:space="preserve"> </w:t>
      </w:r>
      <w:r w:rsidRPr="00C16A2F">
        <w:rPr>
          <w:rFonts w:ascii="Verdana" w:hAnsi="Verdana"/>
          <w:i/>
          <w:sz w:val="24"/>
          <w:szCs w:val="24"/>
          <w:lang w:val="es-ES"/>
        </w:rPr>
        <w:t>En el marco de la cooperación sur-sur, se llevaron a cabo visitas de Comisiones Internacionales a tres territorios ZOLIP: a) la República de Chile – Fondo de Solidaridad e Inversión Social – FOSIS en agosto de 2014 a Sopó y Chía y b) la República de Grenada el 9 de octubre de 2014 a Ararca en Cartagena. Además, el Gobierno Paraguayo manifestó en el marco de la Comixta Colombia-Paraguay 2014 su interés en la estrategia ZOLIP y asistencia técnica de Colombia en su implementación.</w:t>
      </w:r>
    </w:p>
    <w:p w:rsidR="00FC7F0E" w:rsidRPr="00C16A2F" w:rsidRDefault="00FC7F0E" w:rsidP="00FC7F0E">
      <w:pPr>
        <w:spacing w:after="0" w:line="240" w:lineRule="auto"/>
        <w:jc w:val="both"/>
        <w:rPr>
          <w:rFonts w:ascii="Verdana" w:hAnsi="Verdana"/>
          <w:i/>
          <w:sz w:val="24"/>
          <w:szCs w:val="24"/>
          <w:lang w:val="es-ES"/>
        </w:rPr>
      </w:pPr>
    </w:p>
    <w:p w:rsidR="000B7DA4" w:rsidRDefault="000B7DA4" w:rsidP="000B7DA4">
      <w:pPr>
        <w:spacing w:after="0" w:line="240" w:lineRule="auto"/>
        <w:jc w:val="both"/>
        <w:rPr>
          <w:rFonts w:ascii="Verdana" w:hAnsi="Verdana"/>
          <w:b/>
          <w:color w:val="548DD4" w:themeColor="text2" w:themeTint="99"/>
          <w:sz w:val="24"/>
          <w:szCs w:val="24"/>
        </w:rPr>
      </w:pPr>
    </w:p>
    <w:p w:rsidR="000B7DA4" w:rsidRDefault="000B7DA4" w:rsidP="000B7DA4">
      <w:pPr>
        <w:spacing w:after="0" w:line="240" w:lineRule="auto"/>
        <w:jc w:val="both"/>
        <w:rPr>
          <w:rFonts w:ascii="Verdana" w:hAnsi="Verdana"/>
          <w:b/>
          <w:color w:val="548DD4" w:themeColor="text2" w:themeTint="99"/>
          <w:sz w:val="24"/>
          <w:szCs w:val="24"/>
        </w:rPr>
      </w:pPr>
      <w:r>
        <w:rPr>
          <w:rFonts w:ascii="Verdana" w:hAnsi="Verdana"/>
          <w:b/>
          <w:color w:val="548DD4" w:themeColor="text2" w:themeTint="99"/>
          <w:sz w:val="24"/>
          <w:szCs w:val="24"/>
        </w:rPr>
        <w:t>Retos 2015</w:t>
      </w:r>
    </w:p>
    <w:p w:rsidR="00FC7F0E" w:rsidRPr="00021B2F" w:rsidRDefault="00FC7F0E" w:rsidP="00FC7F0E">
      <w:pPr>
        <w:spacing w:after="0" w:line="240" w:lineRule="auto"/>
        <w:jc w:val="both"/>
        <w:rPr>
          <w:rFonts w:ascii="Verdana" w:hAnsi="Verdana"/>
          <w:sz w:val="24"/>
          <w:szCs w:val="24"/>
        </w:rPr>
      </w:pPr>
    </w:p>
    <w:p w:rsidR="00FC7F0E" w:rsidRPr="00C16A2F" w:rsidRDefault="00FC7F0E" w:rsidP="00FF784D">
      <w:pPr>
        <w:pStyle w:val="Prrafodelista"/>
        <w:numPr>
          <w:ilvl w:val="0"/>
          <w:numId w:val="53"/>
        </w:numPr>
        <w:spacing w:after="0" w:line="240" w:lineRule="auto"/>
        <w:jc w:val="both"/>
        <w:rPr>
          <w:rFonts w:ascii="Verdana" w:hAnsi="Verdana"/>
          <w:i/>
          <w:sz w:val="24"/>
          <w:szCs w:val="24"/>
        </w:rPr>
      </w:pPr>
      <w:r w:rsidRPr="00C16A2F">
        <w:rPr>
          <w:rFonts w:ascii="Verdana" w:hAnsi="Verdana"/>
          <w:i/>
          <w:sz w:val="24"/>
          <w:szCs w:val="24"/>
        </w:rPr>
        <w:t xml:space="preserve">Es importante incrementar y nutrir la oferta pública nacional/departamental pertinente y privada complementaria, para la superación de pobreza extrema de los hogares en los territorios ZOLIP de la mano con las entidades públicas y privadas aliadas actuales y potenciales; así como alimentar los lazos de cooperación entre aliados, aprovechando el potencial de los territorios Zolip como plataformas para la implementación de programas e iniciativas hacia el desarrollo sostenible. Para ello, la continuidad y consolidación de los Comités Técnicos Territoriales de la estrategia ZOLIP será una pieza clave. </w:t>
      </w:r>
    </w:p>
    <w:p w:rsidR="00FC7F0E" w:rsidRPr="00C16A2F" w:rsidRDefault="00FC7F0E" w:rsidP="00FF784D">
      <w:pPr>
        <w:pStyle w:val="Prrafodelista"/>
        <w:numPr>
          <w:ilvl w:val="0"/>
          <w:numId w:val="53"/>
        </w:numPr>
        <w:spacing w:after="0" w:line="240" w:lineRule="auto"/>
        <w:jc w:val="both"/>
        <w:rPr>
          <w:rFonts w:ascii="Verdana" w:hAnsi="Verdana"/>
          <w:i/>
          <w:sz w:val="24"/>
          <w:szCs w:val="24"/>
        </w:rPr>
      </w:pPr>
      <w:r w:rsidRPr="00C16A2F">
        <w:rPr>
          <w:rFonts w:ascii="Verdana" w:hAnsi="Verdana"/>
          <w:i/>
          <w:sz w:val="24"/>
          <w:szCs w:val="24"/>
        </w:rPr>
        <w:t>Además, resultará una oportunidad para el país continuar tejiendo lazos de cooperación sur-sur con los Estados de la región a través de la asistencia técnica en la que la estrategia Zolip puede contribuir como referente en el marco de alianzas público privadas intensivas en superación de la pobreza extrema, Paraguay será el primero del 2015 en este campo de acción.</w:t>
      </w:r>
    </w:p>
    <w:p w:rsidR="00FC7F0E" w:rsidRPr="00C16A2F" w:rsidRDefault="00FC7F0E" w:rsidP="00FF784D">
      <w:pPr>
        <w:pStyle w:val="Prrafodelista"/>
        <w:numPr>
          <w:ilvl w:val="0"/>
          <w:numId w:val="53"/>
        </w:numPr>
        <w:spacing w:after="0" w:line="240" w:lineRule="auto"/>
        <w:jc w:val="both"/>
        <w:rPr>
          <w:rFonts w:ascii="Verdana" w:hAnsi="Verdana"/>
          <w:i/>
          <w:sz w:val="24"/>
          <w:szCs w:val="24"/>
        </w:rPr>
      </w:pPr>
      <w:r w:rsidRPr="00C16A2F">
        <w:rPr>
          <w:rFonts w:ascii="Verdana" w:hAnsi="Verdana"/>
          <w:i/>
          <w:sz w:val="24"/>
          <w:szCs w:val="24"/>
        </w:rPr>
        <w:t>Así, y en la medida en que el compromiso de los aliados públicos y privados y los hogares en pobreza extrema continué y siga dando saltos en la acción, se espera declarar más territorios en la senda de la prosperidad como resultado exitoso de los esfuerzos conjuntos El escenario postconflicto será una oportunidad para seguir construyendo alianzas publico-privadas efectivas y superando pobreza extrema y la articulación necesaria con la voluntad de todas las partes para ello.</w:t>
      </w:r>
    </w:p>
    <w:p w:rsidR="00FC7F0E" w:rsidRPr="00C16A2F" w:rsidRDefault="00FC7F0E" w:rsidP="00FC7F0E">
      <w:pPr>
        <w:spacing w:after="0" w:line="240" w:lineRule="auto"/>
        <w:jc w:val="both"/>
        <w:rPr>
          <w:rFonts w:ascii="Verdana" w:hAnsi="Verdana"/>
          <w:i/>
          <w:sz w:val="24"/>
          <w:szCs w:val="24"/>
        </w:rPr>
      </w:pPr>
    </w:p>
    <w:p w:rsidR="00FC7F0E" w:rsidRPr="00021B2F" w:rsidRDefault="00FC7F0E" w:rsidP="00FC7F0E">
      <w:pPr>
        <w:spacing w:after="0" w:line="240" w:lineRule="auto"/>
        <w:jc w:val="both"/>
        <w:rPr>
          <w:rFonts w:ascii="Verdana" w:hAnsi="Verdana"/>
          <w:sz w:val="24"/>
          <w:szCs w:val="24"/>
        </w:rPr>
      </w:pPr>
    </w:p>
    <w:p w:rsidR="00FC7F0E" w:rsidRPr="00C16A2F" w:rsidRDefault="00FC7F0E" w:rsidP="00FC7F0E">
      <w:pPr>
        <w:spacing w:after="0" w:line="240" w:lineRule="auto"/>
        <w:jc w:val="both"/>
        <w:rPr>
          <w:rFonts w:ascii="Verdana" w:hAnsi="Verdana"/>
          <w:b/>
          <w:color w:val="0070C0"/>
          <w:sz w:val="24"/>
          <w:szCs w:val="24"/>
        </w:rPr>
      </w:pPr>
      <w:r w:rsidRPr="00C16A2F">
        <w:rPr>
          <w:rFonts w:ascii="Verdana" w:hAnsi="Verdana"/>
          <w:b/>
          <w:color w:val="0070C0"/>
          <w:sz w:val="24"/>
          <w:szCs w:val="24"/>
        </w:rPr>
        <w:t>ENFOQUES DIFERENCIALES</w:t>
      </w:r>
    </w:p>
    <w:p w:rsidR="00FC7F0E" w:rsidRPr="00021B2F" w:rsidRDefault="00FC7F0E" w:rsidP="00FC7F0E">
      <w:pPr>
        <w:pStyle w:val="Prrafodelista"/>
        <w:spacing w:after="0" w:line="240" w:lineRule="auto"/>
        <w:jc w:val="both"/>
        <w:rPr>
          <w:rFonts w:ascii="Verdana" w:hAnsi="Verdana"/>
          <w:sz w:val="24"/>
          <w:szCs w:val="24"/>
        </w:rPr>
      </w:pPr>
    </w:p>
    <w:p w:rsidR="00FC7F0E" w:rsidRPr="00021B2F" w:rsidRDefault="00FC7F0E" w:rsidP="00FC7F0E">
      <w:pPr>
        <w:spacing w:after="0" w:line="240" w:lineRule="auto"/>
        <w:jc w:val="both"/>
        <w:rPr>
          <w:rFonts w:ascii="Verdana" w:hAnsi="Verdana"/>
          <w:sz w:val="24"/>
          <w:szCs w:val="24"/>
        </w:rPr>
      </w:pPr>
      <w:r w:rsidRPr="00021B2F">
        <w:rPr>
          <w:rFonts w:ascii="Verdana" w:hAnsi="Verdana"/>
          <w:sz w:val="24"/>
          <w:szCs w:val="24"/>
        </w:rPr>
        <w:t>La ANSPE reconoce que los grupos poblacionales (Indígena, Afro, Negro, Raizal,  Palenquero, Rrom, victimas y personas con discapacidad) tienen necesidades socioeconómicas diferentes que deben ser contempladas en el diseño e implementación de la Estrategia UNIDOS, para lograr un mayor impacto en el proceso de superación de su condición de pobreza extrema.</w:t>
      </w:r>
    </w:p>
    <w:p w:rsidR="00FC7F0E" w:rsidRDefault="00FC7F0E" w:rsidP="00FC7F0E">
      <w:pPr>
        <w:spacing w:after="0" w:line="240" w:lineRule="auto"/>
        <w:jc w:val="both"/>
        <w:rPr>
          <w:rFonts w:ascii="Verdana" w:hAnsi="Verdana"/>
          <w:sz w:val="24"/>
          <w:szCs w:val="24"/>
        </w:rPr>
      </w:pPr>
    </w:p>
    <w:p w:rsidR="000B7DA4" w:rsidRDefault="000B7DA4" w:rsidP="000B7DA4">
      <w:pPr>
        <w:spacing w:after="0" w:line="240" w:lineRule="auto"/>
        <w:jc w:val="both"/>
        <w:rPr>
          <w:rFonts w:ascii="Verdana" w:hAnsi="Verdana"/>
          <w:b/>
          <w:color w:val="548DD4" w:themeColor="text2" w:themeTint="99"/>
          <w:sz w:val="24"/>
          <w:szCs w:val="24"/>
        </w:rPr>
      </w:pPr>
    </w:p>
    <w:p w:rsidR="000B7DA4" w:rsidRDefault="000B7DA4" w:rsidP="000B7DA4">
      <w:pPr>
        <w:spacing w:after="0" w:line="240" w:lineRule="auto"/>
        <w:jc w:val="both"/>
        <w:rPr>
          <w:rFonts w:ascii="Verdana" w:hAnsi="Verdana"/>
          <w:b/>
          <w:color w:val="548DD4" w:themeColor="text2" w:themeTint="99"/>
          <w:sz w:val="24"/>
          <w:szCs w:val="24"/>
        </w:rPr>
      </w:pPr>
      <w:r w:rsidRPr="006F3381">
        <w:rPr>
          <w:rFonts w:ascii="Verdana" w:hAnsi="Verdana"/>
          <w:b/>
          <w:color w:val="548DD4" w:themeColor="text2" w:themeTint="99"/>
          <w:sz w:val="24"/>
          <w:szCs w:val="24"/>
        </w:rPr>
        <w:t>Logros 2014</w:t>
      </w:r>
    </w:p>
    <w:p w:rsidR="000B7DA4" w:rsidRPr="00021B2F" w:rsidRDefault="000B7DA4" w:rsidP="00FC7F0E">
      <w:pPr>
        <w:spacing w:after="0" w:line="240" w:lineRule="auto"/>
        <w:jc w:val="both"/>
        <w:rPr>
          <w:rFonts w:ascii="Verdana" w:hAnsi="Verdana"/>
          <w:sz w:val="24"/>
          <w:szCs w:val="24"/>
        </w:rPr>
      </w:pPr>
    </w:p>
    <w:p w:rsidR="00FC7F0E" w:rsidRPr="00021B2F" w:rsidRDefault="00FC7F0E" w:rsidP="00FC7F0E">
      <w:pPr>
        <w:spacing w:after="0" w:line="240" w:lineRule="auto"/>
        <w:jc w:val="both"/>
        <w:rPr>
          <w:rFonts w:ascii="Verdana" w:hAnsi="Verdana"/>
          <w:sz w:val="24"/>
          <w:szCs w:val="24"/>
        </w:rPr>
      </w:pPr>
      <w:r w:rsidRPr="00021B2F">
        <w:rPr>
          <w:rFonts w:ascii="Verdana" w:hAnsi="Verdana"/>
          <w:sz w:val="24"/>
          <w:szCs w:val="24"/>
        </w:rPr>
        <w:t>Diseño e implementación de la metodología de acompañamiento con enfoque diferencial</w:t>
      </w:r>
    </w:p>
    <w:p w:rsidR="00FC7F0E" w:rsidRPr="00021B2F" w:rsidRDefault="00FC7F0E" w:rsidP="00FC7F0E">
      <w:pPr>
        <w:pStyle w:val="Prrafodelista"/>
        <w:spacing w:after="0" w:line="240" w:lineRule="auto"/>
        <w:jc w:val="both"/>
        <w:rPr>
          <w:rFonts w:ascii="Verdana" w:hAnsi="Verdana"/>
          <w:sz w:val="24"/>
          <w:szCs w:val="24"/>
        </w:rPr>
      </w:pPr>
    </w:p>
    <w:p w:rsidR="00FC7F0E" w:rsidRPr="00C16A2F" w:rsidRDefault="00FC7F0E" w:rsidP="00FF784D">
      <w:pPr>
        <w:pStyle w:val="Prrafodelista"/>
        <w:numPr>
          <w:ilvl w:val="0"/>
          <w:numId w:val="54"/>
        </w:numPr>
        <w:spacing w:after="0" w:line="240" w:lineRule="auto"/>
        <w:ind w:left="709" w:hanging="425"/>
        <w:jc w:val="both"/>
        <w:rPr>
          <w:rFonts w:ascii="Verdana" w:hAnsi="Verdana"/>
          <w:i/>
          <w:sz w:val="24"/>
          <w:szCs w:val="24"/>
        </w:rPr>
      </w:pPr>
      <w:r w:rsidRPr="00C16A2F">
        <w:rPr>
          <w:rFonts w:ascii="Verdana" w:hAnsi="Verdana"/>
          <w:i/>
          <w:sz w:val="24"/>
          <w:szCs w:val="24"/>
        </w:rPr>
        <w:t>Desarrollo de la propuesta de la Estrategia UNIDOS con enfoque diferencial étnico indígena diseñada en jornadas piloto con los pueblos indígenas Uitoto, Arhuaco, Embera Chamí y Wayuu.</w:t>
      </w:r>
    </w:p>
    <w:p w:rsidR="00FC7F0E" w:rsidRPr="00C16A2F" w:rsidRDefault="00FC7F0E" w:rsidP="00FF784D">
      <w:pPr>
        <w:pStyle w:val="Prrafodelista"/>
        <w:numPr>
          <w:ilvl w:val="0"/>
          <w:numId w:val="54"/>
        </w:numPr>
        <w:spacing w:after="0" w:line="240" w:lineRule="auto"/>
        <w:ind w:left="709" w:hanging="425"/>
        <w:jc w:val="both"/>
        <w:rPr>
          <w:rFonts w:ascii="Verdana" w:hAnsi="Verdana"/>
          <w:i/>
          <w:sz w:val="24"/>
          <w:szCs w:val="24"/>
        </w:rPr>
      </w:pPr>
      <w:r w:rsidRPr="00C16A2F">
        <w:rPr>
          <w:rFonts w:ascii="Verdana" w:hAnsi="Verdana"/>
          <w:i/>
          <w:sz w:val="24"/>
          <w:szCs w:val="24"/>
        </w:rPr>
        <w:t>Avance en la construcción de los documentos y metodologías participativas para implementación del acompañamiento con enfoque diferencial étnico -indígenas y afros-: taller desarrollo productivo, herramientas de caracterización comunitaria, identificación de problemáticas y construcción de planes comunitarios.</w:t>
      </w:r>
    </w:p>
    <w:p w:rsidR="00FC7F0E" w:rsidRPr="00C16A2F" w:rsidRDefault="00FC7F0E" w:rsidP="00FF784D">
      <w:pPr>
        <w:pStyle w:val="Prrafodelista"/>
        <w:numPr>
          <w:ilvl w:val="0"/>
          <w:numId w:val="54"/>
        </w:numPr>
        <w:spacing w:after="0" w:line="240" w:lineRule="auto"/>
        <w:ind w:left="709" w:hanging="425"/>
        <w:jc w:val="both"/>
        <w:rPr>
          <w:rFonts w:ascii="Verdana" w:hAnsi="Verdana"/>
          <w:i/>
          <w:sz w:val="24"/>
          <w:szCs w:val="24"/>
        </w:rPr>
      </w:pPr>
      <w:r w:rsidRPr="00C16A2F">
        <w:rPr>
          <w:rFonts w:ascii="Verdana" w:hAnsi="Verdana"/>
          <w:i/>
          <w:sz w:val="24"/>
          <w:szCs w:val="24"/>
        </w:rPr>
        <w:t>Jornada de retroalimentación y recomendaciones a la propuesta elaborada, por parte de los equipos territoriales (Cogestores Sociales y Asesores Regionales) de Uribia, Pasto, Tuchin, Moñitos, San Andrés de sotavento, San Andrés y Providencia, Jardín, Puracé, Guapi, Timbiqui y Quibdó.</w:t>
      </w:r>
    </w:p>
    <w:p w:rsidR="00FC7F0E" w:rsidRPr="00C16A2F" w:rsidRDefault="00FC7F0E" w:rsidP="00FF784D">
      <w:pPr>
        <w:pStyle w:val="Prrafodelista"/>
        <w:numPr>
          <w:ilvl w:val="0"/>
          <w:numId w:val="54"/>
        </w:numPr>
        <w:spacing w:after="0" w:line="240" w:lineRule="auto"/>
        <w:ind w:left="709" w:hanging="425"/>
        <w:jc w:val="both"/>
        <w:rPr>
          <w:rFonts w:ascii="Verdana" w:hAnsi="Verdana"/>
          <w:i/>
          <w:sz w:val="24"/>
          <w:szCs w:val="24"/>
        </w:rPr>
      </w:pPr>
      <w:r w:rsidRPr="00C16A2F">
        <w:rPr>
          <w:rFonts w:ascii="Verdana" w:hAnsi="Verdana"/>
          <w:i/>
          <w:sz w:val="24"/>
          <w:szCs w:val="24"/>
        </w:rPr>
        <w:t>Construcción de Planes Comunitarios Indígenas (Amazonas: Leticia - Comunidad Km. 11, Puerto Nariño en 5 Comunidades; Antioquia: Jardín - Comunidad Karmata Rua).</w:t>
      </w:r>
    </w:p>
    <w:p w:rsidR="00FC7F0E" w:rsidRPr="00C16A2F" w:rsidRDefault="00FC7F0E" w:rsidP="00FF784D">
      <w:pPr>
        <w:pStyle w:val="Prrafodelista"/>
        <w:numPr>
          <w:ilvl w:val="0"/>
          <w:numId w:val="54"/>
        </w:numPr>
        <w:spacing w:after="0" w:line="240" w:lineRule="auto"/>
        <w:ind w:left="709" w:hanging="425"/>
        <w:jc w:val="both"/>
        <w:rPr>
          <w:rFonts w:ascii="Verdana" w:hAnsi="Verdana"/>
          <w:i/>
          <w:sz w:val="24"/>
          <w:szCs w:val="24"/>
        </w:rPr>
      </w:pPr>
      <w:r w:rsidRPr="00C16A2F">
        <w:rPr>
          <w:rFonts w:ascii="Verdana" w:hAnsi="Verdana"/>
          <w:i/>
          <w:sz w:val="24"/>
          <w:szCs w:val="24"/>
        </w:rPr>
        <w:t xml:space="preserve">Participación en </w:t>
      </w:r>
      <w:r w:rsidR="00B8606D" w:rsidRPr="00C16A2F">
        <w:rPr>
          <w:rFonts w:ascii="Verdana" w:hAnsi="Verdana"/>
          <w:i/>
          <w:sz w:val="24"/>
          <w:szCs w:val="24"/>
        </w:rPr>
        <w:t>8</w:t>
      </w:r>
      <w:r w:rsidRPr="00C16A2F">
        <w:rPr>
          <w:rFonts w:ascii="Verdana" w:hAnsi="Verdana"/>
          <w:i/>
          <w:sz w:val="24"/>
          <w:szCs w:val="24"/>
        </w:rPr>
        <w:t xml:space="preserve"> espacios interinstitucionales donde la ANSPE se ha articulado a la política nacional de enfoque diferencial: </w:t>
      </w:r>
    </w:p>
    <w:p w:rsidR="00FC7F0E" w:rsidRPr="00021B2F" w:rsidRDefault="00FC7F0E" w:rsidP="00FF784D">
      <w:pPr>
        <w:pStyle w:val="Prrafodelista"/>
        <w:numPr>
          <w:ilvl w:val="0"/>
          <w:numId w:val="56"/>
        </w:numPr>
        <w:spacing w:after="0" w:line="240" w:lineRule="auto"/>
        <w:ind w:left="1134" w:hanging="425"/>
        <w:jc w:val="both"/>
        <w:rPr>
          <w:rFonts w:ascii="Verdana" w:hAnsi="Verdana"/>
          <w:sz w:val="24"/>
          <w:szCs w:val="24"/>
        </w:rPr>
      </w:pPr>
      <w:r w:rsidRPr="00021B2F">
        <w:rPr>
          <w:rFonts w:ascii="Verdana" w:hAnsi="Verdana"/>
          <w:sz w:val="24"/>
          <w:szCs w:val="24"/>
        </w:rPr>
        <w:t>Mesa técnica de enfoque diferencial del Comité Intersectorial para la Primera Infancia –CIPI</w:t>
      </w:r>
    </w:p>
    <w:p w:rsidR="00FC7F0E" w:rsidRPr="00021B2F" w:rsidRDefault="00FC7F0E" w:rsidP="00FF784D">
      <w:pPr>
        <w:pStyle w:val="Prrafodelista"/>
        <w:numPr>
          <w:ilvl w:val="0"/>
          <w:numId w:val="56"/>
        </w:numPr>
        <w:spacing w:after="0" w:line="240" w:lineRule="auto"/>
        <w:ind w:left="1134" w:hanging="425"/>
        <w:jc w:val="both"/>
        <w:rPr>
          <w:rFonts w:ascii="Verdana" w:hAnsi="Verdana"/>
          <w:sz w:val="24"/>
          <w:szCs w:val="24"/>
        </w:rPr>
      </w:pPr>
      <w:r w:rsidRPr="00021B2F">
        <w:rPr>
          <w:rFonts w:ascii="Verdana" w:hAnsi="Verdana"/>
          <w:sz w:val="24"/>
          <w:szCs w:val="24"/>
        </w:rPr>
        <w:t>Mesa de enfoque diferencial del Sistema Nacional de Atención y reparación Integral de Víctimas- SNARIV</w:t>
      </w:r>
    </w:p>
    <w:p w:rsidR="00FC7F0E" w:rsidRPr="00021B2F" w:rsidRDefault="00FC7F0E" w:rsidP="00FF784D">
      <w:pPr>
        <w:pStyle w:val="Prrafodelista"/>
        <w:numPr>
          <w:ilvl w:val="0"/>
          <w:numId w:val="56"/>
        </w:numPr>
        <w:spacing w:after="0" w:line="240" w:lineRule="auto"/>
        <w:ind w:left="1134" w:hanging="425"/>
        <w:jc w:val="both"/>
        <w:rPr>
          <w:rFonts w:ascii="Verdana" w:hAnsi="Verdana"/>
          <w:sz w:val="24"/>
          <w:szCs w:val="24"/>
        </w:rPr>
      </w:pPr>
      <w:r w:rsidRPr="00021B2F">
        <w:rPr>
          <w:rFonts w:ascii="Verdana" w:hAnsi="Verdana"/>
          <w:sz w:val="24"/>
          <w:szCs w:val="24"/>
        </w:rPr>
        <w:t>Sub-comité Enfoque Diferencial Unidad de Atención y Reparación Integral a Víctimas –UARIV</w:t>
      </w:r>
    </w:p>
    <w:p w:rsidR="00FC7F0E" w:rsidRPr="00021B2F" w:rsidRDefault="00FC7F0E" w:rsidP="00FF784D">
      <w:pPr>
        <w:pStyle w:val="Prrafodelista"/>
        <w:numPr>
          <w:ilvl w:val="0"/>
          <w:numId w:val="56"/>
        </w:numPr>
        <w:spacing w:after="0" w:line="240" w:lineRule="auto"/>
        <w:ind w:left="1134" w:hanging="425"/>
        <w:jc w:val="both"/>
        <w:rPr>
          <w:rFonts w:ascii="Verdana" w:hAnsi="Verdana"/>
          <w:sz w:val="24"/>
          <w:szCs w:val="24"/>
        </w:rPr>
      </w:pPr>
      <w:r w:rsidRPr="00021B2F">
        <w:rPr>
          <w:rFonts w:ascii="Verdana" w:hAnsi="Verdana"/>
          <w:sz w:val="24"/>
          <w:szCs w:val="24"/>
        </w:rPr>
        <w:t>Mesa de niñez indígena</w:t>
      </w:r>
    </w:p>
    <w:p w:rsidR="00FC7F0E" w:rsidRPr="00021B2F" w:rsidRDefault="00FC7F0E" w:rsidP="00FF784D">
      <w:pPr>
        <w:pStyle w:val="Prrafodelista"/>
        <w:numPr>
          <w:ilvl w:val="0"/>
          <w:numId w:val="56"/>
        </w:numPr>
        <w:spacing w:after="0" w:line="240" w:lineRule="auto"/>
        <w:ind w:left="1134" w:hanging="425"/>
        <w:jc w:val="both"/>
        <w:rPr>
          <w:rFonts w:ascii="Verdana" w:hAnsi="Verdana"/>
          <w:sz w:val="24"/>
          <w:szCs w:val="24"/>
        </w:rPr>
      </w:pPr>
      <w:r w:rsidRPr="00021B2F">
        <w:rPr>
          <w:rFonts w:ascii="Verdana" w:hAnsi="Verdana"/>
          <w:sz w:val="24"/>
          <w:szCs w:val="24"/>
        </w:rPr>
        <w:t>Mesa de coordinación gubernamental para el Informe Defensorial sobre la Crisis Humanitaria en el Chocó</w:t>
      </w:r>
    </w:p>
    <w:p w:rsidR="00FC7F0E" w:rsidRPr="00021B2F" w:rsidRDefault="00FC7F0E" w:rsidP="00FF784D">
      <w:pPr>
        <w:pStyle w:val="Prrafodelista"/>
        <w:numPr>
          <w:ilvl w:val="0"/>
          <w:numId w:val="56"/>
        </w:numPr>
        <w:spacing w:after="0" w:line="240" w:lineRule="auto"/>
        <w:ind w:left="1134" w:hanging="425"/>
        <w:jc w:val="both"/>
        <w:rPr>
          <w:rFonts w:ascii="Verdana" w:hAnsi="Verdana"/>
          <w:sz w:val="24"/>
          <w:szCs w:val="24"/>
        </w:rPr>
      </w:pPr>
      <w:r w:rsidRPr="00021B2F">
        <w:rPr>
          <w:rFonts w:ascii="Verdana" w:hAnsi="Verdana"/>
          <w:sz w:val="24"/>
          <w:szCs w:val="24"/>
        </w:rPr>
        <w:t>Foro Colombia Inclusiva: una puerta hacia la inclusión, Ministerio de Salud y Protección Social</w:t>
      </w:r>
    </w:p>
    <w:p w:rsidR="00FC7F0E" w:rsidRPr="00021B2F" w:rsidRDefault="00FC7F0E" w:rsidP="00FF784D">
      <w:pPr>
        <w:pStyle w:val="Prrafodelista"/>
        <w:numPr>
          <w:ilvl w:val="0"/>
          <w:numId w:val="56"/>
        </w:numPr>
        <w:spacing w:after="0" w:line="240" w:lineRule="auto"/>
        <w:ind w:left="1134" w:hanging="425"/>
        <w:jc w:val="both"/>
        <w:rPr>
          <w:rFonts w:ascii="Verdana" w:hAnsi="Verdana"/>
          <w:sz w:val="24"/>
          <w:szCs w:val="24"/>
        </w:rPr>
      </w:pPr>
      <w:r w:rsidRPr="00021B2F">
        <w:rPr>
          <w:rFonts w:ascii="Verdana" w:hAnsi="Verdana"/>
          <w:sz w:val="24"/>
          <w:szCs w:val="24"/>
        </w:rPr>
        <w:t>Taller Regional de Políticas Públicas Nacionales de Apoyo y Fortalecimiento a las Familias y de Envejecimiento Humano y Vejez</w:t>
      </w:r>
    </w:p>
    <w:p w:rsidR="00FC7F0E" w:rsidRPr="00021B2F" w:rsidRDefault="00FC7F0E" w:rsidP="00FF784D">
      <w:pPr>
        <w:pStyle w:val="Prrafodelista"/>
        <w:numPr>
          <w:ilvl w:val="0"/>
          <w:numId w:val="56"/>
        </w:numPr>
        <w:spacing w:after="0" w:line="240" w:lineRule="auto"/>
        <w:ind w:left="1134" w:hanging="425"/>
        <w:jc w:val="both"/>
        <w:rPr>
          <w:rFonts w:ascii="Verdana" w:hAnsi="Verdana"/>
          <w:sz w:val="24"/>
          <w:szCs w:val="24"/>
        </w:rPr>
      </w:pPr>
      <w:r w:rsidRPr="00021B2F">
        <w:rPr>
          <w:rFonts w:ascii="Verdana" w:hAnsi="Verdana"/>
          <w:sz w:val="24"/>
          <w:szCs w:val="24"/>
        </w:rPr>
        <w:t>Comisión intersectorial para la implementación de la Política Pública Nacional para la Equidad de la Mujer</w:t>
      </w:r>
    </w:p>
    <w:p w:rsidR="00FC7F0E" w:rsidRPr="00C16A2F" w:rsidRDefault="00FC7F0E" w:rsidP="00FF784D">
      <w:pPr>
        <w:pStyle w:val="Prrafodelista"/>
        <w:numPr>
          <w:ilvl w:val="0"/>
          <w:numId w:val="55"/>
        </w:numPr>
        <w:spacing w:after="0" w:line="240" w:lineRule="auto"/>
        <w:ind w:left="709" w:hanging="425"/>
        <w:jc w:val="both"/>
        <w:rPr>
          <w:rFonts w:ascii="Verdana" w:hAnsi="Verdana"/>
          <w:i/>
          <w:sz w:val="24"/>
          <w:szCs w:val="24"/>
        </w:rPr>
      </w:pPr>
      <w:r w:rsidRPr="00C16A2F">
        <w:rPr>
          <w:rFonts w:ascii="Verdana" w:hAnsi="Verdana"/>
          <w:i/>
          <w:sz w:val="24"/>
          <w:szCs w:val="24"/>
        </w:rPr>
        <w:t>Implementación del piloto del Formulario de Caracterización Familiar para Pueblos Indígenas en 21 comunidades del Pueblo Arhuaco en el Magdalena a través de la ejecución del convenio 191 ANSPE-RESGUARDO ARHUACO.</w:t>
      </w:r>
    </w:p>
    <w:p w:rsidR="00FC7F0E" w:rsidRPr="00021B2F" w:rsidRDefault="00FC7F0E" w:rsidP="00FC7F0E">
      <w:pPr>
        <w:pStyle w:val="Prrafodelista"/>
        <w:spacing w:after="0" w:line="240" w:lineRule="auto"/>
        <w:jc w:val="both"/>
        <w:rPr>
          <w:rFonts w:ascii="Verdana" w:hAnsi="Verdana"/>
          <w:sz w:val="24"/>
          <w:szCs w:val="24"/>
        </w:rPr>
      </w:pPr>
    </w:p>
    <w:p w:rsidR="00FC7F0E" w:rsidRPr="00021B2F" w:rsidRDefault="00FC7F0E" w:rsidP="00FC7F0E">
      <w:pPr>
        <w:spacing w:after="0" w:line="240" w:lineRule="auto"/>
        <w:jc w:val="both"/>
        <w:rPr>
          <w:rFonts w:ascii="Verdana" w:hAnsi="Verdana"/>
          <w:sz w:val="24"/>
          <w:szCs w:val="24"/>
        </w:rPr>
      </w:pPr>
      <w:r w:rsidRPr="00021B2F">
        <w:rPr>
          <w:rFonts w:ascii="Verdana" w:hAnsi="Verdana"/>
          <w:sz w:val="24"/>
          <w:szCs w:val="24"/>
        </w:rPr>
        <w:t>Sistema de Información</w:t>
      </w:r>
    </w:p>
    <w:p w:rsidR="00FC7F0E" w:rsidRPr="00C16A2F" w:rsidRDefault="00FC7F0E" w:rsidP="00FF784D">
      <w:pPr>
        <w:pStyle w:val="Prrafodelista"/>
        <w:numPr>
          <w:ilvl w:val="0"/>
          <w:numId w:val="55"/>
        </w:numPr>
        <w:spacing w:after="0" w:line="240" w:lineRule="auto"/>
        <w:ind w:left="709"/>
        <w:jc w:val="both"/>
        <w:rPr>
          <w:rFonts w:ascii="Verdana" w:hAnsi="Verdana"/>
          <w:i/>
          <w:sz w:val="24"/>
          <w:szCs w:val="24"/>
        </w:rPr>
      </w:pPr>
      <w:r w:rsidRPr="00C16A2F">
        <w:rPr>
          <w:rFonts w:ascii="Verdana" w:hAnsi="Verdana"/>
          <w:i/>
          <w:sz w:val="24"/>
          <w:szCs w:val="24"/>
        </w:rPr>
        <w:lastRenderedPageBreak/>
        <w:t>Construcción del aplicativo y manual operativo del Formulario de Caracterización Familiar para Pueblos Indígenas.</w:t>
      </w:r>
    </w:p>
    <w:p w:rsidR="00FC7F0E" w:rsidRPr="00C16A2F" w:rsidRDefault="00FC7F0E" w:rsidP="00FF784D">
      <w:pPr>
        <w:pStyle w:val="Prrafodelista"/>
        <w:numPr>
          <w:ilvl w:val="0"/>
          <w:numId w:val="55"/>
        </w:numPr>
        <w:spacing w:after="0" w:line="240" w:lineRule="auto"/>
        <w:ind w:left="709"/>
        <w:jc w:val="both"/>
        <w:rPr>
          <w:rFonts w:ascii="Verdana" w:hAnsi="Verdana"/>
          <w:i/>
          <w:sz w:val="24"/>
          <w:szCs w:val="24"/>
        </w:rPr>
      </w:pPr>
      <w:r w:rsidRPr="00C16A2F">
        <w:rPr>
          <w:rFonts w:ascii="Verdana" w:hAnsi="Verdana"/>
          <w:i/>
          <w:sz w:val="24"/>
          <w:szCs w:val="24"/>
        </w:rPr>
        <w:t>Ajuste y socialización con entidades nacionales (UARIV, DPS, DNP, ICBF,  Ministerio de Salud) del Formulario de Caracterización Familiar mencionado a partir de los aportes de los equipos territoriales y en articulación con la Oficina de Tecnologías de la Información.</w:t>
      </w:r>
    </w:p>
    <w:p w:rsidR="00FC7F0E" w:rsidRPr="00C16A2F" w:rsidRDefault="00FC7F0E" w:rsidP="00FF784D">
      <w:pPr>
        <w:pStyle w:val="Prrafodelista"/>
        <w:numPr>
          <w:ilvl w:val="0"/>
          <w:numId w:val="55"/>
        </w:numPr>
        <w:spacing w:after="0" w:line="240" w:lineRule="auto"/>
        <w:ind w:left="709"/>
        <w:jc w:val="both"/>
        <w:rPr>
          <w:rFonts w:ascii="Verdana" w:hAnsi="Verdana"/>
          <w:i/>
          <w:sz w:val="24"/>
          <w:szCs w:val="24"/>
        </w:rPr>
      </w:pPr>
      <w:r w:rsidRPr="00C16A2F">
        <w:rPr>
          <w:rFonts w:ascii="Verdana" w:hAnsi="Verdana"/>
          <w:i/>
          <w:sz w:val="24"/>
          <w:szCs w:val="24"/>
        </w:rPr>
        <w:t xml:space="preserve">Inicio de la depuración de información de los hogares UNIDOS registrados en el SIUNIDOS (familias que habitan en territorios colectivos - indígenas a nivel nacional y afros: Guapi, Quibdó, Timbiqui y Lopez de Micay). </w:t>
      </w:r>
    </w:p>
    <w:p w:rsidR="00FC7F0E" w:rsidRPr="00C16A2F" w:rsidRDefault="00FC7F0E" w:rsidP="00FF784D">
      <w:pPr>
        <w:pStyle w:val="Prrafodelista"/>
        <w:numPr>
          <w:ilvl w:val="0"/>
          <w:numId w:val="55"/>
        </w:numPr>
        <w:spacing w:after="0" w:line="240" w:lineRule="auto"/>
        <w:ind w:left="709"/>
        <w:jc w:val="both"/>
        <w:rPr>
          <w:rFonts w:ascii="Verdana" w:hAnsi="Verdana"/>
          <w:i/>
          <w:sz w:val="24"/>
          <w:szCs w:val="24"/>
        </w:rPr>
      </w:pPr>
      <w:r w:rsidRPr="00C16A2F">
        <w:rPr>
          <w:rFonts w:ascii="Verdana" w:hAnsi="Verdana"/>
          <w:i/>
          <w:sz w:val="24"/>
          <w:szCs w:val="24"/>
        </w:rPr>
        <w:t xml:space="preserve">Verificación con los asesores regionales de los hogares registrados como Rom en el SIUNIDOS. </w:t>
      </w:r>
    </w:p>
    <w:p w:rsidR="00FC7F0E" w:rsidRPr="00021B2F" w:rsidRDefault="00FC7F0E" w:rsidP="00085EA1">
      <w:pPr>
        <w:pStyle w:val="Prrafodelista"/>
        <w:spacing w:after="0" w:line="240" w:lineRule="auto"/>
        <w:ind w:left="709" w:hanging="360"/>
        <w:jc w:val="both"/>
        <w:rPr>
          <w:rFonts w:ascii="Verdana" w:hAnsi="Verdana"/>
          <w:sz w:val="24"/>
          <w:szCs w:val="24"/>
        </w:rPr>
      </w:pPr>
    </w:p>
    <w:p w:rsidR="00FC7F0E" w:rsidRPr="00021B2F" w:rsidRDefault="00FC7F0E" w:rsidP="00FC7F0E">
      <w:pPr>
        <w:pStyle w:val="Prrafodelista"/>
        <w:spacing w:after="0" w:line="240" w:lineRule="auto"/>
        <w:jc w:val="both"/>
        <w:rPr>
          <w:rFonts w:ascii="Verdana" w:hAnsi="Verdana"/>
          <w:sz w:val="24"/>
          <w:szCs w:val="24"/>
        </w:rPr>
      </w:pPr>
    </w:p>
    <w:p w:rsidR="00B8606D" w:rsidRDefault="00B8606D" w:rsidP="00B8606D">
      <w:pPr>
        <w:spacing w:after="0" w:line="240" w:lineRule="auto"/>
        <w:jc w:val="both"/>
        <w:rPr>
          <w:rFonts w:ascii="Verdana" w:hAnsi="Verdana"/>
          <w:b/>
          <w:color w:val="548DD4" w:themeColor="text2" w:themeTint="99"/>
          <w:sz w:val="24"/>
          <w:szCs w:val="24"/>
        </w:rPr>
      </w:pPr>
      <w:r w:rsidRPr="000B7DA4">
        <w:rPr>
          <w:rFonts w:ascii="Verdana" w:hAnsi="Verdana"/>
          <w:b/>
          <w:color w:val="548DD4" w:themeColor="text2" w:themeTint="99"/>
          <w:sz w:val="24"/>
          <w:szCs w:val="24"/>
        </w:rPr>
        <w:t>Retos 2015</w:t>
      </w:r>
    </w:p>
    <w:p w:rsidR="00FC7F0E" w:rsidRPr="00021B2F" w:rsidRDefault="00FC7F0E" w:rsidP="00FC7F0E">
      <w:pPr>
        <w:pStyle w:val="Prrafodelista"/>
        <w:spacing w:after="0" w:line="240" w:lineRule="auto"/>
        <w:jc w:val="both"/>
        <w:rPr>
          <w:rFonts w:ascii="Verdana" w:hAnsi="Verdana"/>
          <w:sz w:val="24"/>
          <w:szCs w:val="24"/>
        </w:rPr>
      </w:pPr>
    </w:p>
    <w:p w:rsidR="00FC7F0E" w:rsidRPr="00021B2F" w:rsidRDefault="00FC7F0E" w:rsidP="00FC7F0E">
      <w:pPr>
        <w:spacing w:after="0" w:line="240" w:lineRule="auto"/>
        <w:jc w:val="both"/>
        <w:rPr>
          <w:rFonts w:ascii="Verdana" w:hAnsi="Verdana"/>
          <w:sz w:val="24"/>
          <w:szCs w:val="24"/>
        </w:rPr>
      </w:pPr>
      <w:r w:rsidRPr="00021B2F">
        <w:rPr>
          <w:rFonts w:ascii="Verdana" w:hAnsi="Verdana"/>
          <w:sz w:val="24"/>
          <w:szCs w:val="24"/>
        </w:rPr>
        <w:t>Diseño e implementación de la metodología de acompañamiento con enfoque diferencial</w:t>
      </w:r>
    </w:p>
    <w:p w:rsidR="00FC7F0E" w:rsidRPr="00021B2F" w:rsidRDefault="00FC7F0E" w:rsidP="00FC7F0E">
      <w:pPr>
        <w:spacing w:after="0" w:line="240" w:lineRule="auto"/>
        <w:jc w:val="both"/>
        <w:rPr>
          <w:rFonts w:ascii="Verdana" w:hAnsi="Verdana"/>
          <w:sz w:val="24"/>
          <w:szCs w:val="24"/>
        </w:rPr>
      </w:pPr>
    </w:p>
    <w:p w:rsidR="00FC7F0E" w:rsidRPr="00C16A2F" w:rsidRDefault="00FC7F0E" w:rsidP="00FF784D">
      <w:pPr>
        <w:pStyle w:val="Prrafodelista"/>
        <w:numPr>
          <w:ilvl w:val="0"/>
          <w:numId w:val="57"/>
        </w:numPr>
        <w:spacing w:after="0" w:line="240" w:lineRule="auto"/>
        <w:ind w:left="709" w:hanging="283"/>
        <w:jc w:val="both"/>
        <w:rPr>
          <w:rFonts w:ascii="Verdana" w:hAnsi="Verdana"/>
          <w:i/>
          <w:sz w:val="24"/>
          <w:szCs w:val="24"/>
        </w:rPr>
      </w:pPr>
      <w:r w:rsidRPr="00C16A2F">
        <w:rPr>
          <w:rFonts w:ascii="Verdana" w:hAnsi="Verdana"/>
          <w:i/>
          <w:sz w:val="24"/>
          <w:szCs w:val="24"/>
        </w:rPr>
        <w:t>Finalizar la elaboración y formalizar los documentos de Lineamientos diferenciales (Acompañamiento Comunitario Étnico, Indígenas y Afro).</w:t>
      </w:r>
    </w:p>
    <w:p w:rsidR="00FC7F0E" w:rsidRPr="00C16A2F" w:rsidRDefault="00FC7F0E" w:rsidP="00FF784D">
      <w:pPr>
        <w:pStyle w:val="Prrafodelista"/>
        <w:numPr>
          <w:ilvl w:val="0"/>
          <w:numId w:val="57"/>
        </w:numPr>
        <w:spacing w:after="0" w:line="240" w:lineRule="auto"/>
        <w:ind w:left="709" w:hanging="283"/>
        <w:jc w:val="both"/>
        <w:rPr>
          <w:rFonts w:ascii="Verdana" w:hAnsi="Verdana"/>
          <w:i/>
          <w:sz w:val="24"/>
          <w:szCs w:val="24"/>
        </w:rPr>
      </w:pPr>
      <w:r w:rsidRPr="00C16A2F">
        <w:rPr>
          <w:rFonts w:ascii="Verdana" w:hAnsi="Verdana"/>
          <w:i/>
          <w:sz w:val="24"/>
          <w:szCs w:val="24"/>
        </w:rPr>
        <w:t>Elaborar los módulos de capacitación diferenciales (indígenas, discapacidad y victimas) para cogestores sociales.</w:t>
      </w:r>
    </w:p>
    <w:p w:rsidR="00FC7F0E" w:rsidRPr="00C16A2F" w:rsidRDefault="00FC7F0E" w:rsidP="00FF784D">
      <w:pPr>
        <w:pStyle w:val="Prrafodelista"/>
        <w:numPr>
          <w:ilvl w:val="0"/>
          <w:numId w:val="57"/>
        </w:numPr>
        <w:spacing w:after="0" w:line="240" w:lineRule="auto"/>
        <w:ind w:left="709" w:hanging="283"/>
        <w:jc w:val="both"/>
        <w:rPr>
          <w:rFonts w:ascii="Verdana" w:hAnsi="Verdana"/>
          <w:i/>
          <w:sz w:val="24"/>
          <w:szCs w:val="24"/>
        </w:rPr>
      </w:pPr>
      <w:r w:rsidRPr="00C16A2F">
        <w:rPr>
          <w:rFonts w:ascii="Verdana" w:hAnsi="Verdana"/>
          <w:i/>
          <w:sz w:val="24"/>
          <w:szCs w:val="24"/>
        </w:rPr>
        <w:t>Fortalecer los espacios de articulación interna (misionales) para la implementación del acompañamiento familiar y comunitario étnico.</w:t>
      </w:r>
    </w:p>
    <w:p w:rsidR="00FC7F0E" w:rsidRPr="00C16A2F" w:rsidRDefault="00FC7F0E" w:rsidP="00FF784D">
      <w:pPr>
        <w:pStyle w:val="Prrafodelista"/>
        <w:numPr>
          <w:ilvl w:val="0"/>
          <w:numId w:val="57"/>
        </w:numPr>
        <w:spacing w:after="0" w:line="240" w:lineRule="auto"/>
        <w:ind w:left="709" w:hanging="283"/>
        <w:jc w:val="both"/>
        <w:rPr>
          <w:rFonts w:ascii="Verdana" w:hAnsi="Verdana"/>
          <w:i/>
          <w:sz w:val="24"/>
          <w:szCs w:val="24"/>
        </w:rPr>
      </w:pPr>
      <w:r w:rsidRPr="00C16A2F">
        <w:rPr>
          <w:rFonts w:ascii="Verdana" w:hAnsi="Verdana"/>
          <w:i/>
          <w:sz w:val="24"/>
          <w:szCs w:val="24"/>
        </w:rPr>
        <w:t>Inicio del acompañamiento familiar y comunitario de la comunidad Embera- Katio del Alto Andagueda en el departamento del Chocó, a partir del compromiso institucional en el marco del Informe defensorial sobre la crisis humanitaria en ese departamento.</w:t>
      </w:r>
    </w:p>
    <w:p w:rsidR="00FC7F0E" w:rsidRPr="00C16A2F" w:rsidRDefault="00FC7F0E" w:rsidP="00FF784D">
      <w:pPr>
        <w:pStyle w:val="Prrafodelista"/>
        <w:numPr>
          <w:ilvl w:val="0"/>
          <w:numId w:val="57"/>
        </w:numPr>
        <w:spacing w:after="0" w:line="240" w:lineRule="auto"/>
        <w:ind w:left="709" w:hanging="283"/>
        <w:jc w:val="both"/>
        <w:rPr>
          <w:rFonts w:ascii="Verdana" w:hAnsi="Verdana"/>
          <w:i/>
          <w:sz w:val="24"/>
          <w:szCs w:val="24"/>
        </w:rPr>
      </w:pPr>
      <w:r w:rsidRPr="00C16A2F">
        <w:rPr>
          <w:rFonts w:ascii="Verdana" w:hAnsi="Verdana"/>
          <w:i/>
          <w:sz w:val="24"/>
          <w:szCs w:val="24"/>
        </w:rPr>
        <w:t>Desarrollo e implementación de metodología especial de acompañamiento comunitario para las 43 comunidades Wayuu ubicadas en el municipio de Uribia, departamento de la Guajira.</w:t>
      </w:r>
    </w:p>
    <w:p w:rsidR="00FC7F0E" w:rsidRPr="00C16A2F" w:rsidRDefault="00FC7F0E" w:rsidP="00FF784D">
      <w:pPr>
        <w:pStyle w:val="Prrafodelista"/>
        <w:numPr>
          <w:ilvl w:val="0"/>
          <w:numId w:val="57"/>
        </w:numPr>
        <w:spacing w:after="0" w:line="240" w:lineRule="auto"/>
        <w:ind w:left="709" w:hanging="283"/>
        <w:jc w:val="both"/>
        <w:rPr>
          <w:rFonts w:ascii="Verdana" w:hAnsi="Verdana"/>
          <w:i/>
          <w:sz w:val="24"/>
          <w:szCs w:val="24"/>
        </w:rPr>
      </w:pPr>
      <w:r w:rsidRPr="00C16A2F">
        <w:rPr>
          <w:rFonts w:ascii="Verdana" w:hAnsi="Verdana"/>
          <w:i/>
          <w:sz w:val="24"/>
          <w:szCs w:val="24"/>
        </w:rPr>
        <w:t>Realizar el seguimiento y apoyar la implementación de los Planes Comunitarios Étnicos de las comunidades de KM 11 y Puerto Nariño en el departamento del Amazonas y la comunidad de Karmata Rua en el departamento de Antioquia.</w:t>
      </w:r>
    </w:p>
    <w:p w:rsidR="00FC7F0E" w:rsidRPr="00C16A2F" w:rsidRDefault="00FC7F0E" w:rsidP="00FF784D">
      <w:pPr>
        <w:pStyle w:val="Prrafodelista"/>
        <w:numPr>
          <w:ilvl w:val="0"/>
          <w:numId w:val="57"/>
        </w:numPr>
        <w:spacing w:after="0" w:line="240" w:lineRule="auto"/>
        <w:ind w:left="709" w:hanging="283"/>
        <w:jc w:val="both"/>
        <w:rPr>
          <w:rFonts w:ascii="Verdana" w:hAnsi="Verdana"/>
          <w:i/>
          <w:sz w:val="24"/>
          <w:szCs w:val="24"/>
        </w:rPr>
      </w:pPr>
      <w:r w:rsidRPr="00C16A2F">
        <w:rPr>
          <w:rFonts w:ascii="Verdana" w:hAnsi="Verdana"/>
          <w:i/>
          <w:sz w:val="24"/>
          <w:szCs w:val="24"/>
        </w:rPr>
        <w:t>Acompañar la gestión e implementación de proyectos dirigidos a los diferentes grupos poblacionales con enfoque diferencial: víctimas, étnicos, adulto mayor y mujeres, así:</w:t>
      </w:r>
    </w:p>
    <w:p w:rsidR="00FC7F0E" w:rsidRPr="00021B2F" w:rsidRDefault="00FC7F0E" w:rsidP="00FF784D">
      <w:pPr>
        <w:pStyle w:val="Prrafodelista"/>
        <w:numPr>
          <w:ilvl w:val="0"/>
          <w:numId w:val="59"/>
        </w:numPr>
        <w:spacing w:after="0" w:line="240" w:lineRule="auto"/>
        <w:ind w:left="1134" w:hanging="425"/>
        <w:jc w:val="both"/>
        <w:rPr>
          <w:rFonts w:ascii="Verdana" w:hAnsi="Verdana"/>
          <w:sz w:val="24"/>
          <w:szCs w:val="24"/>
        </w:rPr>
      </w:pPr>
      <w:r w:rsidRPr="00021B2F">
        <w:rPr>
          <w:rFonts w:ascii="Verdana" w:hAnsi="Verdana"/>
          <w:sz w:val="24"/>
          <w:szCs w:val="24"/>
        </w:rPr>
        <w:lastRenderedPageBreak/>
        <w:t>Diseñar con la UARIV una estrategia de acompañamiento a los grupos étnicos víctimas de desplazamiento que se encuentran en procesos de retorno colectivo.</w:t>
      </w:r>
    </w:p>
    <w:p w:rsidR="00FC7F0E" w:rsidRPr="00021B2F" w:rsidRDefault="00FC7F0E" w:rsidP="00FF784D">
      <w:pPr>
        <w:pStyle w:val="Prrafodelista"/>
        <w:numPr>
          <w:ilvl w:val="0"/>
          <w:numId w:val="59"/>
        </w:numPr>
        <w:spacing w:after="0" w:line="240" w:lineRule="auto"/>
        <w:ind w:left="1134" w:hanging="425"/>
        <w:jc w:val="both"/>
        <w:rPr>
          <w:rFonts w:ascii="Verdana" w:hAnsi="Verdana"/>
          <w:sz w:val="24"/>
          <w:szCs w:val="24"/>
        </w:rPr>
      </w:pPr>
      <w:r w:rsidRPr="00021B2F">
        <w:rPr>
          <w:rFonts w:ascii="Verdana" w:hAnsi="Verdana"/>
          <w:sz w:val="24"/>
          <w:szCs w:val="24"/>
        </w:rPr>
        <w:t xml:space="preserve">Desarrollar un proyecto con la población UNIDOS en condición de discapacidad a partir de los aprendizajes metodológicos del piloto de 2014. </w:t>
      </w:r>
    </w:p>
    <w:p w:rsidR="00FC7F0E" w:rsidRPr="00021B2F" w:rsidRDefault="00FC7F0E" w:rsidP="00FC7F0E">
      <w:pPr>
        <w:pStyle w:val="Prrafodelista"/>
        <w:spacing w:after="0" w:line="240" w:lineRule="auto"/>
        <w:jc w:val="both"/>
        <w:rPr>
          <w:rFonts w:ascii="Verdana" w:hAnsi="Verdana"/>
          <w:sz w:val="24"/>
          <w:szCs w:val="24"/>
        </w:rPr>
      </w:pPr>
    </w:p>
    <w:p w:rsidR="00FC7F0E" w:rsidRPr="00C16A2F" w:rsidRDefault="00FC7F0E" w:rsidP="00FF784D">
      <w:pPr>
        <w:pStyle w:val="Prrafodelista"/>
        <w:numPr>
          <w:ilvl w:val="0"/>
          <w:numId w:val="58"/>
        </w:numPr>
        <w:spacing w:after="0" w:line="240" w:lineRule="auto"/>
        <w:ind w:left="709" w:hanging="283"/>
        <w:jc w:val="both"/>
        <w:rPr>
          <w:rFonts w:ascii="Verdana" w:hAnsi="Verdana"/>
          <w:i/>
          <w:sz w:val="24"/>
          <w:szCs w:val="24"/>
        </w:rPr>
      </w:pPr>
      <w:r w:rsidRPr="00C16A2F">
        <w:rPr>
          <w:rFonts w:ascii="Verdana" w:hAnsi="Verdana"/>
          <w:i/>
          <w:sz w:val="24"/>
          <w:szCs w:val="24"/>
        </w:rPr>
        <w:t>Desarrollar una estrategia de focalización para poblaciones étnicas a partir de criterios técnicos relacionados con el Índice de Pobreza Multidimensional.</w:t>
      </w:r>
    </w:p>
    <w:p w:rsidR="00FC7F0E" w:rsidRPr="00C16A2F" w:rsidRDefault="00FC7F0E" w:rsidP="00FF784D">
      <w:pPr>
        <w:pStyle w:val="Prrafodelista"/>
        <w:numPr>
          <w:ilvl w:val="0"/>
          <w:numId w:val="58"/>
        </w:numPr>
        <w:spacing w:after="0" w:line="240" w:lineRule="auto"/>
        <w:ind w:left="709" w:hanging="283"/>
        <w:jc w:val="both"/>
        <w:rPr>
          <w:rFonts w:ascii="Verdana" w:hAnsi="Verdana"/>
          <w:i/>
          <w:sz w:val="24"/>
          <w:szCs w:val="24"/>
        </w:rPr>
      </w:pPr>
      <w:r w:rsidRPr="00C16A2F">
        <w:rPr>
          <w:rFonts w:ascii="Verdana" w:hAnsi="Verdana"/>
          <w:i/>
          <w:sz w:val="24"/>
          <w:szCs w:val="24"/>
        </w:rPr>
        <w:t>Profundizar la integración de la variable étnica al SIUNIDOS.</w:t>
      </w:r>
    </w:p>
    <w:p w:rsidR="00FC7F0E" w:rsidRPr="00C16A2F" w:rsidRDefault="00FC7F0E" w:rsidP="00FF784D">
      <w:pPr>
        <w:pStyle w:val="Prrafodelista"/>
        <w:numPr>
          <w:ilvl w:val="0"/>
          <w:numId w:val="58"/>
        </w:numPr>
        <w:spacing w:after="0" w:line="240" w:lineRule="auto"/>
        <w:ind w:left="709" w:hanging="283"/>
        <w:jc w:val="both"/>
        <w:rPr>
          <w:rFonts w:ascii="Verdana" w:hAnsi="Verdana"/>
          <w:i/>
          <w:sz w:val="24"/>
          <w:szCs w:val="24"/>
        </w:rPr>
      </w:pPr>
      <w:r w:rsidRPr="00C16A2F">
        <w:rPr>
          <w:rFonts w:ascii="Verdana" w:hAnsi="Verdana"/>
          <w:i/>
          <w:sz w:val="24"/>
          <w:szCs w:val="24"/>
        </w:rPr>
        <w:t>Lograr la inclusión de la línea de base familiar diferencial étnica al SIUNIDOS.</w:t>
      </w:r>
    </w:p>
    <w:p w:rsidR="00FC7F0E" w:rsidRPr="00C16A2F" w:rsidRDefault="00FC7F0E" w:rsidP="00FF784D">
      <w:pPr>
        <w:pStyle w:val="Prrafodelista"/>
        <w:numPr>
          <w:ilvl w:val="0"/>
          <w:numId w:val="58"/>
        </w:numPr>
        <w:spacing w:after="0" w:line="240" w:lineRule="auto"/>
        <w:ind w:left="709" w:hanging="283"/>
        <w:jc w:val="both"/>
        <w:rPr>
          <w:rFonts w:ascii="Verdana" w:hAnsi="Verdana"/>
          <w:i/>
          <w:sz w:val="24"/>
          <w:szCs w:val="24"/>
        </w:rPr>
      </w:pPr>
      <w:r w:rsidRPr="00C16A2F">
        <w:rPr>
          <w:rFonts w:ascii="Verdana" w:hAnsi="Verdana"/>
          <w:i/>
          <w:sz w:val="24"/>
          <w:szCs w:val="24"/>
        </w:rPr>
        <w:t>Construir bases de datos que permitan consolidar información relevante para la caracterización de los grupos poblacionales.</w:t>
      </w:r>
    </w:p>
    <w:p w:rsidR="00FC7F0E" w:rsidRPr="00C16A2F" w:rsidRDefault="00FC7F0E" w:rsidP="00FF784D">
      <w:pPr>
        <w:pStyle w:val="Prrafodelista"/>
        <w:numPr>
          <w:ilvl w:val="0"/>
          <w:numId w:val="58"/>
        </w:numPr>
        <w:spacing w:after="0" w:line="240" w:lineRule="auto"/>
        <w:ind w:left="709" w:hanging="283"/>
        <w:jc w:val="both"/>
        <w:rPr>
          <w:rFonts w:ascii="Verdana" w:hAnsi="Verdana"/>
          <w:i/>
          <w:sz w:val="24"/>
          <w:szCs w:val="24"/>
        </w:rPr>
      </w:pPr>
      <w:r w:rsidRPr="00C16A2F">
        <w:rPr>
          <w:rFonts w:ascii="Verdana" w:hAnsi="Verdana"/>
          <w:i/>
          <w:sz w:val="24"/>
          <w:szCs w:val="24"/>
        </w:rPr>
        <w:t>Lograr la depuración de la población en condición de discapacidad del SIUNIDOS</w:t>
      </w:r>
    </w:p>
    <w:p w:rsidR="00FC7F0E" w:rsidRPr="00C16A2F" w:rsidRDefault="00FC7F0E" w:rsidP="00B8606D">
      <w:pPr>
        <w:pStyle w:val="Prrafodelista"/>
        <w:spacing w:after="0" w:line="240" w:lineRule="auto"/>
        <w:ind w:left="1080" w:hanging="513"/>
        <w:jc w:val="both"/>
        <w:rPr>
          <w:rFonts w:ascii="Verdana" w:hAnsi="Verdana"/>
          <w:i/>
          <w:sz w:val="24"/>
          <w:szCs w:val="24"/>
        </w:rPr>
      </w:pPr>
    </w:p>
    <w:p w:rsidR="00FC7F0E" w:rsidRPr="00021B2F" w:rsidRDefault="00FC7F0E" w:rsidP="00FC7F0E">
      <w:pPr>
        <w:pStyle w:val="Prrafodelista"/>
        <w:spacing w:after="0" w:line="240" w:lineRule="auto"/>
        <w:jc w:val="both"/>
        <w:rPr>
          <w:rFonts w:ascii="Verdana" w:hAnsi="Verdana"/>
          <w:sz w:val="24"/>
          <w:szCs w:val="24"/>
        </w:rPr>
      </w:pPr>
    </w:p>
    <w:p w:rsidR="004467BD" w:rsidRPr="00C16A2F" w:rsidRDefault="004467BD" w:rsidP="004467BD">
      <w:pPr>
        <w:spacing w:after="0" w:line="240" w:lineRule="auto"/>
        <w:jc w:val="both"/>
        <w:rPr>
          <w:rFonts w:ascii="Verdana" w:hAnsi="Verdana"/>
          <w:b/>
          <w:color w:val="548DD4" w:themeColor="text2" w:themeTint="99"/>
          <w:sz w:val="24"/>
          <w:szCs w:val="24"/>
        </w:rPr>
      </w:pPr>
      <w:r w:rsidRPr="00C16A2F">
        <w:rPr>
          <w:rFonts w:ascii="Verdana" w:hAnsi="Verdana"/>
          <w:b/>
          <w:color w:val="548DD4" w:themeColor="text2" w:themeTint="99"/>
          <w:sz w:val="24"/>
          <w:szCs w:val="24"/>
        </w:rPr>
        <w:t>REPORTE DEL GRADO DE AVANCE DE LAS POLÍTICAS DE DESARROLLO ADMINISTRATIVOS DEL MODELO INTEGRADOS DE PLANEACIÓN Y GESTIÓN</w:t>
      </w:r>
    </w:p>
    <w:p w:rsidR="00FC7F0E" w:rsidRPr="00021B2F" w:rsidRDefault="00FC7F0E" w:rsidP="00FC7F0E">
      <w:pPr>
        <w:spacing w:after="0" w:line="240" w:lineRule="auto"/>
        <w:ind w:left="360"/>
        <w:jc w:val="both"/>
        <w:rPr>
          <w:rFonts w:ascii="Verdana" w:hAnsi="Verdana"/>
          <w:sz w:val="24"/>
          <w:szCs w:val="24"/>
        </w:rPr>
      </w:pPr>
    </w:p>
    <w:p w:rsidR="00FC7F0E" w:rsidRDefault="00FC7F0E" w:rsidP="004467BD">
      <w:pPr>
        <w:spacing w:after="0" w:line="240" w:lineRule="auto"/>
        <w:jc w:val="both"/>
        <w:rPr>
          <w:rFonts w:ascii="Verdana" w:hAnsi="Verdana"/>
          <w:sz w:val="24"/>
          <w:szCs w:val="24"/>
        </w:rPr>
      </w:pPr>
      <w:r w:rsidRPr="00021B2F">
        <w:rPr>
          <w:rFonts w:ascii="Verdana" w:hAnsi="Verdana"/>
          <w:sz w:val="24"/>
          <w:szCs w:val="24"/>
        </w:rPr>
        <w:t>El grado de avance de las políticas de desarrollo administrativo es del 71%, según los requisitos a cumplir para cada una de las políticas.</w:t>
      </w:r>
    </w:p>
    <w:p w:rsidR="00FC7F0E" w:rsidRPr="00021B2F" w:rsidRDefault="00FC7F0E" w:rsidP="00FC7F0E">
      <w:pPr>
        <w:pStyle w:val="Prrafodelista"/>
        <w:spacing w:after="0" w:line="240" w:lineRule="auto"/>
        <w:jc w:val="both"/>
        <w:rPr>
          <w:rFonts w:ascii="Verdana" w:hAnsi="Verdana"/>
          <w:sz w:val="24"/>
          <w:szCs w:val="24"/>
        </w:rPr>
      </w:pPr>
    </w:p>
    <w:tbl>
      <w:tblPr>
        <w:tblW w:w="10407" w:type="dxa"/>
        <w:tblCellMar>
          <w:left w:w="70" w:type="dxa"/>
          <w:right w:w="70" w:type="dxa"/>
        </w:tblCellMar>
        <w:tblLook w:val="04A0"/>
      </w:tblPr>
      <w:tblGrid>
        <w:gridCol w:w="2168"/>
        <w:gridCol w:w="2359"/>
        <w:gridCol w:w="2359"/>
        <w:gridCol w:w="1995"/>
        <w:gridCol w:w="1526"/>
      </w:tblGrid>
      <w:tr w:rsidR="00FC7F0E" w:rsidRPr="000107F2" w:rsidTr="004467BD">
        <w:trPr>
          <w:trHeight w:val="461"/>
          <w:tblHeader/>
        </w:trPr>
        <w:tc>
          <w:tcPr>
            <w:tcW w:w="2168" w:type="dxa"/>
            <w:tcBorders>
              <w:top w:val="nil"/>
              <w:left w:val="nil"/>
              <w:bottom w:val="nil"/>
              <w:right w:val="nil"/>
            </w:tcBorders>
            <w:shd w:val="clear" w:color="000000" w:fill="4F81BD"/>
            <w:vAlign w:val="center"/>
            <w:hideMark/>
          </w:tcPr>
          <w:p w:rsidR="00FC7F0E" w:rsidRPr="000107F2" w:rsidRDefault="00FC7F0E" w:rsidP="00FC7F0E">
            <w:pPr>
              <w:spacing w:after="0" w:line="240" w:lineRule="auto"/>
              <w:jc w:val="center"/>
              <w:rPr>
                <w:rFonts w:ascii="Verdana" w:eastAsia="Times New Roman" w:hAnsi="Verdana" w:cs="Times New Roman"/>
                <w:b/>
                <w:bCs/>
                <w:color w:val="FFFFFF"/>
                <w:sz w:val="18"/>
                <w:szCs w:val="18"/>
                <w:lang w:eastAsia="es-CO"/>
              </w:rPr>
            </w:pPr>
            <w:r w:rsidRPr="00021B2F">
              <w:rPr>
                <w:rFonts w:ascii="Verdana" w:eastAsia="Times New Roman" w:hAnsi="Verdana" w:cs="Times New Roman"/>
                <w:b/>
                <w:bCs/>
                <w:color w:val="FFFFFF"/>
                <w:sz w:val="18"/>
                <w:szCs w:val="18"/>
                <w:lang w:eastAsia="es-CO"/>
              </w:rPr>
              <w:t>Política</w:t>
            </w:r>
          </w:p>
        </w:tc>
        <w:tc>
          <w:tcPr>
            <w:tcW w:w="2359" w:type="dxa"/>
            <w:tcBorders>
              <w:top w:val="nil"/>
              <w:left w:val="single" w:sz="8" w:space="0" w:color="FFFFFF"/>
              <w:bottom w:val="nil"/>
              <w:right w:val="single" w:sz="8" w:space="0" w:color="FFFFFF"/>
            </w:tcBorders>
            <w:shd w:val="clear" w:color="000000" w:fill="4F81BD"/>
            <w:vAlign w:val="center"/>
            <w:hideMark/>
          </w:tcPr>
          <w:p w:rsidR="00FC7F0E" w:rsidRPr="000107F2" w:rsidRDefault="00FC7F0E" w:rsidP="00FC7F0E">
            <w:pPr>
              <w:spacing w:after="0" w:line="240" w:lineRule="auto"/>
              <w:jc w:val="center"/>
              <w:rPr>
                <w:rFonts w:ascii="Verdana" w:eastAsia="Times New Roman" w:hAnsi="Verdana" w:cs="Times New Roman"/>
                <w:b/>
                <w:bCs/>
                <w:color w:val="FFFFFF"/>
                <w:sz w:val="18"/>
                <w:szCs w:val="18"/>
                <w:lang w:eastAsia="es-CO"/>
              </w:rPr>
            </w:pPr>
            <w:r w:rsidRPr="000107F2">
              <w:rPr>
                <w:rFonts w:ascii="Verdana" w:eastAsia="Times New Roman" w:hAnsi="Verdana" w:cs="Times New Roman"/>
                <w:b/>
                <w:bCs/>
                <w:color w:val="FFFFFF"/>
                <w:sz w:val="18"/>
                <w:szCs w:val="18"/>
                <w:lang w:eastAsia="es-CO"/>
              </w:rPr>
              <w:t>Componentes</w:t>
            </w:r>
          </w:p>
        </w:tc>
        <w:tc>
          <w:tcPr>
            <w:tcW w:w="2359" w:type="dxa"/>
            <w:tcBorders>
              <w:top w:val="nil"/>
              <w:left w:val="nil"/>
              <w:bottom w:val="nil"/>
              <w:right w:val="single" w:sz="8" w:space="0" w:color="FFFFFF"/>
            </w:tcBorders>
            <w:shd w:val="clear" w:color="000000" w:fill="4F81BD"/>
            <w:vAlign w:val="center"/>
            <w:hideMark/>
          </w:tcPr>
          <w:p w:rsidR="00FC7F0E" w:rsidRPr="000107F2" w:rsidRDefault="00FC7F0E" w:rsidP="00FC7F0E">
            <w:pPr>
              <w:spacing w:after="0" w:line="240" w:lineRule="auto"/>
              <w:jc w:val="center"/>
              <w:rPr>
                <w:rFonts w:ascii="Verdana" w:eastAsia="Times New Roman" w:hAnsi="Verdana" w:cs="Times New Roman"/>
                <w:b/>
                <w:bCs/>
                <w:color w:val="FFFFFF"/>
                <w:sz w:val="18"/>
                <w:szCs w:val="18"/>
                <w:lang w:eastAsia="es-CO"/>
              </w:rPr>
            </w:pPr>
            <w:r w:rsidRPr="000107F2">
              <w:rPr>
                <w:rFonts w:ascii="Verdana" w:eastAsia="Times New Roman" w:hAnsi="Verdana" w:cs="Times New Roman"/>
                <w:b/>
                <w:bCs/>
                <w:color w:val="FFFFFF"/>
                <w:sz w:val="18"/>
                <w:szCs w:val="18"/>
                <w:lang w:eastAsia="es-CO"/>
              </w:rPr>
              <w:t>Requisitos</w:t>
            </w:r>
          </w:p>
        </w:tc>
        <w:tc>
          <w:tcPr>
            <w:tcW w:w="1995" w:type="dxa"/>
            <w:tcBorders>
              <w:top w:val="nil"/>
              <w:left w:val="nil"/>
              <w:bottom w:val="single" w:sz="12" w:space="0" w:color="FFFFFF"/>
              <w:right w:val="single" w:sz="8" w:space="0" w:color="FFFFFF"/>
            </w:tcBorders>
            <w:shd w:val="clear" w:color="000000" w:fill="4F81BD"/>
            <w:vAlign w:val="center"/>
            <w:hideMark/>
          </w:tcPr>
          <w:p w:rsidR="00FC7F0E" w:rsidRPr="000107F2" w:rsidRDefault="00FC7F0E" w:rsidP="00FC7F0E">
            <w:pPr>
              <w:spacing w:after="0" w:line="240" w:lineRule="auto"/>
              <w:jc w:val="center"/>
              <w:rPr>
                <w:rFonts w:ascii="Verdana" w:eastAsia="Times New Roman" w:hAnsi="Verdana" w:cs="Times New Roman"/>
                <w:b/>
                <w:bCs/>
                <w:color w:val="FFFFFF"/>
                <w:sz w:val="18"/>
                <w:szCs w:val="18"/>
                <w:lang w:eastAsia="es-CO"/>
              </w:rPr>
            </w:pPr>
            <w:r w:rsidRPr="000107F2">
              <w:rPr>
                <w:rFonts w:ascii="Verdana" w:eastAsia="Times New Roman" w:hAnsi="Verdana" w:cs="Times New Roman"/>
                <w:b/>
                <w:bCs/>
                <w:color w:val="FFFFFF"/>
                <w:sz w:val="18"/>
                <w:szCs w:val="18"/>
                <w:lang w:eastAsia="es-CO"/>
              </w:rPr>
              <w:t xml:space="preserve"> Avance</w:t>
            </w:r>
          </w:p>
        </w:tc>
        <w:tc>
          <w:tcPr>
            <w:tcW w:w="1526" w:type="dxa"/>
            <w:tcBorders>
              <w:top w:val="nil"/>
              <w:left w:val="nil"/>
              <w:bottom w:val="single" w:sz="12" w:space="0" w:color="FFFFFF"/>
              <w:right w:val="single" w:sz="8" w:space="0" w:color="FFFFFF"/>
            </w:tcBorders>
            <w:shd w:val="clear" w:color="000000" w:fill="4F81BD"/>
            <w:vAlign w:val="center"/>
            <w:hideMark/>
          </w:tcPr>
          <w:p w:rsidR="00FC7F0E" w:rsidRPr="000107F2" w:rsidRDefault="00FC7F0E" w:rsidP="007E04A2">
            <w:pPr>
              <w:spacing w:after="0" w:line="240" w:lineRule="auto"/>
              <w:jc w:val="center"/>
              <w:rPr>
                <w:rFonts w:ascii="Verdana" w:eastAsia="Times New Roman" w:hAnsi="Verdana" w:cs="Times New Roman"/>
                <w:b/>
                <w:bCs/>
                <w:color w:val="FFFFFF"/>
                <w:sz w:val="18"/>
                <w:szCs w:val="18"/>
                <w:lang w:eastAsia="es-CO"/>
              </w:rPr>
            </w:pPr>
            <w:r w:rsidRPr="000107F2">
              <w:rPr>
                <w:rFonts w:ascii="Verdana" w:eastAsia="Times New Roman" w:hAnsi="Verdana" w:cs="Times New Roman"/>
                <w:b/>
                <w:bCs/>
                <w:color w:val="FFFFFF"/>
                <w:sz w:val="18"/>
                <w:szCs w:val="18"/>
                <w:lang w:eastAsia="es-CO"/>
              </w:rPr>
              <w:t>Calificación FURAG 201</w:t>
            </w:r>
            <w:r w:rsidR="007E04A2">
              <w:rPr>
                <w:rFonts w:ascii="Verdana" w:eastAsia="Times New Roman" w:hAnsi="Verdana" w:cs="Times New Roman"/>
                <w:b/>
                <w:bCs/>
                <w:color w:val="FFFFFF"/>
                <w:sz w:val="18"/>
                <w:szCs w:val="18"/>
                <w:lang w:eastAsia="es-CO"/>
              </w:rPr>
              <w:t>3</w:t>
            </w:r>
          </w:p>
        </w:tc>
      </w:tr>
      <w:tr w:rsidR="00FC7F0E" w:rsidRPr="000107F2" w:rsidTr="00FC7F0E">
        <w:trPr>
          <w:trHeight w:val="1904"/>
        </w:trPr>
        <w:tc>
          <w:tcPr>
            <w:tcW w:w="2168" w:type="dxa"/>
            <w:tcBorders>
              <w:top w:val="nil"/>
              <w:left w:val="nil"/>
              <w:bottom w:val="single" w:sz="8" w:space="0" w:color="FFFFFF"/>
              <w:right w:val="nil"/>
            </w:tcBorders>
            <w:shd w:val="clear" w:color="000000" w:fill="DCE6F1"/>
            <w:vAlign w:val="center"/>
            <w:hideMark/>
          </w:tcPr>
          <w:p w:rsidR="00FC7F0E" w:rsidRPr="000107F2" w:rsidRDefault="00FC7F0E" w:rsidP="00FC7F0E">
            <w:pPr>
              <w:spacing w:after="0" w:line="240" w:lineRule="auto"/>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GESTION MISIONAL Y DE GOBIERNO</w:t>
            </w:r>
          </w:p>
        </w:tc>
        <w:tc>
          <w:tcPr>
            <w:tcW w:w="2359" w:type="dxa"/>
            <w:tcBorders>
              <w:top w:val="nil"/>
              <w:left w:val="single" w:sz="8" w:space="0" w:color="FFFFFF"/>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Indicadores</w:t>
            </w:r>
            <w:r w:rsidRPr="000107F2">
              <w:rPr>
                <w:rFonts w:ascii="Verdana" w:eastAsia="Times New Roman" w:hAnsi="Verdana" w:cs="Times New Roman"/>
                <w:color w:val="000000"/>
                <w:sz w:val="18"/>
                <w:szCs w:val="18"/>
                <w:lang w:eastAsia="es-CO"/>
              </w:rPr>
              <w:t xml:space="preserve"> y Metas de Gobierno</w:t>
            </w:r>
          </w:p>
        </w:tc>
        <w:tc>
          <w:tcPr>
            <w:tcW w:w="2359"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Los indicadores y metas que se definen como estratégicos son incluidos en el Sistema de Seguimiento a Metas de Gobierno, para su monitoreo permanente por parte de la Presidencia de la República y del Departamento Nacional de Planeación.</w:t>
            </w:r>
          </w:p>
        </w:tc>
        <w:tc>
          <w:tcPr>
            <w:tcW w:w="1995"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Seguimiento al 100% de las metas consignados en el tablero de indicadores SISMEG</w:t>
            </w:r>
          </w:p>
        </w:tc>
        <w:tc>
          <w:tcPr>
            <w:tcW w:w="1526"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100%</w:t>
            </w:r>
          </w:p>
        </w:tc>
      </w:tr>
      <w:tr w:rsidR="00FC7F0E" w:rsidRPr="000107F2" w:rsidTr="00FC7F0E">
        <w:trPr>
          <w:trHeight w:val="1056"/>
        </w:trPr>
        <w:tc>
          <w:tcPr>
            <w:tcW w:w="2168" w:type="dxa"/>
            <w:vMerge w:val="restart"/>
            <w:tcBorders>
              <w:top w:val="nil"/>
              <w:left w:val="single" w:sz="8" w:space="0" w:color="FFFFFF"/>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TRANSPARENCIA, PARTICIPACION Y SERVICIO AL CIUDADANO (62%)</w:t>
            </w:r>
          </w:p>
        </w:tc>
        <w:tc>
          <w:tcPr>
            <w:tcW w:w="2359"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 xml:space="preserve">Plan </w:t>
            </w:r>
            <w:r w:rsidRPr="00021B2F">
              <w:rPr>
                <w:rFonts w:ascii="Verdana" w:eastAsia="Times New Roman" w:hAnsi="Verdana" w:cs="Times New Roman"/>
                <w:color w:val="000000"/>
                <w:sz w:val="18"/>
                <w:szCs w:val="18"/>
                <w:lang w:eastAsia="es-CO"/>
              </w:rPr>
              <w:t>Anticorrupción</w:t>
            </w:r>
            <w:r w:rsidRPr="000107F2">
              <w:rPr>
                <w:rFonts w:ascii="Verdana" w:eastAsia="Times New Roman" w:hAnsi="Verdana" w:cs="Times New Roman"/>
                <w:color w:val="000000"/>
                <w:sz w:val="18"/>
                <w:szCs w:val="18"/>
                <w:lang w:eastAsia="es-CO"/>
              </w:rPr>
              <w:t xml:space="preserve"> y de Atención al </w:t>
            </w:r>
            <w:r w:rsidRPr="00021B2F">
              <w:rPr>
                <w:rFonts w:ascii="Verdana" w:eastAsia="Times New Roman" w:hAnsi="Verdana" w:cs="Times New Roman"/>
                <w:color w:val="000000"/>
                <w:sz w:val="18"/>
                <w:szCs w:val="18"/>
                <w:lang w:eastAsia="es-CO"/>
              </w:rPr>
              <w:t>Ciudadano</w:t>
            </w:r>
          </w:p>
        </w:tc>
        <w:tc>
          <w:tcPr>
            <w:tcW w:w="2359"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Formulación</w:t>
            </w:r>
            <w:r w:rsidRPr="000107F2">
              <w:rPr>
                <w:rFonts w:ascii="Verdana" w:eastAsia="Times New Roman" w:hAnsi="Verdana" w:cs="Times New Roman"/>
                <w:color w:val="000000"/>
                <w:sz w:val="18"/>
                <w:szCs w:val="18"/>
                <w:lang w:eastAsia="es-CO"/>
              </w:rPr>
              <w:t xml:space="preserve"> del Plan</w:t>
            </w:r>
          </w:p>
        </w:tc>
        <w:tc>
          <w:tcPr>
            <w:tcW w:w="1995"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 xml:space="preserve">El Plan se elaboró y se publicó en la Página web de la Agencia. Se realizó el seguimiento </w:t>
            </w:r>
            <w:r w:rsidRPr="000107F2">
              <w:rPr>
                <w:rFonts w:ascii="Verdana" w:eastAsia="Times New Roman" w:hAnsi="Verdana" w:cs="Times New Roman"/>
                <w:color w:val="000000"/>
                <w:sz w:val="18"/>
                <w:szCs w:val="18"/>
                <w:lang w:eastAsia="es-CO"/>
              </w:rPr>
              <w:lastRenderedPageBreak/>
              <w:t>correspondiente</w:t>
            </w:r>
          </w:p>
        </w:tc>
        <w:tc>
          <w:tcPr>
            <w:tcW w:w="1526"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lastRenderedPageBreak/>
              <w:t>86%</w:t>
            </w:r>
          </w:p>
        </w:tc>
      </w:tr>
      <w:tr w:rsidR="00FC7F0E" w:rsidRPr="000107F2" w:rsidTr="00FC7F0E">
        <w:trPr>
          <w:trHeight w:val="1890"/>
        </w:trPr>
        <w:tc>
          <w:tcPr>
            <w:tcW w:w="2168" w:type="dxa"/>
            <w:vMerge/>
            <w:tcBorders>
              <w:top w:val="nil"/>
              <w:left w:val="single" w:sz="8" w:space="0" w:color="FFFFFF"/>
              <w:bottom w:val="single" w:sz="8" w:space="0" w:color="FFFFFF"/>
              <w:right w:val="single" w:sz="8" w:space="0" w:color="FFFFFF"/>
            </w:tcBorders>
            <w:vAlign w:val="center"/>
            <w:hideMark/>
          </w:tcPr>
          <w:p w:rsidR="00FC7F0E" w:rsidRPr="000107F2" w:rsidRDefault="00FC7F0E" w:rsidP="00FC7F0E">
            <w:pPr>
              <w:spacing w:after="0" w:line="240" w:lineRule="auto"/>
              <w:rPr>
                <w:rFonts w:ascii="Verdana" w:eastAsia="Times New Roman" w:hAnsi="Verdana" w:cs="Times New Roman"/>
                <w:color w:val="000000"/>
                <w:sz w:val="18"/>
                <w:szCs w:val="18"/>
                <w:lang w:eastAsia="es-CO"/>
              </w:rPr>
            </w:pPr>
          </w:p>
        </w:tc>
        <w:tc>
          <w:tcPr>
            <w:tcW w:w="2359"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Transparencia y Acceso a la información Pública</w:t>
            </w:r>
          </w:p>
        </w:tc>
        <w:tc>
          <w:tcPr>
            <w:tcW w:w="2359"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 xml:space="preserve">Disponer de sistemas de información efectivos que garanticen al ciudadano un fácil acceso a la información </w:t>
            </w:r>
          </w:p>
        </w:tc>
        <w:tc>
          <w:tcPr>
            <w:tcW w:w="1995"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L</w:t>
            </w:r>
            <w:r w:rsidRPr="00021B2F">
              <w:rPr>
                <w:rFonts w:ascii="Verdana" w:eastAsia="Times New Roman" w:hAnsi="Verdana" w:cs="Times New Roman"/>
                <w:color w:val="000000"/>
                <w:sz w:val="18"/>
                <w:szCs w:val="18"/>
                <w:lang w:eastAsia="es-CO"/>
              </w:rPr>
              <w:t>a Agencia permanentemente actualiza</w:t>
            </w:r>
            <w:r w:rsidRPr="000107F2">
              <w:rPr>
                <w:rFonts w:ascii="Verdana" w:eastAsia="Times New Roman" w:hAnsi="Verdana" w:cs="Times New Roman"/>
                <w:color w:val="000000"/>
                <w:sz w:val="18"/>
                <w:szCs w:val="18"/>
                <w:lang w:eastAsia="es-CO"/>
              </w:rPr>
              <w:t xml:space="preserve"> su información de interés en la página web. Publica conjuntos de Datos Abiertos. Hace públicos sus </w:t>
            </w:r>
            <w:r w:rsidRPr="00021B2F">
              <w:rPr>
                <w:rFonts w:ascii="Verdana" w:eastAsia="Times New Roman" w:hAnsi="Verdana" w:cs="Times New Roman"/>
                <w:color w:val="000000"/>
                <w:sz w:val="18"/>
                <w:szCs w:val="18"/>
                <w:lang w:eastAsia="es-CO"/>
              </w:rPr>
              <w:t>procesos</w:t>
            </w:r>
            <w:r w:rsidRPr="000107F2">
              <w:rPr>
                <w:rFonts w:ascii="Verdana" w:eastAsia="Times New Roman" w:hAnsi="Verdana" w:cs="Times New Roman"/>
                <w:color w:val="000000"/>
                <w:sz w:val="18"/>
                <w:szCs w:val="18"/>
                <w:lang w:eastAsia="es-CO"/>
              </w:rPr>
              <w:t xml:space="preserve"> de contratación</w:t>
            </w:r>
          </w:p>
        </w:tc>
        <w:tc>
          <w:tcPr>
            <w:tcW w:w="1526"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85%</w:t>
            </w:r>
          </w:p>
        </w:tc>
      </w:tr>
      <w:tr w:rsidR="00FC7F0E" w:rsidRPr="000107F2" w:rsidTr="00FC7F0E">
        <w:trPr>
          <w:trHeight w:val="1264"/>
        </w:trPr>
        <w:tc>
          <w:tcPr>
            <w:tcW w:w="2168" w:type="dxa"/>
            <w:vMerge/>
            <w:tcBorders>
              <w:top w:val="nil"/>
              <w:left w:val="single" w:sz="8" w:space="0" w:color="FFFFFF"/>
              <w:bottom w:val="single" w:sz="8" w:space="0" w:color="FFFFFF"/>
              <w:right w:val="single" w:sz="8" w:space="0" w:color="FFFFFF"/>
            </w:tcBorders>
            <w:vAlign w:val="center"/>
            <w:hideMark/>
          </w:tcPr>
          <w:p w:rsidR="00FC7F0E" w:rsidRPr="000107F2" w:rsidRDefault="00FC7F0E" w:rsidP="00FC7F0E">
            <w:pPr>
              <w:spacing w:after="0" w:line="240" w:lineRule="auto"/>
              <w:rPr>
                <w:rFonts w:ascii="Verdana" w:eastAsia="Times New Roman" w:hAnsi="Verdana" w:cs="Times New Roman"/>
                <w:color w:val="000000"/>
                <w:sz w:val="18"/>
                <w:szCs w:val="18"/>
                <w:lang w:eastAsia="es-CO"/>
              </w:rPr>
            </w:pPr>
          </w:p>
        </w:tc>
        <w:tc>
          <w:tcPr>
            <w:tcW w:w="2359"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Participación</w:t>
            </w:r>
            <w:r w:rsidRPr="000107F2">
              <w:rPr>
                <w:rFonts w:ascii="Verdana" w:eastAsia="Times New Roman" w:hAnsi="Verdana" w:cs="Times New Roman"/>
                <w:color w:val="000000"/>
                <w:sz w:val="18"/>
                <w:szCs w:val="18"/>
                <w:lang w:eastAsia="es-CO"/>
              </w:rPr>
              <w:t xml:space="preserve"> Ciudadana en la </w:t>
            </w:r>
            <w:r w:rsidRPr="00021B2F">
              <w:rPr>
                <w:rFonts w:ascii="Verdana" w:eastAsia="Times New Roman" w:hAnsi="Verdana" w:cs="Times New Roman"/>
                <w:color w:val="000000"/>
                <w:sz w:val="18"/>
                <w:szCs w:val="18"/>
                <w:lang w:eastAsia="es-CO"/>
              </w:rPr>
              <w:t>Gestión</w:t>
            </w:r>
          </w:p>
        </w:tc>
        <w:tc>
          <w:tcPr>
            <w:tcW w:w="2359"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Identificación del nivel de particip</w:t>
            </w:r>
            <w:r w:rsidRPr="00021B2F">
              <w:rPr>
                <w:rFonts w:ascii="Verdana" w:eastAsia="Times New Roman" w:hAnsi="Verdana" w:cs="Times New Roman"/>
                <w:color w:val="000000"/>
                <w:sz w:val="18"/>
                <w:szCs w:val="18"/>
                <w:lang w:eastAsia="es-CO"/>
              </w:rPr>
              <w:t>ación ciudadana en la gestión d</w:t>
            </w:r>
            <w:r w:rsidRPr="000107F2">
              <w:rPr>
                <w:rFonts w:ascii="Verdana" w:eastAsia="Times New Roman" w:hAnsi="Verdana" w:cs="Times New Roman"/>
                <w:color w:val="000000"/>
                <w:sz w:val="18"/>
                <w:szCs w:val="18"/>
                <w:lang w:eastAsia="es-CO"/>
              </w:rPr>
              <w:t>e</w:t>
            </w:r>
            <w:r w:rsidRPr="00021B2F">
              <w:rPr>
                <w:rFonts w:ascii="Verdana" w:eastAsia="Times New Roman" w:hAnsi="Verdana" w:cs="Times New Roman"/>
                <w:color w:val="000000"/>
                <w:sz w:val="18"/>
                <w:szCs w:val="18"/>
                <w:lang w:eastAsia="es-CO"/>
              </w:rPr>
              <w:t xml:space="preserve"> </w:t>
            </w:r>
            <w:r w:rsidRPr="000107F2">
              <w:rPr>
                <w:rFonts w:ascii="Verdana" w:eastAsia="Times New Roman" w:hAnsi="Verdana" w:cs="Times New Roman"/>
                <w:color w:val="000000"/>
                <w:sz w:val="18"/>
                <w:szCs w:val="18"/>
                <w:lang w:eastAsia="es-CO"/>
              </w:rPr>
              <w:t>la Entidad. Formulación participativa de las políticas públicas, planes y programas institucionales</w:t>
            </w:r>
          </w:p>
        </w:tc>
        <w:tc>
          <w:tcPr>
            <w:tcW w:w="1995"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Participación</w:t>
            </w:r>
            <w:r w:rsidRPr="000107F2">
              <w:rPr>
                <w:rFonts w:ascii="Verdana" w:eastAsia="Times New Roman" w:hAnsi="Verdana" w:cs="Times New Roman"/>
                <w:color w:val="000000"/>
                <w:sz w:val="18"/>
                <w:szCs w:val="18"/>
                <w:lang w:eastAsia="es-CO"/>
              </w:rPr>
              <w:t xml:space="preserve"> de la Anspe en Ferias de Servicio al Ciudadano </w:t>
            </w:r>
          </w:p>
        </w:tc>
        <w:tc>
          <w:tcPr>
            <w:tcW w:w="1526"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31%</w:t>
            </w:r>
          </w:p>
        </w:tc>
      </w:tr>
      <w:tr w:rsidR="00FC7F0E" w:rsidRPr="000107F2" w:rsidTr="00FC7F0E">
        <w:trPr>
          <w:trHeight w:val="1473"/>
        </w:trPr>
        <w:tc>
          <w:tcPr>
            <w:tcW w:w="2168" w:type="dxa"/>
            <w:vMerge/>
            <w:tcBorders>
              <w:top w:val="nil"/>
              <w:left w:val="single" w:sz="8" w:space="0" w:color="FFFFFF"/>
              <w:bottom w:val="single" w:sz="8" w:space="0" w:color="FFFFFF"/>
              <w:right w:val="single" w:sz="8" w:space="0" w:color="FFFFFF"/>
            </w:tcBorders>
            <w:vAlign w:val="center"/>
            <w:hideMark/>
          </w:tcPr>
          <w:p w:rsidR="00FC7F0E" w:rsidRPr="000107F2" w:rsidRDefault="00FC7F0E" w:rsidP="00FC7F0E">
            <w:pPr>
              <w:spacing w:after="0" w:line="240" w:lineRule="auto"/>
              <w:rPr>
                <w:rFonts w:ascii="Verdana" w:eastAsia="Times New Roman" w:hAnsi="Verdana" w:cs="Times New Roman"/>
                <w:color w:val="000000"/>
                <w:sz w:val="18"/>
                <w:szCs w:val="18"/>
                <w:lang w:eastAsia="es-CO"/>
              </w:rPr>
            </w:pPr>
          </w:p>
        </w:tc>
        <w:tc>
          <w:tcPr>
            <w:tcW w:w="2359"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Rendición de Cuentas</w:t>
            </w:r>
          </w:p>
        </w:tc>
        <w:tc>
          <w:tcPr>
            <w:tcW w:w="2359"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La rendición de cuentas es una expresión de control social que comprende acciones de petición de información y explicaciones, así como la evaluación de la gestión</w:t>
            </w:r>
          </w:p>
        </w:tc>
        <w:tc>
          <w:tcPr>
            <w:tcW w:w="1995"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 xml:space="preserve">Formulación de la Estrategia de Rendición de Cuentas a la </w:t>
            </w:r>
            <w:r w:rsidRPr="00021B2F">
              <w:rPr>
                <w:rFonts w:ascii="Verdana" w:eastAsia="Times New Roman" w:hAnsi="Verdana" w:cs="Times New Roman"/>
                <w:color w:val="000000"/>
                <w:sz w:val="18"/>
                <w:szCs w:val="18"/>
                <w:lang w:eastAsia="es-CO"/>
              </w:rPr>
              <w:t>ciudadanos</w:t>
            </w:r>
          </w:p>
        </w:tc>
        <w:tc>
          <w:tcPr>
            <w:tcW w:w="1526"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50%</w:t>
            </w:r>
          </w:p>
        </w:tc>
      </w:tr>
      <w:tr w:rsidR="00FC7F0E" w:rsidRPr="000107F2" w:rsidTr="00FC7F0E">
        <w:trPr>
          <w:trHeight w:val="1056"/>
        </w:trPr>
        <w:tc>
          <w:tcPr>
            <w:tcW w:w="2168" w:type="dxa"/>
            <w:vMerge/>
            <w:tcBorders>
              <w:top w:val="nil"/>
              <w:left w:val="single" w:sz="8" w:space="0" w:color="FFFFFF"/>
              <w:bottom w:val="single" w:sz="8" w:space="0" w:color="FFFFFF"/>
              <w:right w:val="single" w:sz="8" w:space="0" w:color="FFFFFF"/>
            </w:tcBorders>
            <w:vAlign w:val="center"/>
            <w:hideMark/>
          </w:tcPr>
          <w:p w:rsidR="00FC7F0E" w:rsidRPr="000107F2" w:rsidRDefault="00FC7F0E" w:rsidP="00FC7F0E">
            <w:pPr>
              <w:spacing w:after="0" w:line="240" w:lineRule="auto"/>
              <w:rPr>
                <w:rFonts w:ascii="Verdana" w:eastAsia="Times New Roman" w:hAnsi="Verdana" w:cs="Times New Roman"/>
                <w:color w:val="000000"/>
                <w:sz w:val="18"/>
                <w:szCs w:val="18"/>
                <w:lang w:eastAsia="es-CO"/>
              </w:rPr>
            </w:pPr>
          </w:p>
        </w:tc>
        <w:tc>
          <w:tcPr>
            <w:tcW w:w="2359"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Servicio al Ciudadano</w:t>
            </w:r>
          </w:p>
        </w:tc>
        <w:tc>
          <w:tcPr>
            <w:tcW w:w="2359"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Acceso del ciudadano, por diferentes canales, a la información de la entidad</w:t>
            </w:r>
          </w:p>
        </w:tc>
        <w:tc>
          <w:tcPr>
            <w:tcW w:w="1995"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Publicación de toda información que da cuenta de la gestión de la Agencia en la página web</w:t>
            </w:r>
          </w:p>
        </w:tc>
        <w:tc>
          <w:tcPr>
            <w:tcW w:w="1526"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59%</w:t>
            </w:r>
          </w:p>
        </w:tc>
      </w:tr>
      <w:tr w:rsidR="00FC7F0E" w:rsidRPr="000107F2" w:rsidTr="00FC7F0E">
        <w:trPr>
          <w:trHeight w:val="1473"/>
        </w:trPr>
        <w:tc>
          <w:tcPr>
            <w:tcW w:w="2168" w:type="dxa"/>
            <w:vMerge w:val="restart"/>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GESTION DEL TALENTO HUMANO (43%)</w:t>
            </w:r>
          </w:p>
        </w:tc>
        <w:tc>
          <w:tcPr>
            <w:tcW w:w="2359" w:type="dxa"/>
            <w:tcBorders>
              <w:top w:val="nil"/>
              <w:left w:val="nil"/>
              <w:bottom w:val="single" w:sz="8" w:space="0" w:color="FFFFFF"/>
              <w:right w:val="single" w:sz="8" w:space="0" w:color="FFFFFF"/>
            </w:tcBorders>
            <w:shd w:val="clear" w:color="000000" w:fill="DBE5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Plan Estratégico de Recurso Humano</w:t>
            </w:r>
          </w:p>
        </w:tc>
        <w:tc>
          <w:tcPr>
            <w:tcW w:w="2359" w:type="dxa"/>
            <w:tcBorders>
              <w:top w:val="nil"/>
              <w:left w:val="nil"/>
              <w:bottom w:val="single" w:sz="8" w:space="0" w:color="FFFFFF"/>
              <w:right w:val="single" w:sz="8" w:space="0" w:color="FFFFFF"/>
            </w:tcBorders>
            <w:shd w:val="clear" w:color="000000" w:fill="DBE5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Conjunto de prioridades o finalidades básicas que orientan las políticas y prácticas de gestión de Recursos Humanos, para ponerlas al servicio de la estrategia organizativa</w:t>
            </w:r>
          </w:p>
        </w:tc>
        <w:tc>
          <w:tcPr>
            <w:tcW w:w="1995" w:type="dxa"/>
            <w:tcBorders>
              <w:top w:val="nil"/>
              <w:left w:val="nil"/>
              <w:bottom w:val="single" w:sz="8" w:space="0" w:color="FFFFFF"/>
              <w:right w:val="single" w:sz="8" w:space="0" w:color="FFFFFF"/>
            </w:tcBorders>
            <w:shd w:val="clear" w:color="000000" w:fill="DBE5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Implementación de los módulos SIGEP habilitados</w:t>
            </w:r>
          </w:p>
        </w:tc>
        <w:tc>
          <w:tcPr>
            <w:tcW w:w="1526" w:type="dxa"/>
            <w:tcBorders>
              <w:top w:val="nil"/>
              <w:left w:val="nil"/>
              <w:bottom w:val="single" w:sz="8" w:space="0" w:color="FFFFFF"/>
              <w:right w:val="single" w:sz="8" w:space="0" w:color="FFFFFF"/>
            </w:tcBorders>
            <w:shd w:val="clear" w:color="000000" w:fill="DBE5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83%</w:t>
            </w:r>
          </w:p>
        </w:tc>
      </w:tr>
      <w:tr w:rsidR="00FC7F0E" w:rsidRPr="000107F2" w:rsidTr="00FC7F0E">
        <w:trPr>
          <w:trHeight w:val="639"/>
        </w:trPr>
        <w:tc>
          <w:tcPr>
            <w:tcW w:w="2168" w:type="dxa"/>
            <w:vMerge/>
            <w:tcBorders>
              <w:top w:val="nil"/>
              <w:left w:val="nil"/>
              <w:bottom w:val="single" w:sz="8" w:space="0" w:color="FFFFFF"/>
              <w:right w:val="single" w:sz="8" w:space="0" w:color="FFFFFF"/>
            </w:tcBorders>
            <w:vAlign w:val="center"/>
            <w:hideMark/>
          </w:tcPr>
          <w:p w:rsidR="00FC7F0E" w:rsidRPr="000107F2" w:rsidRDefault="00FC7F0E" w:rsidP="00FC7F0E">
            <w:pPr>
              <w:spacing w:after="0" w:line="240" w:lineRule="auto"/>
              <w:rPr>
                <w:rFonts w:ascii="Verdana" w:eastAsia="Times New Roman" w:hAnsi="Verdana" w:cs="Times New Roman"/>
                <w:color w:val="000000"/>
                <w:sz w:val="18"/>
                <w:szCs w:val="18"/>
                <w:lang w:eastAsia="es-CO"/>
              </w:rPr>
            </w:pPr>
          </w:p>
        </w:tc>
        <w:tc>
          <w:tcPr>
            <w:tcW w:w="2359"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Plan  Anual de Vacantes</w:t>
            </w:r>
          </w:p>
        </w:tc>
        <w:tc>
          <w:tcPr>
            <w:tcW w:w="2359"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Formulación del Plan</w:t>
            </w:r>
          </w:p>
        </w:tc>
        <w:tc>
          <w:tcPr>
            <w:tcW w:w="1995"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El Plan se elaboró y se remitió a las instancias pertinentes</w:t>
            </w:r>
          </w:p>
        </w:tc>
        <w:tc>
          <w:tcPr>
            <w:tcW w:w="1526"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0%</w:t>
            </w:r>
          </w:p>
        </w:tc>
      </w:tr>
      <w:tr w:rsidR="00FC7F0E" w:rsidRPr="000107F2" w:rsidTr="00FC7F0E">
        <w:trPr>
          <w:trHeight w:val="1056"/>
        </w:trPr>
        <w:tc>
          <w:tcPr>
            <w:tcW w:w="2168" w:type="dxa"/>
            <w:vMerge/>
            <w:tcBorders>
              <w:top w:val="nil"/>
              <w:left w:val="nil"/>
              <w:bottom w:val="single" w:sz="8" w:space="0" w:color="FFFFFF"/>
              <w:right w:val="single" w:sz="8" w:space="0" w:color="FFFFFF"/>
            </w:tcBorders>
            <w:vAlign w:val="center"/>
            <w:hideMark/>
          </w:tcPr>
          <w:p w:rsidR="00FC7F0E" w:rsidRPr="000107F2" w:rsidRDefault="00FC7F0E" w:rsidP="00FC7F0E">
            <w:pPr>
              <w:spacing w:after="0" w:line="240" w:lineRule="auto"/>
              <w:rPr>
                <w:rFonts w:ascii="Verdana" w:eastAsia="Times New Roman" w:hAnsi="Verdana" w:cs="Times New Roman"/>
                <w:color w:val="000000"/>
                <w:sz w:val="18"/>
                <w:szCs w:val="18"/>
                <w:lang w:eastAsia="es-CO"/>
              </w:rPr>
            </w:pPr>
          </w:p>
        </w:tc>
        <w:tc>
          <w:tcPr>
            <w:tcW w:w="2359"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Capacitación</w:t>
            </w:r>
          </w:p>
        </w:tc>
        <w:tc>
          <w:tcPr>
            <w:tcW w:w="2359"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Formulación del Plan</w:t>
            </w:r>
          </w:p>
        </w:tc>
        <w:tc>
          <w:tcPr>
            <w:tcW w:w="1995"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La totalidad de funcionarios de la Planta Global de la Agencia se encuentran nombrados con carácter provisional.</w:t>
            </w:r>
          </w:p>
        </w:tc>
        <w:tc>
          <w:tcPr>
            <w:tcW w:w="1526"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18%</w:t>
            </w:r>
          </w:p>
        </w:tc>
      </w:tr>
      <w:tr w:rsidR="00FC7F0E" w:rsidRPr="000107F2" w:rsidTr="00FC7F0E">
        <w:trPr>
          <w:trHeight w:val="1056"/>
        </w:trPr>
        <w:tc>
          <w:tcPr>
            <w:tcW w:w="2168" w:type="dxa"/>
            <w:vMerge/>
            <w:tcBorders>
              <w:top w:val="nil"/>
              <w:left w:val="nil"/>
              <w:bottom w:val="single" w:sz="8" w:space="0" w:color="FFFFFF"/>
              <w:right w:val="single" w:sz="8" w:space="0" w:color="FFFFFF"/>
            </w:tcBorders>
            <w:vAlign w:val="center"/>
            <w:hideMark/>
          </w:tcPr>
          <w:p w:rsidR="00FC7F0E" w:rsidRPr="000107F2" w:rsidRDefault="00FC7F0E" w:rsidP="00FC7F0E">
            <w:pPr>
              <w:spacing w:after="0" w:line="240" w:lineRule="auto"/>
              <w:rPr>
                <w:rFonts w:ascii="Verdana" w:eastAsia="Times New Roman" w:hAnsi="Verdana" w:cs="Times New Roman"/>
                <w:color w:val="000000"/>
                <w:sz w:val="18"/>
                <w:szCs w:val="18"/>
                <w:lang w:eastAsia="es-CO"/>
              </w:rPr>
            </w:pPr>
          </w:p>
        </w:tc>
        <w:tc>
          <w:tcPr>
            <w:tcW w:w="2359"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Bienestar e Incentivos</w:t>
            </w:r>
          </w:p>
        </w:tc>
        <w:tc>
          <w:tcPr>
            <w:tcW w:w="2359"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Formulación del Programa</w:t>
            </w:r>
          </w:p>
        </w:tc>
        <w:tc>
          <w:tcPr>
            <w:tcW w:w="1995"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La totalidad de funcionarios de la Planta Global de la Agencia se encuentran nombrados con carácter provisiona</w:t>
            </w:r>
          </w:p>
        </w:tc>
        <w:tc>
          <w:tcPr>
            <w:tcW w:w="1526"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71%</w:t>
            </w:r>
          </w:p>
        </w:tc>
      </w:tr>
      <w:tr w:rsidR="00FC7F0E" w:rsidRPr="000107F2" w:rsidTr="00FC7F0E">
        <w:trPr>
          <w:trHeight w:val="2098"/>
        </w:trPr>
        <w:tc>
          <w:tcPr>
            <w:tcW w:w="2168" w:type="dxa"/>
            <w:vMerge w:val="restart"/>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EFICIENCIA ADMINISTRATIVA (48%)</w:t>
            </w:r>
          </w:p>
        </w:tc>
        <w:tc>
          <w:tcPr>
            <w:tcW w:w="2359"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Gestión de Calidad</w:t>
            </w:r>
          </w:p>
        </w:tc>
        <w:tc>
          <w:tcPr>
            <w:tcW w:w="2359"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Implementar un Sistema de Gestión de la Calidad con base en las orientaciones contenidas en la NTCGP 1000:2009 con el fin de adoptar un enfoque basado en procesos, donde el cliente o usuario sean el punto de partida para la definición de los mismos.</w:t>
            </w:r>
          </w:p>
        </w:tc>
        <w:tc>
          <w:tcPr>
            <w:tcW w:w="1995"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Implementación del SIGA - Sistema integrado de Gestión de la Agencia para todos los procesos de la Anspe</w:t>
            </w:r>
          </w:p>
        </w:tc>
        <w:tc>
          <w:tcPr>
            <w:tcW w:w="1526"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67%</w:t>
            </w:r>
          </w:p>
        </w:tc>
      </w:tr>
      <w:tr w:rsidR="00FC7F0E" w:rsidRPr="000107F2" w:rsidTr="00FC7F0E">
        <w:trPr>
          <w:trHeight w:val="639"/>
        </w:trPr>
        <w:tc>
          <w:tcPr>
            <w:tcW w:w="2168" w:type="dxa"/>
            <w:vMerge/>
            <w:tcBorders>
              <w:top w:val="nil"/>
              <w:left w:val="nil"/>
              <w:bottom w:val="single" w:sz="8" w:space="0" w:color="FFFFFF"/>
              <w:right w:val="single" w:sz="8" w:space="0" w:color="FFFFFF"/>
            </w:tcBorders>
            <w:vAlign w:val="center"/>
            <w:hideMark/>
          </w:tcPr>
          <w:p w:rsidR="00FC7F0E" w:rsidRPr="000107F2" w:rsidRDefault="00FC7F0E" w:rsidP="00FC7F0E">
            <w:pPr>
              <w:spacing w:after="0" w:line="240" w:lineRule="auto"/>
              <w:rPr>
                <w:rFonts w:ascii="Verdana" w:eastAsia="Times New Roman" w:hAnsi="Verdana" w:cs="Times New Roman"/>
                <w:color w:val="000000"/>
                <w:sz w:val="18"/>
                <w:szCs w:val="18"/>
                <w:lang w:eastAsia="es-CO"/>
              </w:rPr>
            </w:pPr>
          </w:p>
        </w:tc>
        <w:tc>
          <w:tcPr>
            <w:tcW w:w="2359"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Eficiencia Administrativa y Uso Eficiente del papel</w:t>
            </w:r>
          </w:p>
        </w:tc>
        <w:tc>
          <w:tcPr>
            <w:tcW w:w="2359"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 xml:space="preserve">Automatización de procesos </w:t>
            </w:r>
            <w:r w:rsidRPr="00021B2F">
              <w:rPr>
                <w:rFonts w:ascii="Verdana" w:eastAsia="Times New Roman" w:hAnsi="Verdana" w:cs="Times New Roman"/>
                <w:color w:val="000000"/>
                <w:sz w:val="18"/>
                <w:szCs w:val="18"/>
                <w:lang w:eastAsia="es-CO"/>
              </w:rPr>
              <w:t>críticos</w:t>
            </w:r>
            <w:r w:rsidRPr="000107F2">
              <w:rPr>
                <w:rFonts w:ascii="Verdana" w:eastAsia="Times New Roman" w:hAnsi="Verdana" w:cs="Times New Roman"/>
                <w:color w:val="000000"/>
                <w:sz w:val="18"/>
                <w:szCs w:val="18"/>
                <w:lang w:eastAsia="es-CO"/>
              </w:rPr>
              <w:t xml:space="preserve"> para la revisión de documentación</w:t>
            </w:r>
          </w:p>
        </w:tc>
        <w:tc>
          <w:tcPr>
            <w:tcW w:w="1995"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 xml:space="preserve">Utilización de buenas </w:t>
            </w:r>
            <w:r w:rsidRPr="00021B2F">
              <w:rPr>
                <w:rFonts w:ascii="Verdana" w:eastAsia="Times New Roman" w:hAnsi="Verdana" w:cs="Times New Roman"/>
                <w:color w:val="000000"/>
                <w:sz w:val="18"/>
                <w:szCs w:val="18"/>
                <w:lang w:eastAsia="es-CO"/>
              </w:rPr>
              <w:t>prácticas</w:t>
            </w:r>
            <w:r w:rsidRPr="000107F2">
              <w:rPr>
                <w:rFonts w:ascii="Verdana" w:eastAsia="Times New Roman" w:hAnsi="Verdana" w:cs="Times New Roman"/>
                <w:color w:val="000000"/>
                <w:sz w:val="18"/>
                <w:szCs w:val="18"/>
                <w:lang w:eastAsia="es-CO"/>
              </w:rPr>
              <w:t xml:space="preserve"> para el uso y consumo de papel</w:t>
            </w:r>
          </w:p>
        </w:tc>
        <w:tc>
          <w:tcPr>
            <w:tcW w:w="1526"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39%</w:t>
            </w:r>
          </w:p>
        </w:tc>
      </w:tr>
      <w:tr w:rsidR="00FC7F0E" w:rsidRPr="000107F2" w:rsidTr="00FC7F0E">
        <w:trPr>
          <w:trHeight w:val="1056"/>
        </w:trPr>
        <w:tc>
          <w:tcPr>
            <w:tcW w:w="2168" w:type="dxa"/>
            <w:vMerge/>
            <w:tcBorders>
              <w:top w:val="nil"/>
              <w:left w:val="nil"/>
              <w:bottom w:val="single" w:sz="8" w:space="0" w:color="FFFFFF"/>
              <w:right w:val="single" w:sz="8" w:space="0" w:color="FFFFFF"/>
            </w:tcBorders>
            <w:vAlign w:val="center"/>
            <w:hideMark/>
          </w:tcPr>
          <w:p w:rsidR="00FC7F0E" w:rsidRPr="000107F2" w:rsidRDefault="00FC7F0E" w:rsidP="00FC7F0E">
            <w:pPr>
              <w:spacing w:after="0" w:line="240" w:lineRule="auto"/>
              <w:rPr>
                <w:rFonts w:ascii="Verdana" w:eastAsia="Times New Roman" w:hAnsi="Verdana" w:cs="Times New Roman"/>
                <w:color w:val="000000"/>
                <w:sz w:val="18"/>
                <w:szCs w:val="18"/>
                <w:lang w:eastAsia="es-CO"/>
              </w:rPr>
            </w:pPr>
          </w:p>
        </w:tc>
        <w:tc>
          <w:tcPr>
            <w:tcW w:w="2359"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Racionalización de Trámites</w:t>
            </w:r>
          </w:p>
        </w:tc>
        <w:tc>
          <w:tcPr>
            <w:tcW w:w="2359"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 xml:space="preserve">Inscripción de </w:t>
            </w:r>
            <w:r w:rsidRPr="00021B2F">
              <w:rPr>
                <w:rFonts w:ascii="Verdana" w:eastAsia="Times New Roman" w:hAnsi="Verdana" w:cs="Times New Roman"/>
                <w:color w:val="000000"/>
                <w:sz w:val="18"/>
                <w:szCs w:val="18"/>
                <w:lang w:eastAsia="es-CO"/>
              </w:rPr>
              <w:t>trámites</w:t>
            </w:r>
            <w:r w:rsidRPr="000107F2">
              <w:rPr>
                <w:rFonts w:ascii="Verdana" w:eastAsia="Times New Roman" w:hAnsi="Verdana" w:cs="Times New Roman"/>
                <w:color w:val="000000"/>
                <w:sz w:val="18"/>
                <w:szCs w:val="18"/>
                <w:lang w:eastAsia="es-CO"/>
              </w:rPr>
              <w:t xml:space="preserve"> y otros procedimientos </w:t>
            </w:r>
            <w:r w:rsidRPr="00021B2F">
              <w:rPr>
                <w:rFonts w:ascii="Verdana" w:eastAsia="Times New Roman" w:hAnsi="Verdana" w:cs="Times New Roman"/>
                <w:color w:val="000000"/>
                <w:sz w:val="18"/>
                <w:szCs w:val="18"/>
                <w:lang w:eastAsia="es-CO"/>
              </w:rPr>
              <w:t>administrativos</w:t>
            </w:r>
            <w:r w:rsidRPr="000107F2">
              <w:rPr>
                <w:rFonts w:ascii="Verdana" w:eastAsia="Times New Roman" w:hAnsi="Verdana" w:cs="Times New Roman"/>
                <w:color w:val="000000"/>
                <w:sz w:val="18"/>
                <w:szCs w:val="18"/>
                <w:lang w:eastAsia="es-CO"/>
              </w:rPr>
              <w:t xml:space="preserve"> en el SUIT</w:t>
            </w:r>
          </w:p>
        </w:tc>
        <w:tc>
          <w:tcPr>
            <w:tcW w:w="1995"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La ANSPE no tiene trámites ni otros Procedimientos administrativos para inscribir ante el SUIT</w:t>
            </w:r>
          </w:p>
        </w:tc>
        <w:tc>
          <w:tcPr>
            <w:tcW w:w="1526"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55%</w:t>
            </w:r>
          </w:p>
        </w:tc>
      </w:tr>
      <w:tr w:rsidR="00FC7F0E" w:rsidRPr="000107F2" w:rsidTr="00FC7F0E">
        <w:trPr>
          <w:trHeight w:val="431"/>
        </w:trPr>
        <w:tc>
          <w:tcPr>
            <w:tcW w:w="2168" w:type="dxa"/>
            <w:vMerge/>
            <w:tcBorders>
              <w:top w:val="nil"/>
              <w:left w:val="nil"/>
              <w:bottom w:val="single" w:sz="8" w:space="0" w:color="FFFFFF"/>
              <w:right w:val="single" w:sz="8" w:space="0" w:color="FFFFFF"/>
            </w:tcBorders>
            <w:vAlign w:val="center"/>
            <w:hideMark/>
          </w:tcPr>
          <w:p w:rsidR="00FC7F0E" w:rsidRPr="000107F2" w:rsidRDefault="00FC7F0E" w:rsidP="00FC7F0E">
            <w:pPr>
              <w:spacing w:after="0" w:line="240" w:lineRule="auto"/>
              <w:rPr>
                <w:rFonts w:ascii="Verdana" w:eastAsia="Times New Roman" w:hAnsi="Verdana" w:cs="Times New Roman"/>
                <w:color w:val="000000"/>
                <w:sz w:val="18"/>
                <w:szCs w:val="18"/>
                <w:lang w:eastAsia="es-CO"/>
              </w:rPr>
            </w:pPr>
          </w:p>
        </w:tc>
        <w:tc>
          <w:tcPr>
            <w:tcW w:w="2359"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Gestión de las Tecnologías de la información</w:t>
            </w:r>
          </w:p>
        </w:tc>
        <w:tc>
          <w:tcPr>
            <w:tcW w:w="2359"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 </w:t>
            </w:r>
          </w:p>
        </w:tc>
        <w:tc>
          <w:tcPr>
            <w:tcW w:w="1995"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 </w:t>
            </w:r>
          </w:p>
        </w:tc>
        <w:tc>
          <w:tcPr>
            <w:tcW w:w="1526"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36%</w:t>
            </w:r>
          </w:p>
        </w:tc>
      </w:tr>
      <w:tr w:rsidR="00FC7F0E" w:rsidRPr="000107F2" w:rsidTr="00FC7F0E">
        <w:trPr>
          <w:trHeight w:val="639"/>
        </w:trPr>
        <w:tc>
          <w:tcPr>
            <w:tcW w:w="2168" w:type="dxa"/>
            <w:vMerge/>
            <w:tcBorders>
              <w:top w:val="nil"/>
              <w:left w:val="nil"/>
              <w:bottom w:val="single" w:sz="8" w:space="0" w:color="FFFFFF"/>
              <w:right w:val="single" w:sz="8" w:space="0" w:color="FFFFFF"/>
            </w:tcBorders>
            <w:vAlign w:val="center"/>
            <w:hideMark/>
          </w:tcPr>
          <w:p w:rsidR="00FC7F0E" w:rsidRPr="000107F2" w:rsidRDefault="00FC7F0E" w:rsidP="00FC7F0E">
            <w:pPr>
              <w:spacing w:after="0" w:line="240" w:lineRule="auto"/>
              <w:rPr>
                <w:rFonts w:ascii="Verdana" w:eastAsia="Times New Roman" w:hAnsi="Verdana" w:cs="Times New Roman"/>
                <w:color w:val="000000"/>
                <w:sz w:val="18"/>
                <w:szCs w:val="18"/>
                <w:lang w:eastAsia="es-CO"/>
              </w:rPr>
            </w:pPr>
          </w:p>
        </w:tc>
        <w:tc>
          <w:tcPr>
            <w:tcW w:w="2359"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Gestión Documental</w:t>
            </w:r>
          </w:p>
        </w:tc>
        <w:tc>
          <w:tcPr>
            <w:tcW w:w="2359"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Programa de Gestión Documental</w:t>
            </w:r>
          </w:p>
        </w:tc>
        <w:tc>
          <w:tcPr>
            <w:tcW w:w="1995"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Elaboración e implementación de la TRD</w:t>
            </w:r>
          </w:p>
        </w:tc>
        <w:tc>
          <w:tcPr>
            <w:tcW w:w="1526"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43%</w:t>
            </w:r>
          </w:p>
        </w:tc>
      </w:tr>
      <w:tr w:rsidR="00FC7F0E" w:rsidRPr="000107F2" w:rsidTr="00FC7F0E">
        <w:trPr>
          <w:trHeight w:val="639"/>
        </w:trPr>
        <w:tc>
          <w:tcPr>
            <w:tcW w:w="2168" w:type="dxa"/>
            <w:vMerge w:val="restart"/>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GESTION FINANCIERA (100%)</w:t>
            </w:r>
          </w:p>
        </w:tc>
        <w:tc>
          <w:tcPr>
            <w:tcW w:w="2359"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Programación y Ejecución Presupuestal</w:t>
            </w:r>
          </w:p>
        </w:tc>
        <w:tc>
          <w:tcPr>
            <w:tcW w:w="2359"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Formulación de la Planeación Presupuestal</w:t>
            </w:r>
          </w:p>
        </w:tc>
        <w:tc>
          <w:tcPr>
            <w:tcW w:w="1995"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 xml:space="preserve">Publicación de la Información en la </w:t>
            </w:r>
            <w:r w:rsidRPr="00021B2F">
              <w:rPr>
                <w:rFonts w:ascii="Verdana" w:eastAsia="Times New Roman" w:hAnsi="Verdana" w:cs="Times New Roman"/>
                <w:color w:val="000000"/>
                <w:sz w:val="18"/>
                <w:szCs w:val="18"/>
                <w:lang w:eastAsia="es-CO"/>
              </w:rPr>
              <w:t>página</w:t>
            </w:r>
            <w:r w:rsidRPr="000107F2">
              <w:rPr>
                <w:rFonts w:ascii="Verdana" w:eastAsia="Times New Roman" w:hAnsi="Verdana" w:cs="Times New Roman"/>
                <w:color w:val="000000"/>
                <w:sz w:val="18"/>
                <w:szCs w:val="18"/>
                <w:lang w:eastAsia="es-CO"/>
              </w:rPr>
              <w:t xml:space="preserve"> web</w:t>
            </w:r>
          </w:p>
        </w:tc>
        <w:tc>
          <w:tcPr>
            <w:tcW w:w="1526"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100%</w:t>
            </w:r>
          </w:p>
        </w:tc>
      </w:tr>
      <w:tr w:rsidR="00FC7F0E" w:rsidRPr="000107F2" w:rsidTr="00FC7F0E">
        <w:trPr>
          <w:trHeight w:val="639"/>
        </w:trPr>
        <w:tc>
          <w:tcPr>
            <w:tcW w:w="2168" w:type="dxa"/>
            <w:vMerge/>
            <w:tcBorders>
              <w:top w:val="nil"/>
              <w:left w:val="nil"/>
              <w:bottom w:val="single" w:sz="8" w:space="0" w:color="FFFFFF"/>
              <w:right w:val="single" w:sz="8" w:space="0" w:color="FFFFFF"/>
            </w:tcBorders>
            <w:vAlign w:val="center"/>
            <w:hideMark/>
          </w:tcPr>
          <w:p w:rsidR="00FC7F0E" w:rsidRPr="000107F2" w:rsidRDefault="00FC7F0E" w:rsidP="00FC7F0E">
            <w:pPr>
              <w:spacing w:after="0" w:line="240" w:lineRule="auto"/>
              <w:rPr>
                <w:rFonts w:ascii="Verdana" w:eastAsia="Times New Roman" w:hAnsi="Verdana" w:cs="Times New Roman"/>
                <w:color w:val="000000"/>
                <w:sz w:val="18"/>
                <w:szCs w:val="18"/>
                <w:lang w:eastAsia="es-CO"/>
              </w:rPr>
            </w:pPr>
          </w:p>
        </w:tc>
        <w:tc>
          <w:tcPr>
            <w:tcW w:w="2359"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Plan Anual Mensualizado de Caja</w:t>
            </w:r>
          </w:p>
        </w:tc>
        <w:tc>
          <w:tcPr>
            <w:tcW w:w="2359"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Formulación de la Planeación Presupuestal</w:t>
            </w:r>
          </w:p>
        </w:tc>
        <w:tc>
          <w:tcPr>
            <w:tcW w:w="1995"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 xml:space="preserve">Publicación de la Información en la </w:t>
            </w:r>
            <w:r w:rsidRPr="00021B2F">
              <w:rPr>
                <w:rFonts w:ascii="Verdana" w:eastAsia="Times New Roman" w:hAnsi="Verdana" w:cs="Times New Roman"/>
                <w:color w:val="000000"/>
                <w:sz w:val="18"/>
                <w:szCs w:val="18"/>
                <w:lang w:eastAsia="es-CO"/>
              </w:rPr>
              <w:t>página</w:t>
            </w:r>
            <w:r w:rsidRPr="000107F2">
              <w:rPr>
                <w:rFonts w:ascii="Verdana" w:eastAsia="Times New Roman" w:hAnsi="Verdana" w:cs="Times New Roman"/>
                <w:color w:val="000000"/>
                <w:sz w:val="18"/>
                <w:szCs w:val="18"/>
                <w:lang w:eastAsia="es-CO"/>
              </w:rPr>
              <w:t xml:space="preserve"> web</w:t>
            </w:r>
          </w:p>
        </w:tc>
        <w:tc>
          <w:tcPr>
            <w:tcW w:w="1526"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100%</w:t>
            </w:r>
          </w:p>
        </w:tc>
      </w:tr>
      <w:tr w:rsidR="00FC7F0E" w:rsidRPr="000107F2" w:rsidTr="00FC7F0E">
        <w:trPr>
          <w:trHeight w:val="639"/>
        </w:trPr>
        <w:tc>
          <w:tcPr>
            <w:tcW w:w="2168" w:type="dxa"/>
            <w:vMerge/>
            <w:tcBorders>
              <w:top w:val="nil"/>
              <w:left w:val="nil"/>
              <w:bottom w:val="single" w:sz="8" w:space="0" w:color="FFFFFF"/>
              <w:right w:val="single" w:sz="8" w:space="0" w:color="FFFFFF"/>
            </w:tcBorders>
            <w:vAlign w:val="center"/>
            <w:hideMark/>
          </w:tcPr>
          <w:p w:rsidR="00FC7F0E" w:rsidRPr="000107F2" w:rsidRDefault="00FC7F0E" w:rsidP="00FC7F0E">
            <w:pPr>
              <w:spacing w:after="0" w:line="240" w:lineRule="auto"/>
              <w:rPr>
                <w:rFonts w:ascii="Verdana" w:eastAsia="Times New Roman" w:hAnsi="Verdana" w:cs="Times New Roman"/>
                <w:color w:val="000000"/>
                <w:sz w:val="18"/>
                <w:szCs w:val="18"/>
                <w:lang w:eastAsia="es-CO"/>
              </w:rPr>
            </w:pPr>
          </w:p>
        </w:tc>
        <w:tc>
          <w:tcPr>
            <w:tcW w:w="2359"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Formulación y Seguimiento a Proyectos de Inversión</w:t>
            </w:r>
          </w:p>
        </w:tc>
        <w:tc>
          <w:tcPr>
            <w:tcW w:w="2359"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Formulación de la Planeación Presupuestal</w:t>
            </w:r>
          </w:p>
        </w:tc>
        <w:tc>
          <w:tcPr>
            <w:tcW w:w="1995"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 xml:space="preserve">Publicación de la Información en la </w:t>
            </w:r>
            <w:r w:rsidRPr="00021B2F">
              <w:rPr>
                <w:rFonts w:ascii="Verdana" w:eastAsia="Times New Roman" w:hAnsi="Verdana" w:cs="Times New Roman"/>
                <w:color w:val="000000"/>
                <w:sz w:val="18"/>
                <w:szCs w:val="18"/>
                <w:lang w:eastAsia="es-CO"/>
              </w:rPr>
              <w:t>página</w:t>
            </w:r>
            <w:r w:rsidRPr="000107F2">
              <w:rPr>
                <w:rFonts w:ascii="Verdana" w:eastAsia="Times New Roman" w:hAnsi="Verdana" w:cs="Times New Roman"/>
                <w:color w:val="000000"/>
                <w:sz w:val="18"/>
                <w:szCs w:val="18"/>
                <w:lang w:eastAsia="es-CO"/>
              </w:rPr>
              <w:t xml:space="preserve"> web</w:t>
            </w:r>
          </w:p>
        </w:tc>
        <w:tc>
          <w:tcPr>
            <w:tcW w:w="1526" w:type="dxa"/>
            <w:tcBorders>
              <w:top w:val="nil"/>
              <w:left w:val="nil"/>
              <w:bottom w:val="single" w:sz="8" w:space="0" w:color="FFFFFF"/>
              <w:right w:val="single" w:sz="8" w:space="0" w:color="FFFFFF"/>
            </w:tcBorders>
            <w:shd w:val="clear" w:color="000000" w:fill="DCE6F1"/>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100%</w:t>
            </w:r>
          </w:p>
        </w:tc>
      </w:tr>
      <w:tr w:rsidR="00FC7F0E" w:rsidRPr="000107F2" w:rsidTr="00FC7F0E">
        <w:trPr>
          <w:trHeight w:val="639"/>
        </w:trPr>
        <w:tc>
          <w:tcPr>
            <w:tcW w:w="2168" w:type="dxa"/>
            <w:vMerge/>
            <w:tcBorders>
              <w:top w:val="nil"/>
              <w:left w:val="nil"/>
              <w:bottom w:val="single" w:sz="8" w:space="0" w:color="FFFFFF"/>
              <w:right w:val="single" w:sz="8" w:space="0" w:color="FFFFFF"/>
            </w:tcBorders>
            <w:vAlign w:val="center"/>
            <w:hideMark/>
          </w:tcPr>
          <w:p w:rsidR="00FC7F0E" w:rsidRPr="000107F2" w:rsidRDefault="00FC7F0E" w:rsidP="00FC7F0E">
            <w:pPr>
              <w:spacing w:after="0" w:line="240" w:lineRule="auto"/>
              <w:rPr>
                <w:rFonts w:ascii="Verdana" w:eastAsia="Times New Roman" w:hAnsi="Verdana" w:cs="Times New Roman"/>
                <w:color w:val="000000"/>
                <w:sz w:val="18"/>
                <w:szCs w:val="18"/>
                <w:lang w:eastAsia="es-CO"/>
              </w:rPr>
            </w:pPr>
          </w:p>
        </w:tc>
        <w:tc>
          <w:tcPr>
            <w:tcW w:w="2359"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 xml:space="preserve">Plan Anual de </w:t>
            </w:r>
            <w:r w:rsidRPr="00021B2F">
              <w:rPr>
                <w:rFonts w:ascii="Verdana" w:eastAsia="Times New Roman" w:hAnsi="Verdana" w:cs="Times New Roman"/>
                <w:color w:val="000000"/>
                <w:sz w:val="18"/>
                <w:szCs w:val="18"/>
                <w:lang w:eastAsia="es-CO"/>
              </w:rPr>
              <w:t>Adquisiciones</w:t>
            </w:r>
          </w:p>
        </w:tc>
        <w:tc>
          <w:tcPr>
            <w:tcW w:w="2359"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 xml:space="preserve">Formulación del </w:t>
            </w:r>
            <w:r w:rsidRPr="00021B2F">
              <w:rPr>
                <w:rFonts w:ascii="Verdana" w:eastAsia="Times New Roman" w:hAnsi="Verdana" w:cs="Times New Roman"/>
                <w:color w:val="000000"/>
                <w:sz w:val="18"/>
                <w:szCs w:val="18"/>
                <w:lang w:eastAsia="es-CO"/>
              </w:rPr>
              <w:t>Plan</w:t>
            </w:r>
            <w:r w:rsidRPr="000107F2">
              <w:rPr>
                <w:rFonts w:ascii="Verdana" w:eastAsia="Times New Roman" w:hAnsi="Verdana" w:cs="Times New Roman"/>
                <w:color w:val="000000"/>
                <w:sz w:val="18"/>
                <w:szCs w:val="18"/>
                <w:lang w:eastAsia="es-CO"/>
              </w:rPr>
              <w:t xml:space="preserve"> Anual de Adquisiciones dentro de los </w:t>
            </w:r>
            <w:r w:rsidRPr="00021B2F">
              <w:rPr>
                <w:rFonts w:ascii="Verdana" w:eastAsia="Times New Roman" w:hAnsi="Verdana" w:cs="Times New Roman"/>
                <w:color w:val="000000"/>
                <w:sz w:val="18"/>
                <w:szCs w:val="18"/>
                <w:lang w:eastAsia="es-CO"/>
              </w:rPr>
              <w:t>términos</w:t>
            </w:r>
            <w:r w:rsidRPr="000107F2">
              <w:rPr>
                <w:rFonts w:ascii="Verdana" w:eastAsia="Times New Roman" w:hAnsi="Verdana" w:cs="Times New Roman"/>
                <w:color w:val="000000"/>
                <w:sz w:val="18"/>
                <w:szCs w:val="18"/>
                <w:lang w:eastAsia="es-CO"/>
              </w:rPr>
              <w:t xml:space="preserve"> establecidos</w:t>
            </w:r>
          </w:p>
        </w:tc>
        <w:tc>
          <w:tcPr>
            <w:tcW w:w="1995"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 xml:space="preserve">Publicación de la Información en la </w:t>
            </w:r>
            <w:r w:rsidRPr="00021B2F">
              <w:rPr>
                <w:rFonts w:ascii="Verdana" w:eastAsia="Times New Roman" w:hAnsi="Verdana" w:cs="Times New Roman"/>
                <w:color w:val="000000"/>
                <w:sz w:val="18"/>
                <w:szCs w:val="18"/>
                <w:lang w:eastAsia="es-CO"/>
              </w:rPr>
              <w:t>página</w:t>
            </w:r>
            <w:r w:rsidRPr="000107F2">
              <w:rPr>
                <w:rFonts w:ascii="Verdana" w:eastAsia="Times New Roman" w:hAnsi="Verdana" w:cs="Times New Roman"/>
                <w:color w:val="000000"/>
                <w:sz w:val="18"/>
                <w:szCs w:val="18"/>
                <w:lang w:eastAsia="es-CO"/>
              </w:rPr>
              <w:t xml:space="preserve"> web</w:t>
            </w:r>
          </w:p>
        </w:tc>
        <w:tc>
          <w:tcPr>
            <w:tcW w:w="1526" w:type="dxa"/>
            <w:tcBorders>
              <w:top w:val="nil"/>
              <w:left w:val="nil"/>
              <w:bottom w:val="single" w:sz="8" w:space="0" w:color="FFFFFF"/>
              <w:right w:val="single" w:sz="8" w:space="0" w:color="FFFFFF"/>
            </w:tcBorders>
            <w:shd w:val="clear" w:color="000000" w:fill="B8CCE4"/>
            <w:vAlign w:val="center"/>
            <w:hideMark/>
          </w:tcPr>
          <w:p w:rsidR="00FC7F0E" w:rsidRPr="000107F2" w:rsidRDefault="00FC7F0E" w:rsidP="00FC7F0E">
            <w:pPr>
              <w:spacing w:after="0" w:line="240" w:lineRule="auto"/>
              <w:jc w:val="center"/>
              <w:rPr>
                <w:rFonts w:ascii="Verdana" w:eastAsia="Times New Roman" w:hAnsi="Verdana" w:cs="Times New Roman"/>
                <w:color w:val="000000"/>
                <w:sz w:val="18"/>
                <w:szCs w:val="18"/>
                <w:lang w:eastAsia="es-CO"/>
              </w:rPr>
            </w:pPr>
            <w:r w:rsidRPr="000107F2">
              <w:rPr>
                <w:rFonts w:ascii="Verdana" w:eastAsia="Times New Roman" w:hAnsi="Verdana" w:cs="Times New Roman"/>
                <w:color w:val="000000"/>
                <w:sz w:val="18"/>
                <w:szCs w:val="18"/>
                <w:lang w:eastAsia="es-CO"/>
              </w:rPr>
              <w:t>100%</w:t>
            </w:r>
          </w:p>
        </w:tc>
      </w:tr>
    </w:tbl>
    <w:p w:rsidR="004467BD" w:rsidRPr="00021B2F" w:rsidRDefault="004467BD" w:rsidP="004467BD">
      <w:pPr>
        <w:spacing w:after="0" w:line="240" w:lineRule="auto"/>
        <w:jc w:val="right"/>
        <w:rPr>
          <w:rFonts w:ascii="Verdana" w:hAnsi="Verdana"/>
          <w:b/>
          <w:sz w:val="18"/>
          <w:szCs w:val="18"/>
          <w:lang w:val="es-MX"/>
        </w:rPr>
      </w:pPr>
      <w:r w:rsidRPr="00021B2F">
        <w:rPr>
          <w:rFonts w:ascii="Verdana" w:hAnsi="Verdana"/>
          <w:b/>
          <w:sz w:val="18"/>
          <w:szCs w:val="18"/>
          <w:lang w:val="es-MX"/>
        </w:rPr>
        <w:t xml:space="preserve">Tabla </w:t>
      </w:r>
      <w:r>
        <w:rPr>
          <w:rFonts w:ascii="Verdana" w:hAnsi="Verdana"/>
          <w:b/>
          <w:sz w:val="18"/>
          <w:szCs w:val="18"/>
          <w:lang w:val="es-MX"/>
        </w:rPr>
        <w:t>7.</w:t>
      </w:r>
      <w:r w:rsidRPr="00021B2F">
        <w:rPr>
          <w:rFonts w:ascii="Verdana" w:hAnsi="Verdana"/>
          <w:b/>
          <w:sz w:val="18"/>
          <w:szCs w:val="18"/>
          <w:lang w:val="es-MX"/>
        </w:rPr>
        <w:t xml:space="preserve"> Grado de avance de las Políticas de Desarrollo Administrativo</w:t>
      </w:r>
    </w:p>
    <w:p w:rsidR="00FC7F0E" w:rsidRPr="004467BD" w:rsidRDefault="00FC7F0E" w:rsidP="00FC7F0E">
      <w:pPr>
        <w:pStyle w:val="Prrafodelista"/>
        <w:spacing w:after="0" w:line="240" w:lineRule="auto"/>
        <w:jc w:val="both"/>
        <w:rPr>
          <w:rFonts w:ascii="Verdana" w:hAnsi="Verdana"/>
          <w:sz w:val="24"/>
          <w:szCs w:val="24"/>
          <w:highlight w:val="yellow"/>
          <w:lang w:val="es-MX"/>
        </w:rPr>
      </w:pPr>
    </w:p>
    <w:p w:rsidR="00FC7F0E" w:rsidRPr="00F17D54" w:rsidRDefault="00FC7F0E" w:rsidP="00FC7F0E">
      <w:pPr>
        <w:spacing w:after="0" w:line="240" w:lineRule="auto"/>
        <w:jc w:val="both"/>
        <w:rPr>
          <w:rFonts w:ascii="Verdana" w:hAnsi="Verdana"/>
          <w:sz w:val="24"/>
          <w:szCs w:val="24"/>
          <w:highlight w:val="yellow"/>
        </w:rPr>
      </w:pPr>
    </w:p>
    <w:p w:rsidR="00FC7F0E" w:rsidRPr="00C16A2F" w:rsidRDefault="00071815" w:rsidP="00071815">
      <w:pPr>
        <w:spacing w:after="0" w:line="240" w:lineRule="auto"/>
        <w:jc w:val="both"/>
        <w:rPr>
          <w:rFonts w:ascii="Verdana" w:hAnsi="Verdana"/>
          <w:b/>
          <w:color w:val="548DD4" w:themeColor="text2" w:themeTint="99"/>
          <w:sz w:val="24"/>
          <w:szCs w:val="24"/>
        </w:rPr>
      </w:pPr>
      <w:r w:rsidRPr="00C16A2F">
        <w:rPr>
          <w:rFonts w:ascii="Verdana" w:hAnsi="Verdana"/>
          <w:b/>
          <w:color w:val="548DD4" w:themeColor="text2" w:themeTint="99"/>
          <w:sz w:val="24"/>
          <w:szCs w:val="24"/>
        </w:rPr>
        <w:t xml:space="preserve">METAS E INDICADORES DE GESTIÓN Y/Ó DESEMPEÑO DE ACUERDO CON LO PLANEADO </w:t>
      </w:r>
    </w:p>
    <w:p w:rsidR="00FC7F0E" w:rsidRPr="00021B2F" w:rsidRDefault="00FC7F0E" w:rsidP="00FC7F0E">
      <w:pPr>
        <w:pStyle w:val="Prrafodelista"/>
        <w:spacing w:after="0" w:line="240" w:lineRule="auto"/>
        <w:jc w:val="both"/>
        <w:rPr>
          <w:rFonts w:ascii="Verdana" w:hAnsi="Verdana"/>
          <w:sz w:val="24"/>
          <w:szCs w:val="24"/>
        </w:rPr>
      </w:pPr>
    </w:p>
    <w:p w:rsidR="00FC7F0E" w:rsidRPr="00021B2F" w:rsidRDefault="00FC7F0E" w:rsidP="00FC7F0E">
      <w:pPr>
        <w:spacing w:after="0" w:line="240" w:lineRule="auto"/>
        <w:jc w:val="both"/>
        <w:rPr>
          <w:rFonts w:ascii="Verdana" w:hAnsi="Verdana"/>
          <w:sz w:val="24"/>
          <w:szCs w:val="24"/>
        </w:rPr>
      </w:pPr>
      <w:r w:rsidRPr="00021B2F">
        <w:rPr>
          <w:rFonts w:ascii="Verdana" w:hAnsi="Verdana"/>
          <w:sz w:val="24"/>
          <w:szCs w:val="24"/>
        </w:rPr>
        <w:t>Los objetivos de la política de superación de la pobreza extrema se cumplieron según lo programado, acorde con el seguimiento efectuado a los tres (3) niveles de indicadores relacionados:</w:t>
      </w:r>
    </w:p>
    <w:p w:rsidR="00FC7F0E" w:rsidRPr="00021B2F" w:rsidRDefault="00FC7F0E" w:rsidP="00FC7F0E">
      <w:pPr>
        <w:spacing w:after="0" w:line="240" w:lineRule="auto"/>
        <w:jc w:val="both"/>
        <w:rPr>
          <w:rFonts w:ascii="Verdana" w:hAnsi="Verdana"/>
          <w:sz w:val="24"/>
          <w:szCs w:val="24"/>
        </w:rPr>
      </w:pPr>
    </w:p>
    <w:p w:rsidR="00FC7F0E" w:rsidRPr="00071815" w:rsidRDefault="00FC7F0E" w:rsidP="00FC7F0E">
      <w:pPr>
        <w:keepNext/>
        <w:keepLines/>
        <w:spacing w:after="0" w:line="240" w:lineRule="auto"/>
        <w:outlineLvl w:val="2"/>
        <w:rPr>
          <w:rFonts w:ascii="Verdana" w:hAnsi="Verdana"/>
          <w:b/>
          <w:color w:val="548DD4" w:themeColor="text2" w:themeTint="99"/>
          <w:sz w:val="24"/>
          <w:szCs w:val="24"/>
        </w:rPr>
      </w:pPr>
      <w:bookmarkStart w:id="87" w:name="_Toc410398482"/>
      <w:r w:rsidRPr="00071815">
        <w:rPr>
          <w:rFonts w:ascii="Verdana" w:hAnsi="Verdana"/>
          <w:b/>
          <w:color w:val="548DD4" w:themeColor="text2" w:themeTint="99"/>
          <w:sz w:val="24"/>
          <w:szCs w:val="24"/>
        </w:rPr>
        <w:t>Tablero de Control de Indicadores de Pobreza</w:t>
      </w:r>
      <w:bookmarkEnd w:id="87"/>
    </w:p>
    <w:p w:rsidR="00FC7F0E" w:rsidRPr="00021B2F" w:rsidRDefault="00FC7F0E" w:rsidP="00FC7F0E">
      <w:pPr>
        <w:keepNext/>
        <w:keepLines/>
        <w:spacing w:after="0" w:line="240" w:lineRule="auto"/>
        <w:ind w:left="720" w:hanging="360"/>
        <w:outlineLvl w:val="2"/>
        <w:rPr>
          <w:rFonts w:ascii="Verdana" w:eastAsiaTheme="majorEastAsia" w:hAnsi="Verdana" w:cstheme="majorBidi"/>
          <w:i/>
          <w:sz w:val="24"/>
          <w:szCs w:val="24"/>
        </w:rPr>
      </w:pPr>
      <w:r w:rsidRPr="00021B2F">
        <w:rPr>
          <w:rFonts w:ascii="Verdana" w:eastAsiaTheme="majorEastAsia" w:hAnsi="Verdana" w:cstheme="majorBidi"/>
          <w:i/>
          <w:sz w:val="24"/>
          <w:szCs w:val="24"/>
        </w:rPr>
        <w:t xml:space="preserve"> </w:t>
      </w:r>
    </w:p>
    <w:p w:rsidR="00FC7F0E" w:rsidRPr="00021B2F" w:rsidRDefault="00FC7F0E" w:rsidP="00FC7F0E">
      <w:pPr>
        <w:spacing w:after="0" w:line="240" w:lineRule="auto"/>
        <w:jc w:val="both"/>
        <w:rPr>
          <w:rFonts w:ascii="Verdana" w:hAnsi="Verdana"/>
          <w:sz w:val="24"/>
          <w:szCs w:val="24"/>
        </w:rPr>
      </w:pPr>
      <w:r w:rsidRPr="00021B2F">
        <w:rPr>
          <w:rFonts w:ascii="Verdana" w:hAnsi="Verdana"/>
          <w:sz w:val="24"/>
          <w:szCs w:val="24"/>
        </w:rPr>
        <w:t xml:space="preserve">El Plan Nacional de Desarrollo 2010-2014 planteó una serie de indicadores de pobreza y desigualdad, sobre los cuales se realizó seguimiento a través de la Mesa Transversal de Pobreza y Desigualdad liderada por la Presidencia de la República. En este sentido, se observaron avances significativos que sitúan a Colombia en niveles no comparables a los que venía presentando las últimas décadas: </w:t>
      </w:r>
    </w:p>
    <w:p w:rsidR="00FC7F0E" w:rsidRPr="00021B2F" w:rsidRDefault="00FC7F0E" w:rsidP="00FC7F0E">
      <w:pPr>
        <w:spacing w:after="0" w:line="240" w:lineRule="auto"/>
        <w:jc w:val="both"/>
        <w:rPr>
          <w:rFonts w:ascii="Verdana" w:hAnsi="Verdana"/>
          <w:sz w:val="24"/>
          <w:szCs w:val="24"/>
        </w:rPr>
      </w:pPr>
    </w:p>
    <w:tbl>
      <w:tblPr>
        <w:tblW w:w="5000" w:type="pct"/>
        <w:jc w:val="center"/>
        <w:tblCellMar>
          <w:left w:w="70" w:type="dxa"/>
          <w:right w:w="70" w:type="dxa"/>
        </w:tblCellMar>
        <w:tblLook w:val="04A0"/>
      </w:tblPr>
      <w:tblGrid>
        <w:gridCol w:w="5467"/>
        <w:gridCol w:w="2186"/>
        <w:gridCol w:w="2459"/>
      </w:tblGrid>
      <w:tr w:rsidR="00FC7F0E" w:rsidRPr="00021B2F" w:rsidTr="00071815">
        <w:trPr>
          <w:trHeight w:val="300"/>
          <w:jc w:val="center"/>
        </w:trPr>
        <w:tc>
          <w:tcPr>
            <w:tcW w:w="2703" w:type="pct"/>
            <w:tcBorders>
              <w:top w:val="nil"/>
              <w:left w:val="nil"/>
              <w:bottom w:val="single" w:sz="12" w:space="0" w:color="FFFFFF"/>
              <w:right w:val="single" w:sz="4" w:space="0" w:color="FFFFFF"/>
            </w:tcBorders>
            <w:shd w:val="clear" w:color="4F81BD" w:fill="4F81BD"/>
            <w:vAlign w:val="center"/>
          </w:tcPr>
          <w:p w:rsidR="00FC7F0E" w:rsidRPr="00021B2F" w:rsidRDefault="00FC7F0E" w:rsidP="00FC7F0E">
            <w:pPr>
              <w:spacing w:after="0" w:line="240" w:lineRule="auto"/>
              <w:rPr>
                <w:rFonts w:ascii="Verdana" w:eastAsia="Times New Roman" w:hAnsi="Verdana" w:cs="Times New Roman"/>
                <w:b/>
                <w:bCs/>
                <w:color w:val="FFFFFF" w:themeColor="background1"/>
                <w:sz w:val="18"/>
                <w:szCs w:val="18"/>
                <w:lang w:eastAsia="es-CO"/>
              </w:rPr>
            </w:pPr>
            <w:r w:rsidRPr="00021B2F">
              <w:rPr>
                <w:rFonts w:ascii="Verdana" w:eastAsia="Times New Roman" w:hAnsi="Verdana" w:cs="Times New Roman"/>
                <w:b/>
                <w:bCs/>
                <w:color w:val="FFFFFF" w:themeColor="background1"/>
                <w:sz w:val="18"/>
                <w:szCs w:val="18"/>
                <w:lang w:eastAsia="es-CO"/>
              </w:rPr>
              <w:t>Indicador</w:t>
            </w:r>
          </w:p>
        </w:tc>
        <w:tc>
          <w:tcPr>
            <w:tcW w:w="1081" w:type="pct"/>
            <w:tcBorders>
              <w:top w:val="nil"/>
              <w:left w:val="nil"/>
              <w:bottom w:val="single" w:sz="12" w:space="0" w:color="FFFFFF"/>
              <w:right w:val="nil"/>
            </w:tcBorders>
            <w:shd w:val="clear" w:color="4F81BD" w:fill="4F81BD"/>
            <w:vAlign w:val="center"/>
          </w:tcPr>
          <w:p w:rsidR="00FC7F0E" w:rsidRPr="00021B2F" w:rsidRDefault="00FC7F0E" w:rsidP="00FC7F0E">
            <w:pPr>
              <w:spacing w:after="0" w:line="240" w:lineRule="auto"/>
              <w:rPr>
                <w:rFonts w:ascii="Verdana" w:eastAsia="Times New Roman" w:hAnsi="Verdana" w:cs="Times New Roman"/>
                <w:b/>
                <w:bCs/>
                <w:color w:val="FFFFFF" w:themeColor="background1"/>
                <w:sz w:val="18"/>
                <w:szCs w:val="18"/>
                <w:lang w:eastAsia="es-CO"/>
              </w:rPr>
            </w:pPr>
            <w:r w:rsidRPr="00021B2F">
              <w:rPr>
                <w:rFonts w:ascii="Verdana" w:eastAsia="Times New Roman" w:hAnsi="Verdana" w:cs="Times New Roman"/>
                <w:b/>
                <w:bCs/>
                <w:color w:val="FFFFFF" w:themeColor="background1"/>
                <w:sz w:val="18"/>
                <w:szCs w:val="18"/>
                <w:lang w:eastAsia="es-CO"/>
              </w:rPr>
              <w:t>Meta 2014</w:t>
            </w:r>
          </w:p>
        </w:tc>
        <w:tc>
          <w:tcPr>
            <w:tcW w:w="1216" w:type="pct"/>
            <w:tcBorders>
              <w:top w:val="nil"/>
              <w:left w:val="single" w:sz="4" w:space="0" w:color="FFFFFF"/>
              <w:bottom w:val="single" w:sz="12" w:space="0" w:color="FFFFFF"/>
              <w:right w:val="single" w:sz="4" w:space="0" w:color="FFFFFF"/>
            </w:tcBorders>
            <w:shd w:val="clear" w:color="4F81BD" w:fill="4F81BD"/>
            <w:vAlign w:val="center"/>
          </w:tcPr>
          <w:p w:rsidR="00FC7F0E" w:rsidRPr="00021B2F" w:rsidRDefault="00FC7F0E" w:rsidP="00FC7F0E">
            <w:pPr>
              <w:spacing w:after="0" w:line="240" w:lineRule="auto"/>
              <w:rPr>
                <w:rFonts w:ascii="Verdana" w:eastAsia="Times New Roman" w:hAnsi="Verdana" w:cs="Times New Roman"/>
                <w:b/>
                <w:bCs/>
                <w:color w:val="FFFFFF" w:themeColor="background1"/>
                <w:sz w:val="18"/>
                <w:szCs w:val="18"/>
                <w:lang w:eastAsia="es-CO"/>
              </w:rPr>
            </w:pPr>
            <w:r w:rsidRPr="00021B2F">
              <w:rPr>
                <w:rFonts w:ascii="Verdana" w:eastAsia="Times New Roman" w:hAnsi="Verdana" w:cs="Times New Roman"/>
                <w:b/>
                <w:bCs/>
                <w:color w:val="FFFFFF" w:themeColor="background1"/>
                <w:sz w:val="18"/>
                <w:szCs w:val="18"/>
                <w:lang w:eastAsia="es-CO"/>
              </w:rPr>
              <w:t>Avance</w:t>
            </w:r>
          </w:p>
        </w:tc>
      </w:tr>
      <w:tr w:rsidR="00FC7F0E" w:rsidRPr="00021B2F" w:rsidTr="00071815">
        <w:trPr>
          <w:trHeight w:val="59"/>
          <w:jc w:val="center"/>
        </w:trPr>
        <w:tc>
          <w:tcPr>
            <w:tcW w:w="2703" w:type="pct"/>
            <w:tcBorders>
              <w:top w:val="single" w:sz="4" w:space="0" w:color="FFFFFF"/>
              <w:left w:val="nil"/>
              <w:bottom w:val="single" w:sz="4" w:space="0" w:color="FFFFFF"/>
              <w:right w:val="single" w:sz="4" w:space="0" w:color="FFFFFF"/>
            </w:tcBorders>
            <w:shd w:val="clear" w:color="B8CCE4" w:fill="B8CCE4"/>
          </w:tcPr>
          <w:p w:rsidR="00FC7F0E" w:rsidRPr="00021B2F" w:rsidRDefault="00FC7F0E" w:rsidP="00FC7F0E">
            <w:pPr>
              <w:spacing w:after="0" w:line="240" w:lineRule="auto"/>
              <w:rPr>
                <w:rFonts w:ascii="Verdana" w:eastAsia="Times New Roman" w:hAnsi="Verdana" w:cs="Times New Roman"/>
                <w:bCs/>
                <w:sz w:val="18"/>
                <w:szCs w:val="18"/>
                <w:lang w:eastAsia="es-CO"/>
              </w:rPr>
            </w:pPr>
            <w:r w:rsidRPr="00021B2F">
              <w:rPr>
                <w:rFonts w:ascii="Verdana" w:eastAsia="Times New Roman" w:hAnsi="Verdana" w:cs="Times New Roman"/>
                <w:bCs/>
                <w:sz w:val="18"/>
                <w:szCs w:val="18"/>
                <w:lang w:eastAsia="es-CO"/>
              </w:rPr>
              <w:t>Pobreza Moderada por Ingresos</w:t>
            </w:r>
          </w:p>
        </w:tc>
        <w:tc>
          <w:tcPr>
            <w:tcW w:w="1081" w:type="pct"/>
            <w:tcBorders>
              <w:top w:val="single" w:sz="4" w:space="0" w:color="FFFFFF"/>
              <w:left w:val="nil"/>
              <w:bottom w:val="single" w:sz="4" w:space="0" w:color="FFFFFF"/>
              <w:right w:val="nil"/>
            </w:tcBorders>
            <w:shd w:val="clear" w:color="B8CCE4" w:fill="B8CCE4"/>
          </w:tcPr>
          <w:p w:rsidR="00FC7F0E" w:rsidRPr="00021B2F" w:rsidRDefault="00FC7F0E" w:rsidP="00FC7F0E">
            <w:pPr>
              <w:spacing w:after="0" w:line="240" w:lineRule="auto"/>
              <w:rPr>
                <w:rFonts w:ascii="Verdana" w:eastAsia="Times New Roman" w:hAnsi="Verdana" w:cs="Times New Roman"/>
                <w:bCs/>
                <w:sz w:val="18"/>
                <w:szCs w:val="18"/>
                <w:lang w:eastAsia="es-CO"/>
              </w:rPr>
            </w:pPr>
            <w:r w:rsidRPr="00021B2F">
              <w:rPr>
                <w:rFonts w:ascii="Verdana" w:eastAsia="Times New Roman" w:hAnsi="Verdana" w:cs="Times New Roman"/>
                <w:bCs/>
                <w:sz w:val="18"/>
                <w:szCs w:val="18"/>
                <w:lang w:eastAsia="es-CO"/>
              </w:rPr>
              <w:t>32%</w:t>
            </w:r>
          </w:p>
        </w:tc>
        <w:tc>
          <w:tcPr>
            <w:tcW w:w="1216" w:type="pct"/>
            <w:tcBorders>
              <w:top w:val="single" w:sz="4" w:space="0" w:color="FFFFFF"/>
              <w:left w:val="single" w:sz="4" w:space="0" w:color="FFFFFF"/>
              <w:bottom w:val="single" w:sz="4" w:space="0" w:color="FFFFFF"/>
              <w:right w:val="single" w:sz="4" w:space="0" w:color="FFFFFF"/>
            </w:tcBorders>
            <w:shd w:val="clear" w:color="B8CCE4" w:fill="B8CCE4"/>
          </w:tcPr>
          <w:p w:rsidR="00FC7F0E" w:rsidRPr="00021B2F" w:rsidRDefault="00FC7F0E" w:rsidP="00FC7F0E">
            <w:pPr>
              <w:spacing w:after="0" w:line="240" w:lineRule="auto"/>
              <w:rPr>
                <w:rFonts w:ascii="Verdana" w:eastAsia="Times New Roman" w:hAnsi="Verdana" w:cs="Times New Roman"/>
                <w:bCs/>
                <w:sz w:val="18"/>
                <w:szCs w:val="18"/>
                <w:lang w:eastAsia="es-CO"/>
              </w:rPr>
            </w:pPr>
            <w:r w:rsidRPr="00021B2F">
              <w:rPr>
                <w:rFonts w:ascii="Verdana" w:eastAsia="Times New Roman" w:hAnsi="Verdana" w:cs="Times New Roman"/>
                <w:bCs/>
                <w:sz w:val="18"/>
                <w:szCs w:val="18"/>
                <w:lang w:eastAsia="es-CO"/>
              </w:rPr>
              <w:t>29.30% (1)</w:t>
            </w:r>
          </w:p>
        </w:tc>
      </w:tr>
      <w:tr w:rsidR="00FC7F0E" w:rsidRPr="00021B2F" w:rsidTr="00071815">
        <w:trPr>
          <w:trHeight w:val="300"/>
          <w:jc w:val="center"/>
        </w:trPr>
        <w:tc>
          <w:tcPr>
            <w:tcW w:w="2703" w:type="pct"/>
            <w:tcBorders>
              <w:top w:val="single" w:sz="4" w:space="0" w:color="FFFFFF"/>
              <w:left w:val="nil"/>
              <w:bottom w:val="single" w:sz="4" w:space="0" w:color="FFFFFF"/>
              <w:right w:val="single" w:sz="4" w:space="0" w:color="FFFFFF"/>
            </w:tcBorders>
            <w:shd w:val="clear" w:color="DCE6F1" w:fill="DCE6F1"/>
          </w:tcPr>
          <w:p w:rsidR="00FC7F0E" w:rsidRPr="00021B2F" w:rsidRDefault="00FC7F0E" w:rsidP="00FC7F0E">
            <w:pPr>
              <w:spacing w:after="0" w:line="240" w:lineRule="auto"/>
              <w:rPr>
                <w:rFonts w:ascii="Verdana" w:eastAsia="Times New Roman" w:hAnsi="Verdana" w:cs="Times New Roman"/>
                <w:bCs/>
                <w:sz w:val="18"/>
                <w:szCs w:val="18"/>
                <w:lang w:eastAsia="es-CO"/>
              </w:rPr>
            </w:pPr>
            <w:r w:rsidRPr="00021B2F">
              <w:rPr>
                <w:rFonts w:ascii="Verdana" w:eastAsia="Times New Roman" w:hAnsi="Verdana" w:cs="Times New Roman"/>
                <w:bCs/>
                <w:sz w:val="18"/>
                <w:szCs w:val="18"/>
                <w:lang w:eastAsia="es-CO"/>
              </w:rPr>
              <w:t>Pobreza Extrema por Ingresos</w:t>
            </w:r>
          </w:p>
        </w:tc>
        <w:tc>
          <w:tcPr>
            <w:tcW w:w="1081" w:type="pct"/>
            <w:tcBorders>
              <w:top w:val="single" w:sz="4" w:space="0" w:color="FFFFFF"/>
              <w:left w:val="nil"/>
              <w:bottom w:val="single" w:sz="4" w:space="0" w:color="FFFFFF"/>
              <w:right w:val="nil"/>
            </w:tcBorders>
            <w:shd w:val="clear" w:color="DCE6F1" w:fill="DCE6F1"/>
          </w:tcPr>
          <w:p w:rsidR="00FC7F0E" w:rsidRPr="00021B2F" w:rsidRDefault="00FC7F0E" w:rsidP="00FC7F0E">
            <w:pPr>
              <w:spacing w:after="0" w:line="240" w:lineRule="auto"/>
              <w:rPr>
                <w:rFonts w:ascii="Verdana" w:eastAsia="Times New Roman" w:hAnsi="Verdana" w:cs="Times New Roman"/>
                <w:bCs/>
                <w:sz w:val="18"/>
                <w:szCs w:val="18"/>
                <w:lang w:eastAsia="es-CO"/>
              </w:rPr>
            </w:pPr>
            <w:r w:rsidRPr="00021B2F">
              <w:rPr>
                <w:rFonts w:ascii="Verdana" w:eastAsia="Times New Roman" w:hAnsi="Verdana" w:cs="Times New Roman"/>
                <w:bCs/>
                <w:sz w:val="18"/>
                <w:szCs w:val="18"/>
                <w:lang w:eastAsia="es-CO"/>
              </w:rPr>
              <w:t>9.50%</w:t>
            </w:r>
          </w:p>
        </w:tc>
        <w:tc>
          <w:tcPr>
            <w:tcW w:w="1216" w:type="pct"/>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rPr>
                <w:rFonts w:ascii="Verdana" w:eastAsia="Times New Roman" w:hAnsi="Verdana" w:cs="Times New Roman"/>
                <w:bCs/>
                <w:sz w:val="18"/>
                <w:szCs w:val="18"/>
                <w:lang w:eastAsia="es-CO"/>
              </w:rPr>
            </w:pPr>
            <w:r w:rsidRPr="00021B2F">
              <w:rPr>
                <w:rFonts w:ascii="Verdana" w:eastAsia="Times New Roman" w:hAnsi="Verdana" w:cs="Times New Roman"/>
                <w:bCs/>
                <w:sz w:val="18"/>
                <w:szCs w:val="18"/>
                <w:lang w:eastAsia="es-CO"/>
              </w:rPr>
              <w:t>8.40% (1)</w:t>
            </w:r>
          </w:p>
        </w:tc>
      </w:tr>
      <w:tr w:rsidR="00FC7F0E" w:rsidRPr="00021B2F" w:rsidTr="00071815">
        <w:trPr>
          <w:trHeight w:val="300"/>
          <w:jc w:val="center"/>
        </w:trPr>
        <w:tc>
          <w:tcPr>
            <w:tcW w:w="2703" w:type="pct"/>
            <w:tcBorders>
              <w:top w:val="single" w:sz="4" w:space="0" w:color="FFFFFF"/>
              <w:left w:val="nil"/>
              <w:bottom w:val="single" w:sz="4" w:space="0" w:color="FFFFFF"/>
              <w:right w:val="single" w:sz="4" w:space="0" w:color="FFFFFF"/>
            </w:tcBorders>
            <w:shd w:val="clear" w:color="B8CCE4" w:fill="B8CCE4"/>
          </w:tcPr>
          <w:p w:rsidR="00FC7F0E" w:rsidRPr="00021B2F" w:rsidRDefault="00FC7F0E" w:rsidP="00FC7F0E">
            <w:pPr>
              <w:spacing w:after="0" w:line="240" w:lineRule="auto"/>
              <w:rPr>
                <w:rFonts w:ascii="Verdana" w:eastAsia="Times New Roman" w:hAnsi="Verdana" w:cs="Times New Roman"/>
                <w:bCs/>
                <w:sz w:val="18"/>
                <w:szCs w:val="18"/>
                <w:lang w:eastAsia="es-CO"/>
              </w:rPr>
            </w:pPr>
            <w:r w:rsidRPr="00021B2F">
              <w:rPr>
                <w:rFonts w:ascii="Verdana" w:eastAsia="Times New Roman" w:hAnsi="Verdana" w:cs="Times New Roman"/>
                <w:bCs/>
                <w:sz w:val="18"/>
                <w:szCs w:val="18"/>
                <w:lang w:eastAsia="es-CO"/>
              </w:rPr>
              <w:t>Pobreza por IPM</w:t>
            </w:r>
          </w:p>
        </w:tc>
        <w:tc>
          <w:tcPr>
            <w:tcW w:w="1081" w:type="pct"/>
            <w:tcBorders>
              <w:top w:val="single" w:sz="4" w:space="0" w:color="FFFFFF"/>
              <w:left w:val="nil"/>
              <w:bottom w:val="single" w:sz="4" w:space="0" w:color="FFFFFF"/>
              <w:right w:val="nil"/>
            </w:tcBorders>
            <w:shd w:val="clear" w:color="B8CCE4" w:fill="B8CCE4"/>
          </w:tcPr>
          <w:p w:rsidR="00FC7F0E" w:rsidRPr="00021B2F" w:rsidRDefault="00FC7F0E" w:rsidP="00FC7F0E">
            <w:pPr>
              <w:spacing w:after="0" w:line="240" w:lineRule="auto"/>
              <w:rPr>
                <w:rFonts w:ascii="Verdana" w:eastAsia="Times New Roman" w:hAnsi="Verdana" w:cs="Times New Roman"/>
                <w:bCs/>
                <w:sz w:val="18"/>
                <w:szCs w:val="18"/>
                <w:lang w:eastAsia="es-CO"/>
              </w:rPr>
            </w:pPr>
            <w:r w:rsidRPr="00021B2F">
              <w:rPr>
                <w:rFonts w:ascii="Verdana" w:eastAsia="Times New Roman" w:hAnsi="Verdana" w:cs="Times New Roman"/>
                <w:bCs/>
                <w:sz w:val="18"/>
                <w:szCs w:val="18"/>
                <w:lang w:eastAsia="es-CO"/>
              </w:rPr>
              <w:t>22.50%</w:t>
            </w:r>
          </w:p>
        </w:tc>
        <w:tc>
          <w:tcPr>
            <w:tcW w:w="1216" w:type="pct"/>
            <w:tcBorders>
              <w:top w:val="single" w:sz="4" w:space="0" w:color="FFFFFF"/>
              <w:left w:val="single" w:sz="4" w:space="0" w:color="FFFFFF"/>
              <w:bottom w:val="single" w:sz="4" w:space="0" w:color="FFFFFF"/>
              <w:right w:val="single" w:sz="4" w:space="0" w:color="FFFFFF"/>
            </w:tcBorders>
            <w:shd w:val="clear" w:color="B8CCE4" w:fill="B8CCE4"/>
          </w:tcPr>
          <w:p w:rsidR="00FC7F0E" w:rsidRPr="00021B2F" w:rsidRDefault="00FC7F0E" w:rsidP="00FC7F0E">
            <w:pPr>
              <w:spacing w:after="0" w:line="240" w:lineRule="auto"/>
              <w:rPr>
                <w:rFonts w:ascii="Verdana" w:eastAsia="Times New Roman" w:hAnsi="Verdana" w:cs="Times New Roman"/>
                <w:bCs/>
                <w:sz w:val="18"/>
                <w:szCs w:val="18"/>
                <w:lang w:eastAsia="es-CO"/>
              </w:rPr>
            </w:pPr>
            <w:r w:rsidRPr="00021B2F">
              <w:rPr>
                <w:rFonts w:ascii="Verdana" w:eastAsia="Times New Roman" w:hAnsi="Verdana" w:cs="Times New Roman"/>
                <w:bCs/>
                <w:sz w:val="18"/>
                <w:szCs w:val="18"/>
                <w:lang w:eastAsia="es-CO"/>
              </w:rPr>
              <w:t>24.80% (2)</w:t>
            </w:r>
          </w:p>
        </w:tc>
      </w:tr>
      <w:tr w:rsidR="00FC7F0E" w:rsidRPr="00021B2F" w:rsidTr="00071815">
        <w:trPr>
          <w:trHeight w:val="300"/>
          <w:jc w:val="center"/>
        </w:trPr>
        <w:tc>
          <w:tcPr>
            <w:tcW w:w="2703" w:type="pct"/>
            <w:tcBorders>
              <w:top w:val="single" w:sz="4" w:space="0" w:color="FFFFFF"/>
              <w:left w:val="nil"/>
              <w:bottom w:val="single" w:sz="4" w:space="0" w:color="FFFFFF"/>
              <w:right w:val="single" w:sz="4" w:space="0" w:color="FFFFFF"/>
            </w:tcBorders>
            <w:shd w:val="clear" w:color="DCE6F1" w:fill="DCE6F1"/>
          </w:tcPr>
          <w:p w:rsidR="00FC7F0E" w:rsidRPr="00021B2F" w:rsidRDefault="00FC7F0E" w:rsidP="00FC7F0E">
            <w:pPr>
              <w:spacing w:after="0" w:line="240" w:lineRule="auto"/>
              <w:rPr>
                <w:rFonts w:ascii="Verdana" w:eastAsia="Times New Roman" w:hAnsi="Verdana" w:cs="Times New Roman"/>
                <w:bCs/>
                <w:sz w:val="18"/>
                <w:szCs w:val="18"/>
                <w:lang w:eastAsia="es-CO"/>
              </w:rPr>
            </w:pPr>
            <w:r w:rsidRPr="00021B2F">
              <w:rPr>
                <w:rFonts w:ascii="Verdana" w:eastAsia="Times New Roman" w:hAnsi="Verdana" w:cs="Times New Roman"/>
                <w:bCs/>
                <w:sz w:val="18"/>
                <w:szCs w:val="18"/>
                <w:lang w:eastAsia="es-CO"/>
              </w:rPr>
              <w:t>Coeficiente de Gini</w:t>
            </w:r>
          </w:p>
        </w:tc>
        <w:tc>
          <w:tcPr>
            <w:tcW w:w="1081" w:type="pct"/>
            <w:tcBorders>
              <w:top w:val="single" w:sz="4" w:space="0" w:color="FFFFFF"/>
              <w:left w:val="nil"/>
              <w:bottom w:val="single" w:sz="4" w:space="0" w:color="FFFFFF"/>
              <w:right w:val="nil"/>
            </w:tcBorders>
            <w:shd w:val="clear" w:color="DCE6F1" w:fill="DCE6F1"/>
          </w:tcPr>
          <w:p w:rsidR="00FC7F0E" w:rsidRPr="00021B2F" w:rsidRDefault="00FC7F0E" w:rsidP="00FC7F0E">
            <w:pPr>
              <w:spacing w:after="0" w:line="240" w:lineRule="auto"/>
              <w:rPr>
                <w:rFonts w:ascii="Verdana" w:eastAsia="Times New Roman" w:hAnsi="Verdana" w:cs="Times New Roman"/>
                <w:bCs/>
                <w:sz w:val="18"/>
                <w:szCs w:val="18"/>
                <w:lang w:eastAsia="es-CO"/>
              </w:rPr>
            </w:pPr>
            <w:r w:rsidRPr="00021B2F">
              <w:rPr>
                <w:rFonts w:ascii="Verdana" w:eastAsia="Times New Roman" w:hAnsi="Verdana" w:cs="Times New Roman"/>
                <w:bCs/>
                <w:sz w:val="18"/>
                <w:szCs w:val="18"/>
                <w:lang w:eastAsia="es-CO"/>
              </w:rPr>
              <w:t>0.5440</w:t>
            </w:r>
          </w:p>
        </w:tc>
        <w:tc>
          <w:tcPr>
            <w:tcW w:w="1216" w:type="pct"/>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rPr>
                <w:rFonts w:ascii="Verdana" w:eastAsia="Times New Roman" w:hAnsi="Verdana" w:cs="Times New Roman"/>
                <w:bCs/>
                <w:sz w:val="18"/>
                <w:szCs w:val="18"/>
                <w:lang w:eastAsia="es-CO"/>
              </w:rPr>
            </w:pPr>
            <w:r w:rsidRPr="00021B2F">
              <w:rPr>
                <w:rFonts w:ascii="Verdana" w:eastAsia="Times New Roman" w:hAnsi="Verdana" w:cs="Times New Roman"/>
                <w:bCs/>
                <w:sz w:val="18"/>
                <w:szCs w:val="18"/>
                <w:lang w:eastAsia="es-CO"/>
              </w:rPr>
              <w:t>0.5390 (2)</w:t>
            </w:r>
          </w:p>
        </w:tc>
      </w:tr>
    </w:tbl>
    <w:p w:rsidR="00071815" w:rsidRPr="00021B2F" w:rsidRDefault="00071815" w:rsidP="00071815">
      <w:pPr>
        <w:spacing w:after="0" w:line="240" w:lineRule="auto"/>
        <w:jc w:val="right"/>
        <w:rPr>
          <w:rFonts w:ascii="Verdana" w:hAnsi="Verdana"/>
          <w:b/>
          <w:sz w:val="18"/>
          <w:szCs w:val="18"/>
        </w:rPr>
      </w:pPr>
      <w:r w:rsidRPr="00021B2F">
        <w:rPr>
          <w:rFonts w:ascii="Verdana" w:hAnsi="Verdana"/>
          <w:b/>
          <w:sz w:val="18"/>
          <w:szCs w:val="18"/>
        </w:rPr>
        <w:t>Tabla 10. Tablero de control de Pobreza y Desigualdad</w:t>
      </w:r>
    </w:p>
    <w:p w:rsidR="00FC7F0E" w:rsidRPr="00021B2F" w:rsidRDefault="00FC7F0E" w:rsidP="00071815">
      <w:pPr>
        <w:spacing w:after="0" w:line="240" w:lineRule="auto"/>
        <w:ind w:left="1416"/>
        <w:jc w:val="right"/>
        <w:rPr>
          <w:rFonts w:ascii="Verdana" w:hAnsi="Verdana"/>
          <w:sz w:val="18"/>
          <w:szCs w:val="18"/>
          <w:lang w:eastAsia="es-CO"/>
        </w:rPr>
      </w:pPr>
      <w:r w:rsidRPr="00021B2F">
        <w:rPr>
          <w:rFonts w:ascii="Verdana" w:hAnsi="Verdana"/>
          <w:sz w:val="18"/>
          <w:szCs w:val="18"/>
          <w:lang w:eastAsia="es-CO"/>
        </w:rPr>
        <w:t>(1) Fuente: DANE, corte junio 2014. (2) Fuente: DANE, corte 2013.</w:t>
      </w:r>
    </w:p>
    <w:p w:rsidR="00FC7F0E" w:rsidRPr="00021B2F" w:rsidRDefault="00FC7F0E" w:rsidP="00071815">
      <w:pPr>
        <w:spacing w:after="0" w:line="240" w:lineRule="auto"/>
        <w:contextualSpacing/>
        <w:jc w:val="right"/>
        <w:rPr>
          <w:rFonts w:ascii="Verdana" w:hAnsi="Verdana"/>
          <w:color w:val="31849B" w:themeColor="accent5" w:themeShade="BF"/>
          <w:sz w:val="24"/>
          <w:szCs w:val="24"/>
        </w:rPr>
      </w:pPr>
    </w:p>
    <w:p w:rsidR="00071815" w:rsidRDefault="00071815" w:rsidP="00FC7F0E">
      <w:pPr>
        <w:spacing w:after="0" w:line="240" w:lineRule="auto"/>
        <w:rPr>
          <w:rFonts w:ascii="Verdana" w:hAnsi="Verdana"/>
          <w:i/>
          <w:sz w:val="24"/>
          <w:szCs w:val="24"/>
        </w:rPr>
      </w:pPr>
      <w:bookmarkStart w:id="88" w:name="_Toc408582633"/>
    </w:p>
    <w:p w:rsidR="00FC7F0E" w:rsidRPr="00071815" w:rsidRDefault="00FC7F0E" w:rsidP="00FC7F0E">
      <w:pPr>
        <w:spacing w:after="0" w:line="240" w:lineRule="auto"/>
        <w:rPr>
          <w:rFonts w:ascii="Verdana" w:hAnsi="Verdana"/>
          <w:b/>
          <w:color w:val="548DD4" w:themeColor="text2" w:themeTint="99"/>
          <w:sz w:val="24"/>
          <w:szCs w:val="24"/>
        </w:rPr>
      </w:pPr>
      <w:r w:rsidRPr="00071815">
        <w:rPr>
          <w:rFonts w:ascii="Verdana" w:hAnsi="Verdana"/>
          <w:b/>
          <w:color w:val="548DD4" w:themeColor="text2" w:themeTint="99"/>
          <w:sz w:val="24"/>
          <w:szCs w:val="24"/>
        </w:rPr>
        <w:t>Indicadores de la Red UNIDOS</w:t>
      </w:r>
      <w:bookmarkEnd w:id="88"/>
    </w:p>
    <w:p w:rsidR="00071815" w:rsidRDefault="00071815" w:rsidP="00FC7F0E">
      <w:pPr>
        <w:spacing w:after="0" w:line="240" w:lineRule="auto"/>
        <w:rPr>
          <w:rFonts w:ascii="Verdana" w:hAnsi="Verdana"/>
          <w:sz w:val="24"/>
          <w:szCs w:val="24"/>
        </w:rPr>
      </w:pPr>
    </w:p>
    <w:p w:rsidR="00FC7F0E" w:rsidRPr="00021B2F" w:rsidRDefault="00FC7F0E" w:rsidP="00FC7F0E">
      <w:pPr>
        <w:spacing w:after="0" w:line="240" w:lineRule="auto"/>
        <w:rPr>
          <w:rFonts w:ascii="Verdana" w:hAnsi="Verdana"/>
          <w:sz w:val="24"/>
          <w:szCs w:val="24"/>
        </w:rPr>
      </w:pPr>
      <w:r w:rsidRPr="00021B2F">
        <w:rPr>
          <w:rFonts w:ascii="Verdana" w:hAnsi="Verdana"/>
          <w:sz w:val="24"/>
          <w:szCs w:val="24"/>
        </w:rPr>
        <w:t xml:space="preserve">El Plan Nacional de Desarrollo 2010-2014 plantea una serie de indicadores de la Red UNIDOS, </w:t>
      </w:r>
      <w:bookmarkStart w:id="89" w:name="_Toc408582634"/>
      <w:r w:rsidRPr="00021B2F">
        <w:rPr>
          <w:rFonts w:ascii="Verdana" w:hAnsi="Verdana"/>
          <w:sz w:val="24"/>
          <w:szCs w:val="24"/>
        </w:rPr>
        <w:t xml:space="preserve">que describen los resultados generales de la implementación de la Estrategia: </w:t>
      </w:r>
    </w:p>
    <w:p w:rsidR="00FC7F0E" w:rsidRPr="00021B2F" w:rsidRDefault="00FC7F0E" w:rsidP="00FC7F0E">
      <w:pPr>
        <w:spacing w:after="0" w:line="240" w:lineRule="auto"/>
        <w:jc w:val="both"/>
        <w:rPr>
          <w:rFonts w:ascii="Verdana" w:hAnsi="Verdana"/>
          <w:sz w:val="24"/>
          <w:szCs w:val="24"/>
        </w:rPr>
      </w:pPr>
    </w:p>
    <w:tbl>
      <w:tblPr>
        <w:tblW w:w="10349" w:type="dxa"/>
        <w:jc w:val="center"/>
        <w:tblLayout w:type="fixed"/>
        <w:tblCellMar>
          <w:left w:w="70" w:type="dxa"/>
          <w:right w:w="70" w:type="dxa"/>
        </w:tblCellMar>
        <w:tblLook w:val="04A0"/>
      </w:tblPr>
      <w:tblGrid>
        <w:gridCol w:w="2835"/>
        <w:gridCol w:w="1134"/>
        <w:gridCol w:w="1276"/>
        <w:gridCol w:w="1276"/>
        <w:gridCol w:w="1276"/>
        <w:gridCol w:w="1276"/>
        <w:gridCol w:w="1276"/>
      </w:tblGrid>
      <w:tr w:rsidR="00FC7F0E" w:rsidRPr="00021B2F" w:rsidTr="00FC7F0E">
        <w:trPr>
          <w:trHeight w:val="300"/>
          <w:jc w:val="center"/>
        </w:trPr>
        <w:tc>
          <w:tcPr>
            <w:tcW w:w="2835" w:type="dxa"/>
            <w:tcBorders>
              <w:top w:val="nil"/>
              <w:left w:val="nil"/>
              <w:bottom w:val="single" w:sz="12" w:space="0" w:color="FFFFFF"/>
              <w:right w:val="single" w:sz="4" w:space="0" w:color="FFFFFF"/>
            </w:tcBorders>
            <w:shd w:val="clear" w:color="4F81BD" w:fill="4F81BD"/>
            <w:vAlign w:val="center"/>
          </w:tcPr>
          <w:p w:rsidR="00FC7F0E" w:rsidRPr="00021B2F" w:rsidRDefault="00FC7F0E" w:rsidP="00FC7F0E">
            <w:pPr>
              <w:spacing w:after="0" w:line="240" w:lineRule="auto"/>
              <w:rPr>
                <w:rFonts w:ascii="Verdana" w:eastAsia="Times New Roman" w:hAnsi="Verdana" w:cs="Times New Roman"/>
                <w:b/>
                <w:bCs/>
                <w:color w:val="FFFFFF" w:themeColor="background1"/>
                <w:sz w:val="18"/>
                <w:szCs w:val="18"/>
                <w:lang w:eastAsia="es-CO"/>
              </w:rPr>
            </w:pPr>
            <w:r w:rsidRPr="00021B2F">
              <w:rPr>
                <w:rFonts w:ascii="Verdana" w:eastAsia="Times New Roman" w:hAnsi="Verdana" w:cs="Times New Roman"/>
                <w:b/>
                <w:bCs/>
                <w:color w:val="FFFFFF" w:themeColor="background1"/>
                <w:sz w:val="18"/>
                <w:szCs w:val="18"/>
                <w:lang w:eastAsia="es-CO"/>
              </w:rPr>
              <w:t>Indicador</w:t>
            </w:r>
          </w:p>
        </w:tc>
        <w:tc>
          <w:tcPr>
            <w:tcW w:w="1134" w:type="dxa"/>
            <w:tcBorders>
              <w:top w:val="nil"/>
              <w:left w:val="nil"/>
              <w:bottom w:val="single" w:sz="12" w:space="0" w:color="FFFFFF"/>
              <w:right w:val="nil"/>
            </w:tcBorders>
            <w:shd w:val="clear" w:color="4F81BD" w:fill="4F81BD"/>
            <w:vAlign w:val="center"/>
          </w:tcPr>
          <w:p w:rsidR="00FC7F0E" w:rsidRPr="00021B2F" w:rsidRDefault="00FC7F0E" w:rsidP="00FC7F0E">
            <w:pPr>
              <w:spacing w:after="0" w:line="240" w:lineRule="auto"/>
              <w:rPr>
                <w:rFonts w:ascii="Verdana" w:eastAsia="Times New Roman" w:hAnsi="Verdana" w:cs="Times New Roman"/>
                <w:b/>
                <w:bCs/>
                <w:color w:val="FFFFFF" w:themeColor="background1"/>
                <w:sz w:val="18"/>
                <w:szCs w:val="18"/>
                <w:lang w:eastAsia="es-CO"/>
              </w:rPr>
            </w:pPr>
            <w:r w:rsidRPr="00021B2F">
              <w:rPr>
                <w:rFonts w:ascii="Verdana" w:eastAsia="Times New Roman" w:hAnsi="Verdana" w:cs="Times New Roman"/>
                <w:b/>
                <w:bCs/>
                <w:color w:val="FFFFFF" w:themeColor="background1"/>
                <w:sz w:val="18"/>
                <w:szCs w:val="18"/>
                <w:lang w:eastAsia="es-CO"/>
              </w:rPr>
              <w:t>Meta 2014</w:t>
            </w:r>
          </w:p>
        </w:tc>
        <w:tc>
          <w:tcPr>
            <w:tcW w:w="1276" w:type="dxa"/>
            <w:tcBorders>
              <w:top w:val="nil"/>
              <w:left w:val="single" w:sz="4" w:space="0" w:color="FFFFFF"/>
              <w:bottom w:val="single" w:sz="12" w:space="0" w:color="FFFFFF"/>
              <w:right w:val="single" w:sz="4" w:space="0" w:color="FFFFFF"/>
            </w:tcBorders>
            <w:shd w:val="clear" w:color="4F81BD" w:fill="4F81BD"/>
            <w:vAlign w:val="center"/>
          </w:tcPr>
          <w:p w:rsidR="00FC7F0E" w:rsidRPr="00021B2F" w:rsidRDefault="00FC7F0E" w:rsidP="00FC7F0E">
            <w:pPr>
              <w:spacing w:after="0" w:line="240" w:lineRule="auto"/>
              <w:rPr>
                <w:rFonts w:ascii="Verdana" w:eastAsia="Times New Roman" w:hAnsi="Verdana" w:cs="Times New Roman"/>
                <w:b/>
                <w:bCs/>
                <w:color w:val="FFFFFF" w:themeColor="background1"/>
                <w:sz w:val="18"/>
                <w:szCs w:val="18"/>
                <w:lang w:eastAsia="es-CO"/>
              </w:rPr>
            </w:pPr>
            <w:r w:rsidRPr="00021B2F">
              <w:rPr>
                <w:rFonts w:ascii="Verdana" w:eastAsia="Times New Roman" w:hAnsi="Verdana" w:cs="Times New Roman"/>
                <w:b/>
                <w:bCs/>
                <w:color w:val="FFFFFF" w:themeColor="background1"/>
                <w:sz w:val="18"/>
                <w:szCs w:val="18"/>
                <w:lang w:eastAsia="es-CO"/>
              </w:rPr>
              <w:t>Avance</w:t>
            </w:r>
          </w:p>
        </w:tc>
        <w:tc>
          <w:tcPr>
            <w:tcW w:w="1276" w:type="dxa"/>
            <w:tcBorders>
              <w:top w:val="nil"/>
              <w:left w:val="single" w:sz="4" w:space="0" w:color="FFFFFF"/>
              <w:bottom w:val="single" w:sz="12" w:space="0" w:color="FFFFFF"/>
              <w:right w:val="single" w:sz="4" w:space="0" w:color="FFFFFF"/>
            </w:tcBorders>
            <w:shd w:val="clear" w:color="4F81BD" w:fill="4F81BD"/>
          </w:tcPr>
          <w:p w:rsidR="00FC7F0E" w:rsidRPr="00021B2F" w:rsidRDefault="00FC7F0E" w:rsidP="00FC7F0E">
            <w:pPr>
              <w:spacing w:after="0" w:line="240" w:lineRule="auto"/>
              <w:contextualSpacing/>
              <w:jc w:val="center"/>
              <w:rPr>
                <w:rFonts w:ascii="Verdana" w:hAnsi="Verdana"/>
                <w:b/>
                <w:color w:val="FFFFFF" w:themeColor="background1"/>
                <w:sz w:val="18"/>
                <w:szCs w:val="18"/>
              </w:rPr>
            </w:pPr>
            <w:r w:rsidRPr="00021B2F">
              <w:rPr>
                <w:rFonts w:ascii="Verdana" w:hAnsi="Verdana"/>
                <w:b/>
                <w:color w:val="FFFFFF" w:themeColor="background1"/>
                <w:sz w:val="18"/>
                <w:szCs w:val="18"/>
              </w:rPr>
              <w:t>% Avance</w:t>
            </w:r>
          </w:p>
        </w:tc>
        <w:tc>
          <w:tcPr>
            <w:tcW w:w="1276" w:type="dxa"/>
            <w:tcBorders>
              <w:top w:val="nil"/>
              <w:left w:val="single" w:sz="4" w:space="0" w:color="FFFFFF"/>
              <w:bottom w:val="single" w:sz="12" w:space="0" w:color="FFFFFF"/>
              <w:right w:val="single" w:sz="4" w:space="0" w:color="FFFFFF"/>
            </w:tcBorders>
            <w:shd w:val="clear" w:color="4F81BD" w:fill="4F81BD"/>
            <w:vAlign w:val="center"/>
          </w:tcPr>
          <w:p w:rsidR="00FC7F0E" w:rsidRPr="00021B2F" w:rsidRDefault="00FC7F0E" w:rsidP="00FC7F0E">
            <w:pPr>
              <w:spacing w:after="0" w:line="240" w:lineRule="auto"/>
              <w:contextualSpacing/>
              <w:jc w:val="center"/>
              <w:rPr>
                <w:rFonts w:ascii="Verdana" w:hAnsi="Verdana"/>
                <w:b/>
                <w:color w:val="FFFFFF" w:themeColor="background1"/>
                <w:sz w:val="18"/>
                <w:szCs w:val="18"/>
              </w:rPr>
            </w:pPr>
            <w:r w:rsidRPr="00021B2F">
              <w:rPr>
                <w:rFonts w:ascii="Verdana" w:hAnsi="Verdana"/>
                <w:b/>
                <w:color w:val="FFFFFF" w:themeColor="background1"/>
                <w:sz w:val="18"/>
                <w:szCs w:val="18"/>
              </w:rPr>
              <w:t>Meta Cuatrienio</w:t>
            </w:r>
          </w:p>
        </w:tc>
        <w:tc>
          <w:tcPr>
            <w:tcW w:w="1276" w:type="dxa"/>
            <w:tcBorders>
              <w:top w:val="nil"/>
              <w:left w:val="single" w:sz="4" w:space="0" w:color="FFFFFF"/>
              <w:bottom w:val="single" w:sz="12" w:space="0" w:color="FFFFFF"/>
              <w:right w:val="single" w:sz="4" w:space="0" w:color="FFFFFF"/>
            </w:tcBorders>
            <w:shd w:val="clear" w:color="4F81BD" w:fill="4F81BD"/>
            <w:vAlign w:val="center"/>
          </w:tcPr>
          <w:p w:rsidR="00FC7F0E" w:rsidRPr="00021B2F" w:rsidRDefault="00FC7F0E" w:rsidP="00FC7F0E">
            <w:pPr>
              <w:spacing w:after="0" w:line="240" w:lineRule="auto"/>
              <w:contextualSpacing/>
              <w:jc w:val="center"/>
              <w:rPr>
                <w:rFonts w:ascii="Verdana" w:hAnsi="Verdana"/>
                <w:b/>
                <w:color w:val="FFFFFF" w:themeColor="background1"/>
                <w:sz w:val="18"/>
                <w:szCs w:val="18"/>
              </w:rPr>
            </w:pPr>
            <w:r w:rsidRPr="00021B2F">
              <w:rPr>
                <w:rFonts w:ascii="Verdana" w:hAnsi="Verdana"/>
                <w:b/>
                <w:color w:val="FFFFFF" w:themeColor="background1"/>
                <w:sz w:val="18"/>
                <w:szCs w:val="18"/>
              </w:rPr>
              <w:t>Avance</w:t>
            </w:r>
          </w:p>
        </w:tc>
        <w:tc>
          <w:tcPr>
            <w:tcW w:w="1276" w:type="dxa"/>
            <w:tcBorders>
              <w:top w:val="nil"/>
              <w:left w:val="single" w:sz="4" w:space="0" w:color="FFFFFF"/>
              <w:bottom w:val="single" w:sz="12" w:space="0" w:color="FFFFFF"/>
              <w:right w:val="single" w:sz="4" w:space="0" w:color="FFFFFF"/>
            </w:tcBorders>
            <w:shd w:val="clear" w:color="4F81BD" w:fill="4F81BD"/>
            <w:vAlign w:val="center"/>
          </w:tcPr>
          <w:p w:rsidR="00FC7F0E" w:rsidRPr="00021B2F" w:rsidRDefault="00FC7F0E" w:rsidP="00FC7F0E">
            <w:pPr>
              <w:spacing w:after="0" w:line="240" w:lineRule="auto"/>
              <w:contextualSpacing/>
              <w:jc w:val="center"/>
              <w:rPr>
                <w:rFonts w:ascii="Verdana" w:hAnsi="Verdana"/>
                <w:b/>
                <w:color w:val="FFFFFF" w:themeColor="background1"/>
                <w:sz w:val="18"/>
                <w:szCs w:val="18"/>
              </w:rPr>
            </w:pPr>
            <w:r w:rsidRPr="00021B2F">
              <w:rPr>
                <w:rFonts w:ascii="Verdana" w:hAnsi="Verdana"/>
                <w:b/>
                <w:color w:val="FFFFFF" w:themeColor="background1"/>
                <w:sz w:val="18"/>
                <w:szCs w:val="18"/>
              </w:rPr>
              <w:t>% avance</w:t>
            </w:r>
          </w:p>
        </w:tc>
      </w:tr>
      <w:tr w:rsidR="00FC7F0E" w:rsidRPr="00021B2F" w:rsidTr="00FC7F0E">
        <w:trPr>
          <w:trHeight w:val="87"/>
          <w:jc w:val="center"/>
        </w:trPr>
        <w:tc>
          <w:tcPr>
            <w:tcW w:w="2835" w:type="dxa"/>
            <w:tcBorders>
              <w:top w:val="single" w:sz="4" w:space="0" w:color="FFFFFF"/>
              <w:left w:val="nil"/>
              <w:bottom w:val="single" w:sz="4" w:space="0" w:color="FFFFFF"/>
              <w:right w:val="single" w:sz="4" w:space="0" w:color="FFFFFF"/>
            </w:tcBorders>
            <w:shd w:val="clear" w:color="B8CCE4" w:fill="B8CCE4"/>
          </w:tcPr>
          <w:p w:rsidR="00FC7F0E" w:rsidRPr="00021B2F" w:rsidRDefault="00FC7F0E" w:rsidP="00FC7F0E">
            <w:pPr>
              <w:spacing w:after="0" w:line="240" w:lineRule="auto"/>
              <w:contextualSpacing/>
              <w:rPr>
                <w:rFonts w:ascii="Verdana" w:hAnsi="Verdana"/>
                <w:sz w:val="18"/>
                <w:szCs w:val="18"/>
              </w:rPr>
            </w:pPr>
            <w:r w:rsidRPr="00021B2F">
              <w:rPr>
                <w:rFonts w:ascii="Verdana" w:hAnsi="Verdana"/>
                <w:sz w:val="18"/>
                <w:szCs w:val="18"/>
              </w:rPr>
              <w:t>Familias acompañadas por la Red UNIDOS</w:t>
            </w:r>
          </w:p>
        </w:tc>
        <w:tc>
          <w:tcPr>
            <w:tcW w:w="1134" w:type="dxa"/>
            <w:tcBorders>
              <w:top w:val="single" w:sz="4" w:space="0" w:color="FFFFFF"/>
              <w:left w:val="nil"/>
              <w:bottom w:val="single" w:sz="4" w:space="0" w:color="FFFFFF"/>
              <w:right w:val="nil"/>
            </w:tcBorders>
            <w:shd w:val="clear" w:color="B8CCE4" w:fill="B8CCE4"/>
          </w:tcPr>
          <w:p w:rsidR="00FC7F0E" w:rsidRPr="00021B2F" w:rsidRDefault="00FC7F0E" w:rsidP="00FC7F0E">
            <w:pPr>
              <w:spacing w:after="0" w:line="240" w:lineRule="auto"/>
              <w:jc w:val="center"/>
              <w:rPr>
                <w:rFonts w:ascii="Verdana" w:hAnsi="Verdana" w:cs="Arial"/>
                <w:sz w:val="18"/>
                <w:szCs w:val="18"/>
                <w:lang w:eastAsia="es-CO"/>
              </w:rPr>
            </w:pPr>
            <w:r w:rsidRPr="00021B2F">
              <w:rPr>
                <w:rFonts w:ascii="Verdana" w:eastAsia="Calibri" w:hAnsi="Verdana" w:cs="Times New Roman"/>
                <w:color w:val="000000" w:themeColor="text1"/>
                <w:kern w:val="24"/>
                <w:sz w:val="18"/>
                <w:szCs w:val="18"/>
                <w:lang w:eastAsia="es-CO"/>
              </w:rPr>
              <w:t>1.500.000</w:t>
            </w:r>
          </w:p>
        </w:tc>
        <w:tc>
          <w:tcPr>
            <w:tcW w:w="1276" w:type="dxa"/>
            <w:tcBorders>
              <w:top w:val="single" w:sz="4" w:space="0" w:color="FFFFFF"/>
              <w:left w:val="single" w:sz="4" w:space="0" w:color="FFFFFF"/>
              <w:bottom w:val="single" w:sz="4" w:space="0" w:color="FFFFFF"/>
              <w:right w:val="single" w:sz="4" w:space="0" w:color="FFFFFF"/>
            </w:tcBorders>
            <w:shd w:val="clear" w:color="B8CCE4" w:fill="B8CCE4"/>
          </w:tcPr>
          <w:p w:rsidR="00FC7F0E" w:rsidRPr="00021B2F" w:rsidRDefault="00FC7F0E" w:rsidP="00FC7F0E">
            <w:pPr>
              <w:spacing w:after="0" w:line="240" w:lineRule="auto"/>
              <w:jc w:val="center"/>
              <w:rPr>
                <w:rFonts w:ascii="Verdana" w:hAnsi="Verdana" w:cs="Arial"/>
                <w:sz w:val="18"/>
                <w:szCs w:val="18"/>
                <w:lang w:eastAsia="es-CO"/>
              </w:rPr>
            </w:pPr>
            <w:r w:rsidRPr="00021B2F">
              <w:rPr>
                <w:rFonts w:ascii="Verdana" w:eastAsia="Calibri" w:hAnsi="Verdana" w:cs="Times New Roman"/>
                <w:color w:val="000000" w:themeColor="text1"/>
                <w:kern w:val="24"/>
                <w:sz w:val="18"/>
                <w:szCs w:val="18"/>
                <w:lang w:eastAsia="es-CO"/>
              </w:rPr>
              <w:t>1.469.839</w:t>
            </w:r>
          </w:p>
        </w:tc>
        <w:tc>
          <w:tcPr>
            <w:tcW w:w="1276" w:type="dxa"/>
            <w:tcBorders>
              <w:top w:val="single" w:sz="4" w:space="0" w:color="FFFFFF"/>
              <w:left w:val="single" w:sz="4" w:space="0" w:color="FFFFFF"/>
              <w:bottom w:val="single" w:sz="4" w:space="0" w:color="FFFFFF"/>
              <w:right w:val="single" w:sz="4" w:space="0" w:color="FFFFFF"/>
            </w:tcBorders>
            <w:shd w:val="clear" w:color="B8CCE4" w:fill="B8CCE4"/>
          </w:tcPr>
          <w:p w:rsidR="00FC7F0E" w:rsidRPr="00021B2F" w:rsidRDefault="00FC7F0E" w:rsidP="00FC7F0E">
            <w:pPr>
              <w:spacing w:after="0" w:line="240" w:lineRule="auto"/>
              <w:jc w:val="center"/>
              <w:rPr>
                <w:rFonts w:ascii="Verdana" w:hAnsi="Verdana" w:cs="Arial"/>
                <w:sz w:val="18"/>
                <w:szCs w:val="18"/>
                <w:lang w:eastAsia="es-CO"/>
              </w:rPr>
            </w:pPr>
            <w:r w:rsidRPr="00021B2F">
              <w:rPr>
                <w:rFonts w:ascii="Verdana" w:eastAsia="Calibri" w:hAnsi="Verdana" w:cs="Times New Roman"/>
                <w:bCs/>
                <w:color w:val="000000" w:themeColor="text1"/>
                <w:kern w:val="24"/>
                <w:sz w:val="18"/>
                <w:szCs w:val="18"/>
                <w:lang w:eastAsia="es-CO"/>
              </w:rPr>
              <w:t>98%</w:t>
            </w:r>
          </w:p>
        </w:tc>
        <w:tc>
          <w:tcPr>
            <w:tcW w:w="1276" w:type="dxa"/>
            <w:tcBorders>
              <w:top w:val="single" w:sz="4" w:space="0" w:color="FFFFFF"/>
              <w:left w:val="single" w:sz="4" w:space="0" w:color="FFFFFF"/>
              <w:bottom w:val="single" w:sz="4" w:space="0" w:color="FFFFFF"/>
              <w:right w:val="single" w:sz="4" w:space="0" w:color="FFFFFF"/>
            </w:tcBorders>
            <w:shd w:val="clear" w:color="B8CCE4" w:fill="B8CCE4"/>
          </w:tcPr>
          <w:p w:rsidR="00FC7F0E" w:rsidRPr="00021B2F" w:rsidRDefault="00FC7F0E" w:rsidP="00FC7F0E">
            <w:pPr>
              <w:spacing w:after="0" w:line="240" w:lineRule="auto"/>
              <w:jc w:val="center"/>
              <w:rPr>
                <w:rFonts w:ascii="Verdana" w:hAnsi="Verdana"/>
                <w:sz w:val="18"/>
                <w:szCs w:val="18"/>
              </w:rPr>
            </w:pPr>
            <w:r w:rsidRPr="00021B2F">
              <w:rPr>
                <w:rFonts w:ascii="Verdana" w:hAnsi="Verdana"/>
                <w:sz w:val="18"/>
                <w:szCs w:val="18"/>
              </w:rPr>
              <w:t>1.500.000</w:t>
            </w:r>
          </w:p>
        </w:tc>
        <w:tc>
          <w:tcPr>
            <w:tcW w:w="1276" w:type="dxa"/>
            <w:tcBorders>
              <w:top w:val="single" w:sz="4" w:space="0" w:color="FFFFFF"/>
              <w:left w:val="single" w:sz="4" w:space="0" w:color="FFFFFF"/>
              <w:bottom w:val="single" w:sz="4" w:space="0" w:color="FFFFFF"/>
              <w:right w:val="single" w:sz="4" w:space="0" w:color="FFFFFF"/>
            </w:tcBorders>
            <w:shd w:val="clear" w:color="B8CCE4" w:fill="B8CCE4"/>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1.469.839</w:t>
            </w:r>
          </w:p>
        </w:tc>
        <w:tc>
          <w:tcPr>
            <w:tcW w:w="1276" w:type="dxa"/>
            <w:tcBorders>
              <w:top w:val="single" w:sz="4" w:space="0" w:color="FFFFFF"/>
              <w:left w:val="single" w:sz="4" w:space="0" w:color="FFFFFF"/>
              <w:bottom w:val="single" w:sz="4" w:space="0" w:color="FFFFFF"/>
              <w:right w:val="single" w:sz="4" w:space="0" w:color="FFFFFF"/>
            </w:tcBorders>
            <w:shd w:val="clear" w:color="B8CCE4" w:fill="B8CCE4"/>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98%</w:t>
            </w:r>
          </w:p>
        </w:tc>
      </w:tr>
      <w:tr w:rsidR="00FC7F0E" w:rsidRPr="00021B2F" w:rsidTr="00FC7F0E">
        <w:trPr>
          <w:trHeight w:val="300"/>
          <w:jc w:val="center"/>
        </w:trPr>
        <w:tc>
          <w:tcPr>
            <w:tcW w:w="2835" w:type="dxa"/>
            <w:tcBorders>
              <w:top w:val="single" w:sz="4" w:space="0" w:color="FFFFFF"/>
              <w:left w:val="nil"/>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rPr>
                <w:rFonts w:ascii="Verdana" w:hAnsi="Verdana"/>
                <w:sz w:val="18"/>
                <w:szCs w:val="18"/>
              </w:rPr>
            </w:pPr>
            <w:r w:rsidRPr="00021B2F">
              <w:rPr>
                <w:rFonts w:ascii="Verdana" w:hAnsi="Verdana"/>
                <w:sz w:val="18"/>
                <w:szCs w:val="18"/>
              </w:rPr>
              <w:t>Familias en situación de desplazamiento acompañadas por la Red UNIDOS</w:t>
            </w:r>
          </w:p>
        </w:tc>
        <w:tc>
          <w:tcPr>
            <w:tcW w:w="1134" w:type="dxa"/>
            <w:tcBorders>
              <w:top w:val="single" w:sz="4" w:space="0" w:color="FFFFFF"/>
              <w:left w:val="nil"/>
              <w:bottom w:val="single" w:sz="4" w:space="0" w:color="FFFFFF"/>
              <w:right w:val="nil"/>
            </w:tcBorders>
            <w:shd w:val="clear" w:color="DCE6F1" w:fill="DCE6F1"/>
          </w:tcPr>
          <w:p w:rsidR="00FC7F0E" w:rsidRPr="00021B2F" w:rsidRDefault="00FC7F0E" w:rsidP="00FC7F0E">
            <w:pPr>
              <w:spacing w:after="0" w:line="240" w:lineRule="auto"/>
              <w:jc w:val="center"/>
              <w:rPr>
                <w:rFonts w:ascii="Verdana" w:hAnsi="Verdana" w:cs="Arial"/>
                <w:sz w:val="18"/>
                <w:szCs w:val="18"/>
                <w:lang w:eastAsia="es-CO"/>
              </w:rPr>
            </w:pPr>
            <w:r w:rsidRPr="00021B2F">
              <w:rPr>
                <w:rFonts w:ascii="Verdana" w:eastAsia="Calibri" w:hAnsi="Verdana" w:cs="Times New Roman"/>
                <w:color w:val="000000" w:themeColor="text1"/>
                <w:kern w:val="24"/>
                <w:sz w:val="18"/>
                <w:szCs w:val="18"/>
                <w:lang w:eastAsia="es-CO"/>
              </w:rPr>
              <w:t>350.000</w:t>
            </w:r>
          </w:p>
        </w:tc>
        <w:tc>
          <w:tcPr>
            <w:tcW w:w="1276"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jc w:val="center"/>
              <w:rPr>
                <w:rFonts w:ascii="Verdana" w:hAnsi="Verdana" w:cs="Arial"/>
                <w:sz w:val="18"/>
                <w:szCs w:val="18"/>
                <w:lang w:eastAsia="es-CO"/>
              </w:rPr>
            </w:pPr>
            <w:r w:rsidRPr="00021B2F">
              <w:rPr>
                <w:rFonts w:ascii="Verdana" w:eastAsia="Calibri" w:hAnsi="Verdana" w:cs="Times New Roman"/>
                <w:color w:val="000000" w:themeColor="text1"/>
                <w:kern w:val="24"/>
                <w:sz w:val="18"/>
                <w:szCs w:val="18"/>
                <w:lang w:eastAsia="es-CO"/>
              </w:rPr>
              <w:t>500.986</w:t>
            </w:r>
          </w:p>
        </w:tc>
        <w:tc>
          <w:tcPr>
            <w:tcW w:w="1276"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jc w:val="center"/>
              <w:rPr>
                <w:rFonts w:ascii="Verdana" w:hAnsi="Verdana" w:cs="Arial"/>
                <w:sz w:val="18"/>
                <w:szCs w:val="18"/>
                <w:lang w:eastAsia="es-CO"/>
              </w:rPr>
            </w:pPr>
            <w:r w:rsidRPr="00021B2F">
              <w:rPr>
                <w:rFonts w:ascii="Verdana" w:eastAsia="Calibri" w:hAnsi="Verdana" w:cs="Times New Roman"/>
                <w:bCs/>
                <w:color w:val="000000" w:themeColor="text1"/>
                <w:kern w:val="24"/>
                <w:sz w:val="18"/>
                <w:szCs w:val="18"/>
                <w:lang w:eastAsia="es-CO"/>
              </w:rPr>
              <w:t>143%</w:t>
            </w:r>
          </w:p>
        </w:tc>
        <w:tc>
          <w:tcPr>
            <w:tcW w:w="1276"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350.000</w:t>
            </w:r>
          </w:p>
        </w:tc>
        <w:tc>
          <w:tcPr>
            <w:tcW w:w="1276"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500.986</w:t>
            </w:r>
          </w:p>
        </w:tc>
        <w:tc>
          <w:tcPr>
            <w:tcW w:w="1276"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143%</w:t>
            </w:r>
          </w:p>
        </w:tc>
      </w:tr>
      <w:tr w:rsidR="00FC7F0E" w:rsidRPr="00021B2F" w:rsidTr="00FC7F0E">
        <w:trPr>
          <w:trHeight w:val="300"/>
          <w:jc w:val="center"/>
        </w:trPr>
        <w:tc>
          <w:tcPr>
            <w:tcW w:w="2835" w:type="dxa"/>
            <w:tcBorders>
              <w:top w:val="single" w:sz="4" w:space="0" w:color="FFFFFF"/>
              <w:left w:val="nil"/>
              <w:bottom w:val="single" w:sz="4" w:space="0" w:color="FFFFFF"/>
              <w:right w:val="single" w:sz="4" w:space="0" w:color="FFFFFF"/>
            </w:tcBorders>
            <w:shd w:val="clear" w:color="B8CCE4" w:fill="B8CCE4"/>
          </w:tcPr>
          <w:p w:rsidR="00FC7F0E" w:rsidRPr="00021B2F" w:rsidRDefault="00FC7F0E" w:rsidP="00FC7F0E">
            <w:pPr>
              <w:spacing w:after="0" w:line="240" w:lineRule="auto"/>
              <w:contextualSpacing/>
              <w:rPr>
                <w:rFonts w:ascii="Verdana" w:hAnsi="Verdana"/>
                <w:sz w:val="18"/>
                <w:szCs w:val="18"/>
              </w:rPr>
            </w:pPr>
            <w:r w:rsidRPr="00021B2F">
              <w:rPr>
                <w:rFonts w:ascii="Verdana" w:hAnsi="Verdana"/>
                <w:sz w:val="18"/>
                <w:szCs w:val="18"/>
              </w:rPr>
              <w:t>Familias promovidas de la Red UNIDOS</w:t>
            </w:r>
          </w:p>
        </w:tc>
        <w:tc>
          <w:tcPr>
            <w:tcW w:w="1134" w:type="dxa"/>
            <w:tcBorders>
              <w:top w:val="single" w:sz="4" w:space="0" w:color="FFFFFF"/>
              <w:left w:val="nil"/>
              <w:bottom w:val="single" w:sz="4" w:space="0" w:color="FFFFFF"/>
              <w:right w:val="nil"/>
            </w:tcBorders>
            <w:shd w:val="clear" w:color="B8CCE4" w:fill="B8CCE4"/>
          </w:tcPr>
          <w:p w:rsidR="00FC7F0E" w:rsidRPr="00021B2F" w:rsidRDefault="00FC7F0E" w:rsidP="00FC7F0E">
            <w:pPr>
              <w:spacing w:after="0" w:line="240" w:lineRule="auto"/>
              <w:jc w:val="center"/>
              <w:rPr>
                <w:rFonts w:ascii="Verdana" w:hAnsi="Verdana" w:cs="Arial"/>
                <w:sz w:val="18"/>
                <w:szCs w:val="18"/>
                <w:lang w:eastAsia="es-CO"/>
              </w:rPr>
            </w:pPr>
            <w:r w:rsidRPr="00021B2F">
              <w:rPr>
                <w:rFonts w:ascii="Verdana" w:eastAsia="Calibri" w:hAnsi="Verdana" w:cs="Times New Roman"/>
                <w:color w:val="000000" w:themeColor="text1"/>
                <w:kern w:val="24"/>
                <w:sz w:val="18"/>
                <w:szCs w:val="18"/>
                <w:lang w:eastAsia="es-CO"/>
              </w:rPr>
              <w:t>131,250</w:t>
            </w:r>
          </w:p>
        </w:tc>
        <w:tc>
          <w:tcPr>
            <w:tcW w:w="1276" w:type="dxa"/>
            <w:tcBorders>
              <w:top w:val="single" w:sz="4" w:space="0" w:color="FFFFFF"/>
              <w:left w:val="single" w:sz="4" w:space="0" w:color="FFFFFF"/>
              <w:bottom w:val="single" w:sz="4" w:space="0" w:color="FFFFFF"/>
              <w:right w:val="single" w:sz="4" w:space="0" w:color="FFFFFF"/>
            </w:tcBorders>
            <w:shd w:val="clear" w:color="B8CCE4" w:fill="B8CCE4"/>
          </w:tcPr>
          <w:p w:rsidR="00FC7F0E" w:rsidRPr="00021B2F" w:rsidRDefault="00FC7F0E" w:rsidP="00FC7F0E">
            <w:pPr>
              <w:spacing w:after="0" w:line="240" w:lineRule="auto"/>
              <w:jc w:val="center"/>
              <w:rPr>
                <w:rFonts w:ascii="Verdana" w:hAnsi="Verdana" w:cs="Arial"/>
                <w:sz w:val="18"/>
                <w:szCs w:val="18"/>
                <w:lang w:eastAsia="es-CO"/>
              </w:rPr>
            </w:pPr>
            <w:r w:rsidRPr="00021B2F">
              <w:rPr>
                <w:rFonts w:ascii="Verdana" w:eastAsia="Calibri" w:hAnsi="Verdana" w:cs="Times New Roman"/>
                <w:color w:val="000000" w:themeColor="text1"/>
                <w:kern w:val="24"/>
                <w:sz w:val="18"/>
                <w:szCs w:val="18"/>
                <w:lang w:eastAsia="es-CO"/>
              </w:rPr>
              <w:t>132,712</w:t>
            </w:r>
          </w:p>
        </w:tc>
        <w:tc>
          <w:tcPr>
            <w:tcW w:w="1276" w:type="dxa"/>
            <w:tcBorders>
              <w:top w:val="single" w:sz="4" w:space="0" w:color="FFFFFF"/>
              <w:left w:val="single" w:sz="4" w:space="0" w:color="FFFFFF"/>
              <w:bottom w:val="single" w:sz="4" w:space="0" w:color="FFFFFF"/>
              <w:right w:val="single" w:sz="4" w:space="0" w:color="FFFFFF"/>
            </w:tcBorders>
            <w:shd w:val="clear" w:color="B8CCE4" w:fill="B8CCE4"/>
          </w:tcPr>
          <w:p w:rsidR="00FC7F0E" w:rsidRPr="00021B2F" w:rsidRDefault="00FC7F0E" w:rsidP="00FC7F0E">
            <w:pPr>
              <w:spacing w:after="0" w:line="240" w:lineRule="auto"/>
              <w:jc w:val="center"/>
              <w:rPr>
                <w:rFonts w:ascii="Verdana" w:hAnsi="Verdana" w:cs="Arial"/>
                <w:sz w:val="18"/>
                <w:szCs w:val="18"/>
                <w:lang w:eastAsia="es-CO"/>
              </w:rPr>
            </w:pPr>
            <w:r w:rsidRPr="00021B2F">
              <w:rPr>
                <w:rFonts w:ascii="Verdana" w:eastAsia="Calibri" w:hAnsi="Verdana" w:cs="Times New Roman"/>
                <w:bCs/>
                <w:color w:val="000000" w:themeColor="text1"/>
                <w:kern w:val="24"/>
                <w:sz w:val="18"/>
                <w:szCs w:val="18"/>
                <w:lang w:eastAsia="es-CO"/>
              </w:rPr>
              <w:t>101%</w:t>
            </w:r>
          </w:p>
        </w:tc>
        <w:tc>
          <w:tcPr>
            <w:tcW w:w="1276" w:type="dxa"/>
            <w:tcBorders>
              <w:top w:val="single" w:sz="4" w:space="0" w:color="FFFFFF"/>
              <w:left w:val="single" w:sz="4" w:space="0" w:color="FFFFFF"/>
              <w:bottom w:val="single" w:sz="4" w:space="0" w:color="FFFFFF"/>
              <w:right w:val="single" w:sz="4" w:space="0" w:color="FFFFFF"/>
            </w:tcBorders>
            <w:shd w:val="clear" w:color="B8CCE4" w:fill="B8CCE4"/>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350.000</w:t>
            </w:r>
          </w:p>
        </w:tc>
        <w:tc>
          <w:tcPr>
            <w:tcW w:w="1276" w:type="dxa"/>
            <w:tcBorders>
              <w:top w:val="single" w:sz="4" w:space="0" w:color="FFFFFF"/>
              <w:left w:val="single" w:sz="4" w:space="0" w:color="FFFFFF"/>
              <w:bottom w:val="single" w:sz="4" w:space="0" w:color="FFFFFF"/>
              <w:right w:val="single" w:sz="4" w:space="0" w:color="FFFFFF"/>
            </w:tcBorders>
            <w:shd w:val="clear" w:color="B8CCE4" w:fill="B8CCE4"/>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256.944</w:t>
            </w:r>
          </w:p>
        </w:tc>
        <w:tc>
          <w:tcPr>
            <w:tcW w:w="1276" w:type="dxa"/>
            <w:tcBorders>
              <w:top w:val="single" w:sz="4" w:space="0" w:color="FFFFFF"/>
              <w:left w:val="single" w:sz="4" w:space="0" w:color="FFFFFF"/>
              <w:bottom w:val="single" w:sz="4" w:space="0" w:color="FFFFFF"/>
              <w:right w:val="single" w:sz="4" w:space="0" w:color="FFFFFF"/>
            </w:tcBorders>
            <w:shd w:val="clear" w:color="B8CCE4" w:fill="B8CCE4"/>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73%</w:t>
            </w:r>
          </w:p>
        </w:tc>
      </w:tr>
    </w:tbl>
    <w:p w:rsidR="00071815" w:rsidRPr="00021B2F" w:rsidRDefault="00071815" w:rsidP="00071815">
      <w:pPr>
        <w:spacing w:after="0" w:line="240" w:lineRule="auto"/>
        <w:jc w:val="right"/>
        <w:rPr>
          <w:rFonts w:ascii="Verdana" w:hAnsi="Verdana"/>
          <w:b/>
          <w:sz w:val="18"/>
          <w:szCs w:val="18"/>
        </w:rPr>
      </w:pPr>
      <w:r w:rsidRPr="00021B2F">
        <w:rPr>
          <w:rFonts w:ascii="Verdana" w:hAnsi="Verdana"/>
          <w:b/>
          <w:sz w:val="18"/>
          <w:szCs w:val="18"/>
        </w:rPr>
        <w:t xml:space="preserve">Tabla </w:t>
      </w:r>
      <w:r>
        <w:rPr>
          <w:rFonts w:ascii="Verdana" w:hAnsi="Verdana"/>
          <w:b/>
          <w:sz w:val="18"/>
          <w:szCs w:val="18"/>
        </w:rPr>
        <w:t>11</w:t>
      </w:r>
      <w:r w:rsidRPr="00021B2F">
        <w:rPr>
          <w:rFonts w:ascii="Verdana" w:hAnsi="Verdana"/>
          <w:b/>
          <w:sz w:val="18"/>
          <w:szCs w:val="18"/>
        </w:rPr>
        <w:t>. Indicadores de la Red UNIDOS en el Plan Nacional de Desarrollo 2010-2014.</w:t>
      </w:r>
    </w:p>
    <w:p w:rsidR="00FC7F0E" w:rsidRPr="00021B2F" w:rsidRDefault="00FC7F0E" w:rsidP="00071815">
      <w:pPr>
        <w:spacing w:after="0" w:line="240" w:lineRule="auto"/>
        <w:jc w:val="right"/>
        <w:rPr>
          <w:rFonts w:ascii="Verdana" w:hAnsi="Verdana"/>
          <w:sz w:val="18"/>
          <w:szCs w:val="18"/>
        </w:rPr>
      </w:pPr>
      <w:r w:rsidRPr="00021B2F">
        <w:rPr>
          <w:rFonts w:ascii="Verdana" w:hAnsi="Verdana"/>
          <w:sz w:val="18"/>
          <w:szCs w:val="18"/>
          <w:lang w:eastAsia="es-CO"/>
        </w:rPr>
        <w:t>Fuente: SIUNIDOS, corte 31 de diciembre 2014, según lo reportado en SINERGIA Seguimiento.</w:t>
      </w:r>
    </w:p>
    <w:p w:rsidR="00FC7F0E" w:rsidRPr="00021B2F" w:rsidRDefault="00FC7F0E" w:rsidP="00071815">
      <w:pPr>
        <w:spacing w:after="0" w:line="240" w:lineRule="auto"/>
        <w:jc w:val="right"/>
        <w:rPr>
          <w:rFonts w:ascii="Verdana" w:hAnsi="Verdana"/>
          <w:i/>
          <w:sz w:val="24"/>
          <w:szCs w:val="24"/>
        </w:rPr>
      </w:pPr>
    </w:p>
    <w:p w:rsidR="00FC7F0E" w:rsidRPr="00021B2F" w:rsidRDefault="00FC7F0E" w:rsidP="00FC7F0E">
      <w:pPr>
        <w:spacing w:after="0" w:line="240" w:lineRule="auto"/>
        <w:jc w:val="both"/>
        <w:rPr>
          <w:rFonts w:ascii="Verdana" w:hAnsi="Verdana"/>
          <w:sz w:val="24"/>
          <w:szCs w:val="24"/>
        </w:rPr>
      </w:pPr>
      <w:r w:rsidRPr="00021B2F">
        <w:rPr>
          <w:rFonts w:ascii="Verdana" w:hAnsi="Verdana"/>
          <w:sz w:val="24"/>
          <w:szCs w:val="24"/>
        </w:rPr>
        <w:t>Respecto a los 45 logros básicos familiares, se priorizaron 20 en el marco del Plan Nacional de Desarrollo 2010-2014 dado su aporte a los indicadores de pobreza y capacidad de oferta institucional, de los cuales las entidades de la Red UNIDOS fijaron metas sectoriales de avance. Con corte a diciembre de 2014, el avance en los logros priorizados presenta el siguiente panorama:</w:t>
      </w:r>
    </w:p>
    <w:p w:rsidR="00FC7F0E" w:rsidRPr="00021B2F" w:rsidRDefault="00FC7F0E" w:rsidP="00FC7F0E">
      <w:pPr>
        <w:spacing w:after="0" w:line="240" w:lineRule="auto"/>
        <w:ind w:left="708"/>
        <w:jc w:val="both"/>
        <w:rPr>
          <w:rFonts w:ascii="Verdana" w:hAnsi="Verdana"/>
          <w:sz w:val="24"/>
          <w:szCs w:val="24"/>
        </w:rPr>
      </w:pPr>
    </w:p>
    <w:tbl>
      <w:tblPr>
        <w:tblW w:w="10349" w:type="dxa"/>
        <w:jc w:val="center"/>
        <w:tblLayout w:type="fixed"/>
        <w:tblCellMar>
          <w:left w:w="70" w:type="dxa"/>
          <w:right w:w="70" w:type="dxa"/>
        </w:tblCellMar>
        <w:tblLook w:val="04A0"/>
      </w:tblPr>
      <w:tblGrid>
        <w:gridCol w:w="1418"/>
        <w:gridCol w:w="2835"/>
        <w:gridCol w:w="2693"/>
        <w:gridCol w:w="709"/>
        <w:gridCol w:w="992"/>
        <w:gridCol w:w="709"/>
        <w:gridCol w:w="993"/>
      </w:tblGrid>
      <w:tr w:rsidR="00FC7F0E" w:rsidRPr="00021B2F" w:rsidTr="00071815">
        <w:trPr>
          <w:trHeight w:val="300"/>
          <w:tblHeader/>
          <w:jc w:val="center"/>
        </w:trPr>
        <w:tc>
          <w:tcPr>
            <w:tcW w:w="1418" w:type="dxa"/>
            <w:vMerge w:val="restart"/>
            <w:tcBorders>
              <w:top w:val="nil"/>
              <w:left w:val="nil"/>
              <w:right w:val="single" w:sz="4" w:space="0" w:color="FFFFFF"/>
            </w:tcBorders>
            <w:shd w:val="clear" w:color="4F81BD" w:fill="4F81BD"/>
            <w:vAlign w:val="center"/>
          </w:tcPr>
          <w:p w:rsidR="00FC7F0E" w:rsidRPr="00021B2F" w:rsidRDefault="00FC7F0E" w:rsidP="00FC7F0E">
            <w:pPr>
              <w:spacing w:after="0" w:line="240" w:lineRule="auto"/>
              <w:contextualSpacing/>
              <w:jc w:val="center"/>
              <w:rPr>
                <w:rFonts w:ascii="Verdana" w:hAnsi="Verdana"/>
                <w:b/>
                <w:color w:val="FFFFFF" w:themeColor="background1"/>
                <w:sz w:val="18"/>
                <w:szCs w:val="18"/>
              </w:rPr>
            </w:pPr>
            <w:r w:rsidRPr="00021B2F">
              <w:rPr>
                <w:rFonts w:ascii="Verdana" w:hAnsi="Verdana"/>
                <w:b/>
                <w:color w:val="FFFFFF" w:themeColor="background1"/>
                <w:sz w:val="18"/>
                <w:szCs w:val="18"/>
              </w:rPr>
              <w:t>DIMENSIÓN</w:t>
            </w:r>
          </w:p>
        </w:tc>
        <w:tc>
          <w:tcPr>
            <w:tcW w:w="2835" w:type="dxa"/>
            <w:vMerge w:val="restart"/>
            <w:tcBorders>
              <w:top w:val="nil"/>
              <w:left w:val="nil"/>
              <w:right w:val="nil"/>
            </w:tcBorders>
            <w:shd w:val="clear" w:color="4F81BD" w:fill="4F81BD"/>
            <w:vAlign w:val="center"/>
          </w:tcPr>
          <w:p w:rsidR="00FC7F0E" w:rsidRPr="00021B2F" w:rsidRDefault="00FC7F0E" w:rsidP="00FC7F0E">
            <w:pPr>
              <w:spacing w:after="0" w:line="240" w:lineRule="auto"/>
              <w:contextualSpacing/>
              <w:jc w:val="center"/>
              <w:rPr>
                <w:rFonts w:ascii="Verdana" w:hAnsi="Verdana"/>
                <w:b/>
                <w:color w:val="FFFFFF" w:themeColor="background1"/>
                <w:sz w:val="18"/>
                <w:szCs w:val="18"/>
              </w:rPr>
            </w:pPr>
            <w:r w:rsidRPr="00021B2F">
              <w:rPr>
                <w:rFonts w:ascii="Verdana" w:hAnsi="Verdana"/>
                <w:b/>
                <w:color w:val="FFFFFF" w:themeColor="background1"/>
                <w:sz w:val="18"/>
                <w:szCs w:val="18"/>
              </w:rPr>
              <w:t>LOGRO BÁSICO</w:t>
            </w:r>
          </w:p>
        </w:tc>
        <w:tc>
          <w:tcPr>
            <w:tcW w:w="2693" w:type="dxa"/>
            <w:vMerge w:val="restart"/>
            <w:tcBorders>
              <w:top w:val="nil"/>
              <w:left w:val="single" w:sz="4" w:space="0" w:color="FFFFFF"/>
              <w:right w:val="single" w:sz="4" w:space="0" w:color="FFFFFF"/>
            </w:tcBorders>
            <w:shd w:val="clear" w:color="4F81BD" w:fill="4F81BD"/>
            <w:vAlign w:val="center"/>
          </w:tcPr>
          <w:p w:rsidR="00FC7F0E" w:rsidRPr="00021B2F" w:rsidRDefault="00FC7F0E" w:rsidP="00FC7F0E">
            <w:pPr>
              <w:spacing w:after="0" w:line="240" w:lineRule="auto"/>
              <w:contextualSpacing/>
              <w:jc w:val="center"/>
              <w:rPr>
                <w:rFonts w:ascii="Verdana" w:hAnsi="Verdana"/>
                <w:b/>
                <w:color w:val="FFFFFF" w:themeColor="background1"/>
                <w:sz w:val="18"/>
                <w:szCs w:val="18"/>
              </w:rPr>
            </w:pPr>
            <w:r w:rsidRPr="00021B2F">
              <w:rPr>
                <w:rFonts w:ascii="Verdana" w:hAnsi="Verdana"/>
                <w:b/>
                <w:color w:val="FFFFFF" w:themeColor="background1"/>
                <w:sz w:val="18"/>
                <w:szCs w:val="18"/>
              </w:rPr>
              <w:t>RESPONSABLE</w:t>
            </w:r>
          </w:p>
        </w:tc>
        <w:tc>
          <w:tcPr>
            <w:tcW w:w="1701" w:type="dxa"/>
            <w:gridSpan w:val="2"/>
            <w:tcBorders>
              <w:top w:val="nil"/>
              <w:left w:val="single" w:sz="4" w:space="0" w:color="FFFFFF"/>
              <w:bottom w:val="single" w:sz="12" w:space="0" w:color="FFFFFF"/>
              <w:right w:val="single" w:sz="4" w:space="0" w:color="FFFFFF"/>
            </w:tcBorders>
            <w:shd w:val="clear" w:color="4F81BD" w:fill="4F81BD"/>
            <w:vAlign w:val="center"/>
          </w:tcPr>
          <w:p w:rsidR="00FC7F0E" w:rsidRPr="00021B2F" w:rsidRDefault="00FC7F0E" w:rsidP="00FC7F0E">
            <w:pPr>
              <w:spacing w:after="0" w:line="240" w:lineRule="auto"/>
              <w:contextualSpacing/>
              <w:jc w:val="center"/>
              <w:rPr>
                <w:rFonts w:ascii="Verdana" w:hAnsi="Verdana"/>
                <w:b/>
                <w:color w:val="FFFFFF" w:themeColor="background1"/>
                <w:sz w:val="18"/>
                <w:szCs w:val="18"/>
              </w:rPr>
            </w:pPr>
            <w:r w:rsidRPr="00021B2F">
              <w:rPr>
                <w:rFonts w:ascii="Verdana" w:hAnsi="Verdana"/>
                <w:b/>
                <w:color w:val="FFFFFF" w:themeColor="background1"/>
                <w:sz w:val="18"/>
                <w:szCs w:val="18"/>
              </w:rPr>
              <w:t>Meta cuatrienio</w:t>
            </w:r>
          </w:p>
          <w:p w:rsidR="00FC7F0E" w:rsidRPr="00021B2F" w:rsidRDefault="00FC7F0E" w:rsidP="00FC7F0E">
            <w:pPr>
              <w:spacing w:after="0" w:line="240" w:lineRule="auto"/>
              <w:contextualSpacing/>
              <w:jc w:val="center"/>
              <w:rPr>
                <w:rFonts w:ascii="Verdana" w:hAnsi="Verdana"/>
                <w:b/>
                <w:color w:val="FFFFFF" w:themeColor="background1"/>
                <w:sz w:val="18"/>
                <w:szCs w:val="18"/>
              </w:rPr>
            </w:pPr>
            <w:r w:rsidRPr="00021B2F">
              <w:rPr>
                <w:rFonts w:ascii="Verdana" w:hAnsi="Verdana"/>
                <w:b/>
                <w:color w:val="FFFFFF" w:themeColor="background1"/>
                <w:sz w:val="18"/>
                <w:szCs w:val="18"/>
              </w:rPr>
              <w:t>2010-2014</w:t>
            </w:r>
          </w:p>
        </w:tc>
        <w:tc>
          <w:tcPr>
            <w:tcW w:w="1702" w:type="dxa"/>
            <w:gridSpan w:val="2"/>
            <w:tcBorders>
              <w:top w:val="nil"/>
              <w:left w:val="single" w:sz="4" w:space="0" w:color="FFFFFF"/>
              <w:bottom w:val="single" w:sz="12" w:space="0" w:color="FFFFFF"/>
              <w:right w:val="single" w:sz="4" w:space="0" w:color="FFFFFF"/>
            </w:tcBorders>
            <w:shd w:val="clear" w:color="4F81BD" w:fill="4F81BD"/>
            <w:vAlign w:val="center"/>
          </w:tcPr>
          <w:p w:rsidR="00FC7F0E" w:rsidRPr="00021B2F" w:rsidRDefault="00FC7F0E" w:rsidP="00FC7F0E">
            <w:pPr>
              <w:spacing w:after="0" w:line="240" w:lineRule="auto"/>
              <w:contextualSpacing/>
              <w:jc w:val="center"/>
              <w:rPr>
                <w:rFonts w:ascii="Verdana" w:hAnsi="Verdana"/>
                <w:b/>
                <w:color w:val="FFFFFF" w:themeColor="background1"/>
                <w:sz w:val="18"/>
                <w:szCs w:val="18"/>
              </w:rPr>
            </w:pPr>
            <w:r w:rsidRPr="00021B2F">
              <w:rPr>
                <w:rFonts w:ascii="Verdana" w:hAnsi="Verdana"/>
                <w:b/>
                <w:color w:val="FFFFFF" w:themeColor="background1"/>
                <w:sz w:val="18"/>
                <w:szCs w:val="18"/>
              </w:rPr>
              <w:t>Avance</w:t>
            </w:r>
          </w:p>
        </w:tc>
      </w:tr>
      <w:tr w:rsidR="00FC7F0E" w:rsidRPr="00021B2F" w:rsidTr="00071815">
        <w:trPr>
          <w:trHeight w:val="300"/>
          <w:tblHeader/>
          <w:jc w:val="center"/>
        </w:trPr>
        <w:tc>
          <w:tcPr>
            <w:tcW w:w="1418" w:type="dxa"/>
            <w:vMerge/>
            <w:tcBorders>
              <w:left w:val="nil"/>
              <w:bottom w:val="single" w:sz="12" w:space="0" w:color="FFFFFF"/>
              <w:right w:val="single" w:sz="4" w:space="0" w:color="FFFFFF"/>
            </w:tcBorders>
            <w:shd w:val="clear" w:color="4F81BD" w:fill="4F81BD"/>
            <w:vAlign w:val="center"/>
          </w:tcPr>
          <w:p w:rsidR="00FC7F0E" w:rsidRPr="00021B2F" w:rsidRDefault="00FC7F0E" w:rsidP="00FC7F0E">
            <w:pPr>
              <w:spacing w:after="0" w:line="240" w:lineRule="auto"/>
              <w:contextualSpacing/>
              <w:jc w:val="center"/>
              <w:rPr>
                <w:rFonts w:ascii="Verdana" w:hAnsi="Verdana"/>
                <w:b/>
                <w:color w:val="FFFFFF" w:themeColor="background1"/>
                <w:sz w:val="18"/>
                <w:szCs w:val="18"/>
              </w:rPr>
            </w:pPr>
          </w:p>
        </w:tc>
        <w:tc>
          <w:tcPr>
            <w:tcW w:w="2835" w:type="dxa"/>
            <w:vMerge/>
            <w:tcBorders>
              <w:left w:val="nil"/>
              <w:bottom w:val="single" w:sz="12" w:space="0" w:color="FFFFFF"/>
              <w:right w:val="nil"/>
            </w:tcBorders>
            <w:shd w:val="clear" w:color="4F81BD" w:fill="4F81BD"/>
            <w:vAlign w:val="center"/>
          </w:tcPr>
          <w:p w:rsidR="00FC7F0E" w:rsidRPr="00021B2F" w:rsidRDefault="00FC7F0E" w:rsidP="00FC7F0E">
            <w:pPr>
              <w:spacing w:after="0" w:line="240" w:lineRule="auto"/>
              <w:contextualSpacing/>
              <w:jc w:val="center"/>
              <w:rPr>
                <w:rFonts w:ascii="Verdana" w:hAnsi="Verdana"/>
                <w:b/>
                <w:color w:val="FFFFFF" w:themeColor="background1"/>
                <w:sz w:val="18"/>
                <w:szCs w:val="18"/>
              </w:rPr>
            </w:pPr>
          </w:p>
        </w:tc>
        <w:tc>
          <w:tcPr>
            <w:tcW w:w="2693" w:type="dxa"/>
            <w:vMerge/>
            <w:tcBorders>
              <w:left w:val="single" w:sz="4" w:space="0" w:color="FFFFFF"/>
              <w:bottom w:val="single" w:sz="12" w:space="0" w:color="FFFFFF"/>
              <w:right w:val="single" w:sz="4" w:space="0" w:color="FFFFFF"/>
            </w:tcBorders>
            <w:shd w:val="clear" w:color="4F81BD" w:fill="4F81BD"/>
            <w:vAlign w:val="center"/>
          </w:tcPr>
          <w:p w:rsidR="00FC7F0E" w:rsidRPr="00021B2F" w:rsidRDefault="00FC7F0E" w:rsidP="00FC7F0E">
            <w:pPr>
              <w:spacing w:after="0" w:line="240" w:lineRule="auto"/>
              <w:contextualSpacing/>
              <w:jc w:val="center"/>
              <w:rPr>
                <w:rFonts w:ascii="Verdana" w:hAnsi="Verdana"/>
                <w:b/>
                <w:color w:val="FFFFFF" w:themeColor="background1"/>
                <w:sz w:val="18"/>
                <w:szCs w:val="18"/>
              </w:rPr>
            </w:pPr>
          </w:p>
        </w:tc>
        <w:tc>
          <w:tcPr>
            <w:tcW w:w="709" w:type="dxa"/>
            <w:tcBorders>
              <w:top w:val="nil"/>
              <w:left w:val="single" w:sz="4" w:space="0" w:color="FFFFFF"/>
              <w:bottom w:val="single" w:sz="12" w:space="0" w:color="FFFFFF"/>
              <w:right w:val="single" w:sz="4" w:space="0" w:color="FFFFFF"/>
            </w:tcBorders>
            <w:shd w:val="clear" w:color="4F81BD" w:fill="4F81BD"/>
            <w:vAlign w:val="center"/>
          </w:tcPr>
          <w:p w:rsidR="00FC7F0E" w:rsidRPr="00021B2F" w:rsidRDefault="00FC7F0E" w:rsidP="00FC7F0E">
            <w:pPr>
              <w:spacing w:after="0" w:line="240" w:lineRule="auto"/>
              <w:contextualSpacing/>
              <w:jc w:val="center"/>
              <w:rPr>
                <w:rFonts w:ascii="Verdana" w:hAnsi="Verdana"/>
                <w:b/>
                <w:color w:val="FFFFFF" w:themeColor="background1"/>
                <w:sz w:val="18"/>
                <w:szCs w:val="18"/>
              </w:rPr>
            </w:pPr>
            <w:r w:rsidRPr="00021B2F">
              <w:rPr>
                <w:rFonts w:ascii="Verdana" w:hAnsi="Verdana"/>
                <w:b/>
                <w:color w:val="FFFFFF" w:themeColor="background1"/>
                <w:sz w:val="18"/>
                <w:szCs w:val="18"/>
              </w:rPr>
              <w:t>%</w:t>
            </w:r>
          </w:p>
        </w:tc>
        <w:tc>
          <w:tcPr>
            <w:tcW w:w="992" w:type="dxa"/>
            <w:tcBorders>
              <w:top w:val="nil"/>
              <w:left w:val="single" w:sz="4" w:space="0" w:color="FFFFFF"/>
              <w:bottom w:val="single" w:sz="12" w:space="0" w:color="FFFFFF"/>
              <w:right w:val="single" w:sz="4" w:space="0" w:color="FFFFFF"/>
            </w:tcBorders>
            <w:shd w:val="clear" w:color="4F81BD" w:fill="4F81BD"/>
            <w:vAlign w:val="center"/>
          </w:tcPr>
          <w:p w:rsidR="00FC7F0E" w:rsidRPr="00021B2F" w:rsidRDefault="00FC7F0E" w:rsidP="00FC7F0E">
            <w:pPr>
              <w:spacing w:after="0" w:line="240" w:lineRule="auto"/>
              <w:contextualSpacing/>
              <w:jc w:val="center"/>
              <w:rPr>
                <w:rFonts w:ascii="Verdana" w:hAnsi="Verdana"/>
                <w:b/>
                <w:color w:val="FFFFFF" w:themeColor="background1"/>
                <w:sz w:val="18"/>
                <w:szCs w:val="18"/>
              </w:rPr>
            </w:pPr>
            <w:r w:rsidRPr="00021B2F">
              <w:rPr>
                <w:rFonts w:ascii="Verdana" w:hAnsi="Verdana"/>
                <w:b/>
                <w:color w:val="FFFFFF" w:themeColor="background1"/>
                <w:sz w:val="18"/>
                <w:szCs w:val="18"/>
              </w:rPr>
              <w:t>Familias</w:t>
            </w:r>
          </w:p>
        </w:tc>
        <w:tc>
          <w:tcPr>
            <w:tcW w:w="709" w:type="dxa"/>
            <w:tcBorders>
              <w:top w:val="nil"/>
              <w:left w:val="single" w:sz="4" w:space="0" w:color="FFFFFF"/>
              <w:bottom w:val="single" w:sz="12" w:space="0" w:color="FFFFFF"/>
              <w:right w:val="single" w:sz="4" w:space="0" w:color="FFFFFF"/>
            </w:tcBorders>
            <w:shd w:val="clear" w:color="4F81BD" w:fill="4F81BD"/>
            <w:vAlign w:val="center"/>
          </w:tcPr>
          <w:p w:rsidR="00FC7F0E" w:rsidRPr="00021B2F" w:rsidRDefault="00FC7F0E" w:rsidP="00FC7F0E">
            <w:pPr>
              <w:spacing w:after="0" w:line="240" w:lineRule="auto"/>
              <w:contextualSpacing/>
              <w:jc w:val="center"/>
              <w:rPr>
                <w:rFonts w:ascii="Verdana" w:hAnsi="Verdana"/>
                <w:b/>
                <w:color w:val="FFFFFF" w:themeColor="background1"/>
                <w:sz w:val="18"/>
                <w:szCs w:val="18"/>
              </w:rPr>
            </w:pPr>
            <w:r w:rsidRPr="00021B2F">
              <w:rPr>
                <w:rFonts w:ascii="Verdana" w:hAnsi="Verdana"/>
                <w:b/>
                <w:color w:val="FFFFFF" w:themeColor="background1"/>
                <w:sz w:val="18"/>
                <w:szCs w:val="18"/>
              </w:rPr>
              <w:t>%</w:t>
            </w:r>
          </w:p>
        </w:tc>
        <w:tc>
          <w:tcPr>
            <w:tcW w:w="993" w:type="dxa"/>
            <w:tcBorders>
              <w:top w:val="nil"/>
              <w:left w:val="single" w:sz="4" w:space="0" w:color="FFFFFF"/>
              <w:bottom w:val="single" w:sz="12" w:space="0" w:color="FFFFFF"/>
              <w:right w:val="single" w:sz="4" w:space="0" w:color="FFFFFF"/>
            </w:tcBorders>
            <w:shd w:val="clear" w:color="4F81BD" w:fill="4F81BD"/>
            <w:vAlign w:val="center"/>
          </w:tcPr>
          <w:p w:rsidR="00FC7F0E" w:rsidRPr="00021B2F" w:rsidRDefault="00FC7F0E" w:rsidP="00FC7F0E">
            <w:pPr>
              <w:spacing w:after="0" w:line="240" w:lineRule="auto"/>
              <w:contextualSpacing/>
              <w:jc w:val="center"/>
              <w:rPr>
                <w:rFonts w:ascii="Verdana" w:hAnsi="Verdana"/>
                <w:b/>
                <w:color w:val="FFFFFF" w:themeColor="background1"/>
                <w:sz w:val="18"/>
                <w:szCs w:val="18"/>
              </w:rPr>
            </w:pPr>
            <w:r w:rsidRPr="00021B2F">
              <w:rPr>
                <w:rFonts w:ascii="Verdana" w:hAnsi="Verdana"/>
                <w:b/>
                <w:color w:val="FFFFFF" w:themeColor="background1"/>
                <w:sz w:val="18"/>
                <w:szCs w:val="18"/>
              </w:rPr>
              <w:t>Familias</w:t>
            </w:r>
          </w:p>
        </w:tc>
      </w:tr>
      <w:tr w:rsidR="00FC7F0E" w:rsidRPr="00021B2F" w:rsidTr="00FC7F0E">
        <w:trPr>
          <w:trHeight w:val="87"/>
          <w:jc w:val="center"/>
        </w:trPr>
        <w:tc>
          <w:tcPr>
            <w:tcW w:w="1418" w:type="dxa"/>
            <w:vMerge w:val="restart"/>
            <w:tcBorders>
              <w:top w:val="single" w:sz="4" w:space="0" w:color="FFFFFF"/>
              <w:left w:val="nil"/>
              <w:right w:val="single" w:sz="4" w:space="0" w:color="FFFFFF"/>
            </w:tcBorders>
            <w:shd w:val="clear" w:color="B8CCE4" w:fill="B8CCE4"/>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Identificación</w:t>
            </w:r>
          </w:p>
        </w:tc>
        <w:tc>
          <w:tcPr>
            <w:tcW w:w="2835" w:type="dxa"/>
            <w:tcBorders>
              <w:top w:val="single" w:sz="4" w:space="0" w:color="FFFFFF"/>
              <w:left w:val="nil"/>
              <w:bottom w:val="single" w:sz="4" w:space="0" w:color="FFFFFF"/>
              <w:right w:val="nil"/>
            </w:tcBorders>
            <w:shd w:val="clear" w:color="B8CCE4" w:fill="B8CCE4"/>
          </w:tcPr>
          <w:p w:rsidR="00FC7F0E" w:rsidRPr="00021B2F" w:rsidRDefault="00FC7F0E" w:rsidP="00FC7F0E">
            <w:pPr>
              <w:spacing w:after="0" w:line="240" w:lineRule="auto"/>
              <w:contextualSpacing/>
              <w:jc w:val="both"/>
              <w:rPr>
                <w:rFonts w:ascii="Verdana" w:hAnsi="Verdana"/>
                <w:sz w:val="18"/>
                <w:szCs w:val="18"/>
              </w:rPr>
            </w:pPr>
            <w:r w:rsidRPr="00021B2F">
              <w:rPr>
                <w:rFonts w:ascii="Verdana" w:hAnsi="Verdana"/>
                <w:sz w:val="18"/>
                <w:szCs w:val="18"/>
              </w:rPr>
              <w:t>1. Identificación</w:t>
            </w:r>
          </w:p>
        </w:tc>
        <w:tc>
          <w:tcPr>
            <w:tcW w:w="2693" w:type="dxa"/>
            <w:tcBorders>
              <w:top w:val="single" w:sz="4" w:space="0" w:color="FFFFFF"/>
              <w:left w:val="single" w:sz="4" w:space="0" w:color="FFFFFF"/>
              <w:bottom w:val="single" w:sz="4" w:space="0" w:color="FFFFFF"/>
              <w:right w:val="single" w:sz="4" w:space="0" w:color="FFFFFF"/>
            </w:tcBorders>
            <w:shd w:val="clear" w:color="B8CCE4" w:fill="B8CCE4"/>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Registraduría</w:t>
            </w:r>
          </w:p>
        </w:tc>
        <w:tc>
          <w:tcPr>
            <w:tcW w:w="709" w:type="dxa"/>
            <w:tcBorders>
              <w:top w:val="single" w:sz="4" w:space="0" w:color="FFFFFF"/>
              <w:left w:val="single" w:sz="4" w:space="0" w:color="FFFFFF"/>
              <w:bottom w:val="single" w:sz="4" w:space="0" w:color="FFFFFF"/>
              <w:right w:val="single" w:sz="4" w:space="0" w:color="FFFFFF"/>
            </w:tcBorders>
            <w:shd w:val="clear" w:color="B8CCE4" w:fill="B8CCE4"/>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100%</w:t>
            </w:r>
          </w:p>
        </w:tc>
        <w:tc>
          <w:tcPr>
            <w:tcW w:w="992" w:type="dxa"/>
            <w:tcBorders>
              <w:top w:val="single" w:sz="4" w:space="0" w:color="FFFFFF"/>
              <w:left w:val="single" w:sz="4" w:space="0" w:color="FFFFFF"/>
              <w:bottom w:val="single" w:sz="4" w:space="0" w:color="FFFFFF"/>
              <w:right w:val="single" w:sz="4" w:space="0" w:color="FFFFFF"/>
            </w:tcBorders>
            <w:shd w:val="clear" w:color="B8CCE4" w:fill="B8CCE4"/>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1.500.000</w:t>
            </w:r>
          </w:p>
        </w:tc>
        <w:tc>
          <w:tcPr>
            <w:tcW w:w="709" w:type="dxa"/>
            <w:tcBorders>
              <w:top w:val="single" w:sz="4" w:space="0" w:color="FFFFFF"/>
              <w:left w:val="single" w:sz="4" w:space="0" w:color="FFFFFF"/>
              <w:bottom w:val="single" w:sz="4" w:space="0" w:color="FFFFFF"/>
              <w:right w:val="single" w:sz="4" w:space="0" w:color="FFFFFF"/>
            </w:tcBorders>
            <w:shd w:val="clear" w:color="B8CCE4" w:fill="B8CCE4"/>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85%</w:t>
            </w:r>
          </w:p>
        </w:tc>
        <w:tc>
          <w:tcPr>
            <w:tcW w:w="993" w:type="dxa"/>
            <w:tcBorders>
              <w:top w:val="single" w:sz="4" w:space="0" w:color="FFFFFF"/>
              <w:left w:val="single" w:sz="4" w:space="0" w:color="FFFFFF"/>
              <w:bottom w:val="single" w:sz="4" w:space="0" w:color="FFFFFF"/>
              <w:right w:val="single" w:sz="4" w:space="0" w:color="FFFFFF"/>
            </w:tcBorders>
            <w:shd w:val="clear" w:color="B8CCE4" w:fill="B8CCE4"/>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1.279.068</w:t>
            </w:r>
          </w:p>
        </w:tc>
      </w:tr>
      <w:tr w:rsidR="00FC7F0E" w:rsidRPr="00021B2F" w:rsidTr="00FC7F0E">
        <w:trPr>
          <w:trHeight w:val="300"/>
          <w:jc w:val="center"/>
        </w:trPr>
        <w:tc>
          <w:tcPr>
            <w:tcW w:w="1418" w:type="dxa"/>
            <w:vMerge/>
            <w:tcBorders>
              <w:left w:val="nil"/>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p>
        </w:tc>
        <w:tc>
          <w:tcPr>
            <w:tcW w:w="2835" w:type="dxa"/>
            <w:tcBorders>
              <w:top w:val="single" w:sz="4" w:space="0" w:color="FFFFFF"/>
              <w:left w:val="nil"/>
              <w:bottom w:val="single" w:sz="4" w:space="0" w:color="FFFFFF"/>
              <w:right w:val="nil"/>
            </w:tcBorders>
            <w:shd w:val="clear" w:color="DCE6F1" w:fill="DCE6F1"/>
          </w:tcPr>
          <w:p w:rsidR="00FC7F0E" w:rsidRPr="00021B2F" w:rsidRDefault="00FC7F0E" w:rsidP="00FC7F0E">
            <w:pPr>
              <w:spacing w:after="0" w:line="240" w:lineRule="auto"/>
              <w:contextualSpacing/>
              <w:jc w:val="both"/>
              <w:rPr>
                <w:rFonts w:ascii="Verdana" w:hAnsi="Verdana"/>
                <w:sz w:val="18"/>
                <w:szCs w:val="18"/>
              </w:rPr>
            </w:pPr>
            <w:r w:rsidRPr="00021B2F">
              <w:rPr>
                <w:rFonts w:ascii="Verdana" w:hAnsi="Verdana"/>
                <w:sz w:val="18"/>
                <w:szCs w:val="18"/>
              </w:rPr>
              <w:t>2. Libreta militar.</w:t>
            </w:r>
          </w:p>
        </w:tc>
        <w:tc>
          <w:tcPr>
            <w:tcW w:w="2693"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Mindefensa</w:t>
            </w:r>
          </w:p>
        </w:tc>
        <w:tc>
          <w:tcPr>
            <w:tcW w:w="709"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100%</w:t>
            </w:r>
          </w:p>
        </w:tc>
        <w:tc>
          <w:tcPr>
            <w:tcW w:w="992"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917.804</w:t>
            </w:r>
          </w:p>
        </w:tc>
        <w:tc>
          <w:tcPr>
            <w:tcW w:w="709"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28%</w:t>
            </w:r>
          </w:p>
        </w:tc>
        <w:tc>
          <w:tcPr>
            <w:tcW w:w="993"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255.719</w:t>
            </w:r>
          </w:p>
        </w:tc>
      </w:tr>
      <w:tr w:rsidR="00FC7F0E" w:rsidRPr="00021B2F" w:rsidTr="00FC7F0E">
        <w:trPr>
          <w:trHeight w:val="300"/>
          <w:jc w:val="center"/>
        </w:trPr>
        <w:tc>
          <w:tcPr>
            <w:tcW w:w="1418" w:type="dxa"/>
            <w:vMerge w:val="restart"/>
            <w:tcBorders>
              <w:top w:val="single" w:sz="4" w:space="0" w:color="FFFFFF"/>
              <w:left w:val="nil"/>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Ingresos y Trabajo</w:t>
            </w:r>
          </w:p>
        </w:tc>
        <w:tc>
          <w:tcPr>
            <w:tcW w:w="2835" w:type="dxa"/>
            <w:tcBorders>
              <w:top w:val="single" w:sz="4" w:space="0" w:color="FFFFFF"/>
              <w:left w:val="nil"/>
              <w:bottom w:val="single" w:sz="4" w:space="0" w:color="FFFFFF"/>
              <w:right w:val="nil"/>
            </w:tcBorders>
            <w:shd w:val="clear" w:color="auto" w:fill="B8CCE4" w:themeFill="accent1" w:themeFillTint="66"/>
          </w:tcPr>
          <w:p w:rsidR="00FC7F0E" w:rsidRPr="00021B2F" w:rsidRDefault="00FC7F0E" w:rsidP="00FC7F0E">
            <w:pPr>
              <w:spacing w:after="0" w:line="240" w:lineRule="auto"/>
              <w:contextualSpacing/>
              <w:jc w:val="both"/>
              <w:rPr>
                <w:rFonts w:ascii="Verdana" w:hAnsi="Verdana"/>
                <w:sz w:val="18"/>
                <w:szCs w:val="18"/>
              </w:rPr>
            </w:pPr>
            <w:r w:rsidRPr="00021B2F">
              <w:rPr>
                <w:rFonts w:ascii="Verdana" w:hAnsi="Verdana"/>
                <w:sz w:val="18"/>
                <w:szCs w:val="18"/>
              </w:rPr>
              <w:t>6. Capacidades del hogar</w:t>
            </w:r>
          </w:p>
        </w:tc>
        <w:tc>
          <w:tcPr>
            <w:tcW w:w="2693"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Minagricultura, SENA,</w:t>
            </w:r>
          </w:p>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DPS, Mincomercio, INCODER, Banca de Oportunidades</w:t>
            </w:r>
          </w:p>
        </w:tc>
        <w:tc>
          <w:tcPr>
            <w:tcW w:w="709"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24%</w:t>
            </w:r>
          </w:p>
        </w:tc>
        <w:tc>
          <w:tcPr>
            <w:tcW w:w="992"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275.219</w:t>
            </w:r>
          </w:p>
        </w:tc>
        <w:tc>
          <w:tcPr>
            <w:tcW w:w="709"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N.D.</w:t>
            </w:r>
          </w:p>
        </w:tc>
        <w:tc>
          <w:tcPr>
            <w:tcW w:w="993"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p>
        </w:tc>
      </w:tr>
      <w:tr w:rsidR="00FC7F0E" w:rsidRPr="00021B2F" w:rsidTr="00FC7F0E">
        <w:trPr>
          <w:trHeight w:val="300"/>
          <w:jc w:val="center"/>
        </w:trPr>
        <w:tc>
          <w:tcPr>
            <w:tcW w:w="1418" w:type="dxa"/>
            <w:vMerge/>
            <w:tcBorders>
              <w:left w:val="nil"/>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p>
        </w:tc>
        <w:tc>
          <w:tcPr>
            <w:tcW w:w="2835" w:type="dxa"/>
            <w:tcBorders>
              <w:top w:val="single" w:sz="4" w:space="0" w:color="FFFFFF"/>
              <w:left w:val="nil"/>
              <w:bottom w:val="single" w:sz="4" w:space="0" w:color="FFFFFF"/>
              <w:right w:val="nil"/>
            </w:tcBorders>
            <w:shd w:val="clear" w:color="DCE6F1" w:fill="DCE6F1"/>
          </w:tcPr>
          <w:p w:rsidR="00FC7F0E" w:rsidRPr="00021B2F" w:rsidRDefault="00FC7F0E" w:rsidP="00FC7F0E">
            <w:pPr>
              <w:spacing w:after="0" w:line="240" w:lineRule="auto"/>
              <w:contextualSpacing/>
              <w:jc w:val="both"/>
              <w:rPr>
                <w:rFonts w:ascii="Verdana" w:hAnsi="Verdana"/>
                <w:sz w:val="18"/>
                <w:szCs w:val="18"/>
              </w:rPr>
            </w:pPr>
            <w:r w:rsidRPr="00021B2F">
              <w:rPr>
                <w:rFonts w:ascii="Verdana" w:hAnsi="Verdana"/>
                <w:sz w:val="18"/>
                <w:szCs w:val="18"/>
              </w:rPr>
              <w:t>7. Activos del hogar</w:t>
            </w:r>
          </w:p>
        </w:tc>
        <w:tc>
          <w:tcPr>
            <w:tcW w:w="2693"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p>
        </w:tc>
        <w:tc>
          <w:tcPr>
            <w:tcW w:w="709"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14%</w:t>
            </w:r>
          </w:p>
        </w:tc>
        <w:tc>
          <w:tcPr>
            <w:tcW w:w="992"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162.281</w:t>
            </w:r>
          </w:p>
        </w:tc>
        <w:tc>
          <w:tcPr>
            <w:tcW w:w="709"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N.D.</w:t>
            </w:r>
          </w:p>
        </w:tc>
        <w:tc>
          <w:tcPr>
            <w:tcW w:w="993"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p>
        </w:tc>
      </w:tr>
      <w:tr w:rsidR="00FC7F0E" w:rsidRPr="00021B2F" w:rsidTr="00FC7F0E">
        <w:trPr>
          <w:trHeight w:val="70"/>
          <w:jc w:val="center"/>
        </w:trPr>
        <w:tc>
          <w:tcPr>
            <w:tcW w:w="1418" w:type="dxa"/>
            <w:vMerge w:val="restart"/>
            <w:tcBorders>
              <w:top w:val="single" w:sz="4" w:space="0" w:color="FFFFFF"/>
              <w:left w:val="nil"/>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Educación y Capacitación</w:t>
            </w:r>
          </w:p>
        </w:tc>
        <w:tc>
          <w:tcPr>
            <w:tcW w:w="2835" w:type="dxa"/>
            <w:tcBorders>
              <w:top w:val="single" w:sz="4" w:space="0" w:color="FFFFFF"/>
              <w:left w:val="nil"/>
              <w:bottom w:val="single" w:sz="4" w:space="0" w:color="FFFFFF"/>
              <w:right w:val="nil"/>
            </w:tcBorders>
            <w:shd w:val="clear" w:color="auto" w:fill="B8CCE4" w:themeFill="accent1" w:themeFillTint="66"/>
          </w:tcPr>
          <w:p w:rsidR="00FC7F0E" w:rsidRPr="00021B2F" w:rsidRDefault="00FC7F0E" w:rsidP="00FC7F0E">
            <w:pPr>
              <w:spacing w:after="0" w:line="240" w:lineRule="auto"/>
              <w:contextualSpacing/>
              <w:jc w:val="both"/>
              <w:rPr>
                <w:rFonts w:ascii="Verdana" w:hAnsi="Verdana"/>
                <w:sz w:val="18"/>
                <w:szCs w:val="18"/>
              </w:rPr>
            </w:pPr>
            <w:r w:rsidRPr="00021B2F">
              <w:rPr>
                <w:rFonts w:ascii="Verdana" w:hAnsi="Verdana"/>
                <w:sz w:val="18"/>
                <w:szCs w:val="18"/>
              </w:rPr>
              <w:t>8. Atención Integral a niños</w:t>
            </w:r>
          </w:p>
        </w:tc>
        <w:tc>
          <w:tcPr>
            <w:tcW w:w="2693"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ICBF, Mineducación</w:t>
            </w:r>
          </w:p>
        </w:tc>
        <w:tc>
          <w:tcPr>
            <w:tcW w:w="709"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100%</w:t>
            </w:r>
          </w:p>
        </w:tc>
        <w:tc>
          <w:tcPr>
            <w:tcW w:w="992"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307.600</w:t>
            </w:r>
          </w:p>
        </w:tc>
        <w:tc>
          <w:tcPr>
            <w:tcW w:w="709"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100%</w:t>
            </w:r>
          </w:p>
        </w:tc>
        <w:tc>
          <w:tcPr>
            <w:tcW w:w="993"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306.396</w:t>
            </w:r>
          </w:p>
        </w:tc>
      </w:tr>
      <w:tr w:rsidR="00FC7F0E" w:rsidRPr="00021B2F" w:rsidTr="00FC7F0E">
        <w:trPr>
          <w:trHeight w:val="300"/>
          <w:jc w:val="center"/>
        </w:trPr>
        <w:tc>
          <w:tcPr>
            <w:tcW w:w="1418" w:type="dxa"/>
            <w:vMerge/>
            <w:tcBorders>
              <w:left w:val="nil"/>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p>
        </w:tc>
        <w:tc>
          <w:tcPr>
            <w:tcW w:w="2835" w:type="dxa"/>
            <w:tcBorders>
              <w:top w:val="single" w:sz="4" w:space="0" w:color="FFFFFF"/>
              <w:left w:val="nil"/>
              <w:bottom w:val="single" w:sz="4" w:space="0" w:color="FFFFFF"/>
              <w:right w:val="nil"/>
            </w:tcBorders>
            <w:shd w:val="clear" w:color="DCE6F1" w:fill="DCE6F1"/>
          </w:tcPr>
          <w:p w:rsidR="00FC7F0E" w:rsidRPr="00021B2F" w:rsidRDefault="00FC7F0E" w:rsidP="00FC7F0E">
            <w:pPr>
              <w:spacing w:after="0" w:line="240" w:lineRule="auto"/>
              <w:contextualSpacing/>
              <w:jc w:val="both"/>
              <w:rPr>
                <w:rFonts w:ascii="Verdana" w:hAnsi="Verdana"/>
                <w:sz w:val="18"/>
                <w:szCs w:val="18"/>
              </w:rPr>
            </w:pPr>
            <w:r w:rsidRPr="00021B2F">
              <w:rPr>
                <w:rFonts w:ascii="Verdana" w:hAnsi="Verdana"/>
                <w:sz w:val="18"/>
                <w:szCs w:val="18"/>
              </w:rPr>
              <w:t>9. Vinculación de niños al sistema educativo</w:t>
            </w:r>
          </w:p>
        </w:tc>
        <w:tc>
          <w:tcPr>
            <w:tcW w:w="2693"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Mineducación</w:t>
            </w:r>
          </w:p>
        </w:tc>
        <w:tc>
          <w:tcPr>
            <w:tcW w:w="709"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80%</w:t>
            </w:r>
          </w:p>
        </w:tc>
        <w:tc>
          <w:tcPr>
            <w:tcW w:w="992"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1.151.269</w:t>
            </w:r>
          </w:p>
        </w:tc>
        <w:tc>
          <w:tcPr>
            <w:tcW w:w="709"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68%</w:t>
            </w:r>
          </w:p>
        </w:tc>
        <w:tc>
          <w:tcPr>
            <w:tcW w:w="993"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779.651</w:t>
            </w:r>
          </w:p>
        </w:tc>
      </w:tr>
      <w:tr w:rsidR="00FC7F0E" w:rsidRPr="00021B2F" w:rsidTr="00FC7F0E">
        <w:trPr>
          <w:trHeight w:val="300"/>
          <w:jc w:val="center"/>
        </w:trPr>
        <w:tc>
          <w:tcPr>
            <w:tcW w:w="1418" w:type="dxa"/>
            <w:vMerge/>
            <w:tcBorders>
              <w:left w:val="nil"/>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p>
        </w:tc>
        <w:tc>
          <w:tcPr>
            <w:tcW w:w="2835" w:type="dxa"/>
            <w:tcBorders>
              <w:top w:val="single" w:sz="4" w:space="0" w:color="FFFFFF"/>
              <w:left w:val="nil"/>
              <w:bottom w:val="single" w:sz="4" w:space="0" w:color="FFFFFF"/>
              <w:right w:val="nil"/>
            </w:tcBorders>
            <w:shd w:val="clear" w:color="auto" w:fill="B8CCE4" w:themeFill="accent1" w:themeFillTint="66"/>
          </w:tcPr>
          <w:p w:rsidR="00FC7F0E" w:rsidRPr="00021B2F" w:rsidRDefault="00FC7F0E" w:rsidP="00FC7F0E">
            <w:pPr>
              <w:spacing w:after="0" w:line="240" w:lineRule="auto"/>
              <w:contextualSpacing/>
              <w:jc w:val="both"/>
              <w:rPr>
                <w:rFonts w:ascii="Verdana" w:hAnsi="Verdana"/>
                <w:sz w:val="18"/>
                <w:szCs w:val="18"/>
              </w:rPr>
            </w:pPr>
            <w:r w:rsidRPr="00021B2F">
              <w:rPr>
                <w:rFonts w:ascii="Verdana" w:hAnsi="Verdana"/>
                <w:sz w:val="18"/>
                <w:szCs w:val="18"/>
              </w:rPr>
              <w:t>10. Alfabetización de adultos</w:t>
            </w:r>
          </w:p>
        </w:tc>
        <w:tc>
          <w:tcPr>
            <w:tcW w:w="2693"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Mineducación</w:t>
            </w:r>
          </w:p>
        </w:tc>
        <w:tc>
          <w:tcPr>
            <w:tcW w:w="709"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96,7%</w:t>
            </w:r>
          </w:p>
        </w:tc>
        <w:tc>
          <w:tcPr>
            <w:tcW w:w="992"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2.827.732</w:t>
            </w:r>
          </w:p>
        </w:tc>
        <w:tc>
          <w:tcPr>
            <w:tcW w:w="709"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42%</w:t>
            </w:r>
          </w:p>
        </w:tc>
        <w:tc>
          <w:tcPr>
            <w:tcW w:w="993"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1.189.934</w:t>
            </w:r>
          </w:p>
        </w:tc>
      </w:tr>
      <w:tr w:rsidR="00FC7F0E" w:rsidRPr="00021B2F" w:rsidTr="00FC7F0E">
        <w:trPr>
          <w:trHeight w:val="300"/>
          <w:jc w:val="center"/>
        </w:trPr>
        <w:tc>
          <w:tcPr>
            <w:tcW w:w="1418" w:type="dxa"/>
            <w:vMerge/>
            <w:tcBorders>
              <w:left w:val="nil"/>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p>
        </w:tc>
        <w:tc>
          <w:tcPr>
            <w:tcW w:w="2835" w:type="dxa"/>
            <w:tcBorders>
              <w:top w:val="single" w:sz="4" w:space="0" w:color="FFFFFF"/>
              <w:left w:val="nil"/>
              <w:bottom w:val="single" w:sz="4" w:space="0" w:color="FFFFFF"/>
              <w:right w:val="nil"/>
            </w:tcBorders>
            <w:shd w:val="clear" w:color="DCE6F1" w:fill="DCE6F1"/>
          </w:tcPr>
          <w:p w:rsidR="00FC7F0E" w:rsidRPr="00021B2F" w:rsidRDefault="00FC7F0E" w:rsidP="00FC7F0E">
            <w:pPr>
              <w:spacing w:after="0" w:line="240" w:lineRule="auto"/>
              <w:contextualSpacing/>
              <w:jc w:val="both"/>
              <w:rPr>
                <w:rFonts w:ascii="Verdana" w:hAnsi="Verdana"/>
                <w:sz w:val="18"/>
                <w:szCs w:val="18"/>
              </w:rPr>
            </w:pPr>
            <w:r w:rsidRPr="00021B2F">
              <w:rPr>
                <w:rFonts w:ascii="Verdana" w:hAnsi="Verdana"/>
                <w:sz w:val="18"/>
                <w:szCs w:val="18"/>
              </w:rPr>
              <w:t>12. Trabajo infantil</w:t>
            </w:r>
          </w:p>
        </w:tc>
        <w:tc>
          <w:tcPr>
            <w:tcW w:w="2693"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Mintrabajo</w:t>
            </w:r>
          </w:p>
        </w:tc>
        <w:tc>
          <w:tcPr>
            <w:tcW w:w="709"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98,3%</w:t>
            </w:r>
          </w:p>
        </w:tc>
        <w:tc>
          <w:tcPr>
            <w:tcW w:w="992"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1.383.739</w:t>
            </w:r>
          </w:p>
        </w:tc>
        <w:tc>
          <w:tcPr>
            <w:tcW w:w="709"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57%</w:t>
            </w:r>
          </w:p>
        </w:tc>
        <w:tc>
          <w:tcPr>
            <w:tcW w:w="993"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792.263</w:t>
            </w:r>
          </w:p>
        </w:tc>
      </w:tr>
      <w:tr w:rsidR="00FC7F0E" w:rsidRPr="00021B2F" w:rsidTr="00FC7F0E">
        <w:trPr>
          <w:trHeight w:val="300"/>
          <w:jc w:val="center"/>
        </w:trPr>
        <w:tc>
          <w:tcPr>
            <w:tcW w:w="1418" w:type="dxa"/>
            <w:vMerge w:val="restart"/>
            <w:tcBorders>
              <w:top w:val="single" w:sz="4" w:space="0" w:color="FFFFFF"/>
              <w:left w:val="nil"/>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Salud</w:t>
            </w:r>
          </w:p>
        </w:tc>
        <w:tc>
          <w:tcPr>
            <w:tcW w:w="2835" w:type="dxa"/>
            <w:tcBorders>
              <w:top w:val="single" w:sz="4" w:space="0" w:color="FFFFFF"/>
              <w:left w:val="nil"/>
              <w:bottom w:val="single" w:sz="4" w:space="0" w:color="FFFFFF"/>
              <w:right w:val="nil"/>
            </w:tcBorders>
            <w:shd w:val="clear" w:color="auto" w:fill="B8CCE4" w:themeFill="accent1" w:themeFillTint="66"/>
          </w:tcPr>
          <w:p w:rsidR="00FC7F0E" w:rsidRPr="00021B2F" w:rsidRDefault="00FC7F0E" w:rsidP="00FC7F0E">
            <w:pPr>
              <w:spacing w:after="0" w:line="240" w:lineRule="auto"/>
              <w:contextualSpacing/>
              <w:jc w:val="both"/>
              <w:rPr>
                <w:rFonts w:ascii="Verdana" w:hAnsi="Verdana"/>
                <w:sz w:val="18"/>
                <w:szCs w:val="18"/>
              </w:rPr>
            </w:pPr>
            <w:r w:rsidRPr="00021B2F">
              <w:rPr>
                <w:rFonts w:ascii="Verdana" w:hAnsi="Verdana"/>
                <w:sz w:val="18"/>
                <w:szCs w:val="18"/>
              </w:rPr>
              <w:t>13. Afiliación en salud</w:t>
            </w:r>
          </w:p>
        </w:tc>
        <w:tc>
          <w:tcPr>
            <w:tcW w:w="2693" w:type="dxa"/>
            <w:vMerge w:val="restart"/>
            <w:tcBorders>
              <w:top w:val="single" w:sz="4" w:space="0" w:color="FFFFFF"/>
              <w:left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Minsalud</w:t>
            </w:r>
          </w:p>
        </w:tc>
        <w:tc>
          <w:tcPr>
            <w:tcW w:w="709"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100%</w:t>
            </w:r>
          </w:p>
        </w:tc>
        <w:tc>
          <w:tcPr>
            <w:tcW w:w="992"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1.500.000</w:t>
            </w:r>
          </w:p>
        </w:tc>
        <w:tc>
          <w:tcPr>
            <w:tcW w:w="709"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96%</w:t>
            </w:r>
          </w:p>
        </w:tc>
        <w:tc>
          <w:tcPr>
            <w:tcW w:w="993"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1.434.754</w:t>
            </w:r>
          </w:p>
        </w:tc>
      </w:tr>
      <w:tr w:rsidR="00FC7F0E" w:rsidRPr="00021B2F" w:rsidTr="00FC7F0E">
        <w:trPr>
          <w:trHeight w:val="70"/>
          <w:jc w:val="center"/>
        </w:trPr>
        <w:tc>
          <w:tcPr>
            <w:tcW w:w="1418" w:type="dxa"/>
            <w:vMerge/>
            <w:tcBorders>
              <w:left w:val="nil"/>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p>
        </w:tc>
        <w:tc>
          <w:tcPr>
            <w:tcW w:w="2835" w:type="dxa"/>
            <w:tcBorders>
              <w:top w:val="single" w:sz="4" w:space="0" w:color="FFFFFF"/>
              <w:left w:val="nil"/>
              <w:bottom w:val="single" w:sz="4" w:space="0" w:color="FFFFFF"/>
              <w:right w:val="nil"/>
            </w:tcBorders>
            <w:shd w:val="clear" w:color="DCE6F1" w:fill="DCE6F1"/>
          </w:tcPr>
          <w:p w:rsidR="00FC7F0E" w:rsidRPr="00021B2F" w:rsidRDefault="00FC7F0E" w:rsidP="00FC7F0E">
            <w:pPr>
              <w:spacing w:after="0" w:line="240" w:lineRule="auto"/>
              <w:contextualSpacing/>
              <w:jc w:val="both"/>
              <w:rPr>
                <w:rFonts w:ascii="Verdana" w:hAnsi="Verdana"/>
                <w:sz w:val="18"/>
                <w:szCs w:val="18"/>
              </w:rPr>
            </w:pPr>
            <w:r w:rsidRPr="00021B2F">
              <w:rPr>
                <w:rFonts w:ascii="Verdana" w:hAnsi="Verdana"/>
                <w:sz w:val="18"/>
                <w:szCs w:val="18"/>
              </w:rPr>
              <w:t>16. Vacunación de niños</w:t>
            </w:r>
          </w:p>
        </w:tc>
        <w:tc>
          <w:tcPr>
            <w:tcW w:w="2693" w:type="dxa"/>
            <w:vMerge/>
            <w:tcBorders>
              <w:left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p>
        </w:tc>
        <w:tc>
          <w:tcPr>
            <w:tcW w:w="709"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95%</w:t>
            </w:r>
          </w:p>
        </w:tc>
        <w:tc>
          <w:tcPr>
            <w:tcW w:w="992"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394.975</w:t>
            </w:r>
          </w:p>
        </w:tc>
        <w:tc>
          <w:tcPr>
            <w:tcW w:w="709"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76%</w:t>
            </w:r>
          </w:p>
        </w:tc>
        <w:tc>
          <w:tcPr>
            <w:tcW w:w="993"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302.119</w:t>
            </w:r>
          </w:p>
        </w:tc>
      </w:tr>
      <w:tr w:rsidR="00FC7F0E" w:rsidRPr="00021B2F" w:rsidTr="00FC7F0E">
        <w:trPr>
          <w:trHeight w:val="300"/>
          <w:jc w:val="center"/>
        </w:trPr>
        <w:tc>
          <w:tcPr>
            <w:tcW w:w="1418" w:type="dxa"/>
            <w:vMerge/>
            <w:tcBorders>
              <w:left w:val="nil"/>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p>
        </w:tc>
        <w:tc>
          <w:tcPr>
            <w:tcW w:w="2835" w:type="dxa"/>
            <w:tcBorders>
              <w:top w:val="single" w:sz="4" w:space="0" w:color="FFFFFF"/>
              <w:left w:val="nil"/>
              <w:bottom w:val="single" w:sz="4" w:space="0" w:color="FFFFFF"/>
              <w:right w:val="nil"/>
            </w:tcBorders>
            <w:shd w:val="clear" w:color="auto" w:fill="B8CCE4" w:themeFill="accent1" w:themeFillTint="66"/>
          </w:tcPr>
          <w:p w:rsidR="00FC7F0E" w:rsidRPr="00021B2F" w:rsidRDefault="00FC7F0E" w:rsidP="00FC7F0E">
            <w:pPr>
              <w:spacing w:after="0" w:line="240" w:lineRule="auto"/>
              <w:contextualSpacing/>
              <w:jc w:val="both"/>
              <w:rPr>
                <w:rFonts w:ascii="Verdana" w:hAnsi="Verdana"/>
                <w:sz w:val="18"/>
                <w:szCs w:val="18"/>
              </w:rPr>
            </w:pPr>
            <w:r w:rsidRPr="00021B2F">
              <w:rPr>
                <w:rFonts w:ascii="Verdana" w:hAnsi="Verdana"/>
                <w:sz w:val="18"/>
                <w:szCs w:val="18"/>
              </w:rPr>
              <w:t>17. Gestantes con control prenatal y atención institucional del parto.</w:t>
            </w:r>
          </w:p>
        </w:tc>
        <w:tc>
          <w:tcPr>
            <w:tcW w:w="2693" w:type="dxa"/>
            <w:vMerge/>
            <w:tcBorders>
              <w:left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p>
        </w:tc>
        <w:tc>
          <w:tcPr>
            <w:tcW w:w="709"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90%</w:t>
            </w:r>
          </w:p>
        </w:tc>
        <w:tc>
          <w:tcPr>
            <w:tcW w:w="992"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w:t>
            </w:r>
          </w:p>
        </w:tc>
        <w:tc>
          <w:tcPr>
            <w:tcW w:w="709"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85%</w:t>
            </w:r>
          </w:p>
        </w:tc>
        <w:tc>
          <w:tcPr>
            <w:tcW w:w="993"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31.003</w:t>
            </w:r>
          </w:p>
        </w:tc>
      </w:tr>
      <w:tr w:rsidR="00FC7F0E" w:rsidRPr="00021B2F" w:rsidTr="00FC7F0E">
        <w:trPr>
          <w:trHeight w:val="300"/>
          <w:jc w:val="center"/>
        </w:trPr>
        <w:tc>
          <w:tcPr>
            <w:tcW w:w="1418" w:type="dxa"/>
            <w:vMerge/>
            <w:tcBorders>
              <w:left w:val="nil"/>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p>
        </w:tc>
        <w:tc>
          <w:tcPr>
            <w:tcW w:w="2835" w:type="dxa"/>
            <w:tcBorders>
              <w:top w:val="single" w:sz="4" w:space="0" w:color="FFFFFF"/>
              <w:left w:val="nil"/>
              <w:bottom w:val="single" w:sz="4" w:space="0" w:color="FFFFFF"/>
              <w:right w:val="nil"/>
            </w:tcBorders>
            <w:shd w:val="clear" w:color="DCE6F1" w:fill="DCE6F1"/>
          </w:tcPr>
          <w:p w:rsidR="00FC7F0E" w:rsidRPr="00021B2F" w:rsidRDefault="00FC7F0E" w:rsidP="00FC7F0E">
            <w:pPr>
              <w:spacing w:after="0" w:line="240" w:lineRule="auto"/>
              <w:contextualSpacing/>
              <w:jc w:val="both"/>
              <w:rPr>
                <w:rFonts w:ascii="Verdana" w:hAnsi="Verdana"/>
                <w:sz w:val="18"/>
                <w:szCs w:val="18"/>
              </w:rPr>
            </w:pPr>
            <w:r w:rsidRPr="00021B2F">
              <w:rPr>
                <w:rFonts w:ascii="Verdana" w:hAnsi="Verdana"/>
                <w:sz w:val="18"/>
                <w:szCs w:val="18"/>
              </w:rPr>
              <w:t>20. Rehabilitación y ayudas técnicas de discapacitados</w:t>
            </w:r>
          </w:p>
        </w:tc>
        <w:tc>
          <w:tcPr>
            <w:tcW w:w="2693" w:type="dxa"/>
            <w:vMerge/>
            <w:tcBorders>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p>
        </w:tc>
        <w:tc>
          <w:tcPr>
            <w:tcW w:w="709"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50%</w:t>
            </w:r>
          </w:p>
        </w:tc>
        <w:tc>
          <w:tcPr>
            <w:tcW w:w="992"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w:t>
            </w:r>
          </w:p>
        </w:tc>
        <w:tc>
          <w:tcPr>
            <w:tcW w:w="709"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104%</w:t>
            </w:r>
          </w:p>
        </w:tc>
        <w:tc>
          <w:tcPr>
            <w:tcW w:w="993"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197.064</w:t>
            </w:r>
          </w:p>
        </w:tc>
      </w:tr>
      <w:tr w:rsidR="00FC7F0E" w:rsidRPr="00021B2F" w:rsidTr="00FC7F0E">
        <w:trPr>
          <w:trHeight w:val="300"/>
          <w:jc w:val="center"/>
        </w:trPr>
        <w:tc>
          <w:tcPr>
            <w:tcW w:w="1418" w:type="dxa"/>
            <w:tcBorders>
              <w:top w:val="single" w:sz="4" w:space="0" w:color="FFFFFF"/>
              <w:left w:val="nil"/>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lastRenderedPageBreak/>
              <w:t>Nutrición</w:t>
            </w:r>
          </w:p>
        </w:tc>
        <w:tc>
          <w:tcPr>
            <w:tcW w:w="2835" w:type="dxa"/>
            <w:tcBorders>
              <w:top w:val="single" w:sz="4" w:space="0" w:color="FFFFFF"/>
              <w:left w:val="nil"/>
              <w:bottom w:val="single" w:sz="4" w:space="0" w:color="FFFFFF"/>
              <w:right w:val="nil"/>
            </w:tcBorders>
            <w:shd w:val="clear" w:color="auto" w:fill="B8CCE4" w:themeFill="accent1" w:themeFillTint="66"/>
          </w:tcPr>
          <w:p w:rsidR="00FC7F0E" w:rsidRPr="00021B2F" w:rsidRDefault="00FC7F0E" w:rsidP="00FC7F0E">
            <w:pPr>
              <w:spacing w:after="0" w:line="240" w:lineRule="auto"/>
              <w:contextualSpacing/>
              <w:jc w:val="both"/>
              <w:rPr>
                <w:rFonts w:ascii="Verdana" w:hAnsi="Verdana"/>
                <w:sz w:val="18"/>
                <w:szCs w:val="18"/>
              </w:rPr>
            </w:pPr>
            <w:r w:rsidRPr="00021B2F">
              <w:rPr>
                <w:rFonts w:ascii="Verdana" w:hAnsi="Verdana"/>
                <w:sz w:val="18"/>
                <w:szCs w:val="18"/>
              </w:rPr>
              <w:t>23. Lactancia materna exclusiva</w:t>
            </w:r>
          </w:p>
        </w:tc>
        <w:tc>
          <w:tcPr>
            <w:tcW w:w="2693"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Minsalud</w:t>
            </w:r>
          </w:p>
        </w:tc>
        <w:tc>
          <w:tcPr>
            <w:tcW w:w="709"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100%</w:t>
            </w:r>
          </w:p>
        </w:tc>
        <w:tc>
          <w:tcPr>
            <w:tcW w:w="992"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42.996</w:t>
            </w:r>
          </w:p>
        </w:tc>
        <w:tc>
          <w:tcPr>
            <w:tcW w:w="709"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N.A.</w:t>
            </w:r>
          </w:p>
        </w:tc>
        <w:tc>
          <w:tcPr>
            <w:tcW w:w="993"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p>
        </w:tc>
      </w:tr>
      <w:tr w:rsidR="00FC7F0E" w:rsidRPr="00021B2F" w:rsidTr="00FC7F0E">
        <w:trPr>
          <w:trHeight w:val="300"/>
          <w:jc w:val="center"/>
        </w:trPr>
        <w:tc>
          <w:tcPr>
            <w:tcW w:w="1418" w:type="dxa"/>
            <w:vMerge w:val="restart"/>
            <w:tcBorders>
              <w:top w:val="single" w:sz="4" w:space="0" w:color="FFFFFF"/>
              <w:left w:val="nil"/>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Habitabilidad</w:t>
            </w:r>
          </w:p>
        </w:tc>
        <w:tc>
          <w:tcPr>
            <w:tcW w:w="2835" w:type="dxa"/>
            <w:tcBorders>
              <w:top w:val="single" w:sz="4" w:space="0" w:color="FFFFFF"/>
              <w:left w:val="nil"/>
              <w:bottom w:val="single" w:sz="4" w:space="0" w:color="FFFFFF"/>
              <w:right w:val="nil"/>
            </w:tcBorders>
            <w:shd w:val="clear" w:color="DCE6F1" w:fill="DCE6F1"/>
          </w:tcPr>
          <w:p w:rsidR="00FC7F0E" w:rsidRPr="00021B2F" w:rsidRDefault="00FC7F0E" w:rsidP="00FC7F0E">
            <w:pPr>
              <w:spacing w:after="0" w:line="240" w:lineRule="auto"/>
              <w:contextualSpacing/>
              <w:jc w:val="both"/>
              <w:rPr>
                <w:rFonts w:ascii="Verdana" w:hAnsi="Verdana"/>
                <w:sz w:val="18"/>
                <w:szCs w:val="18"/>
              </w:rPr>
            </w:pPr>
            <w:r w:rsidRPr="00021B2F">
              <w:rPr>
                <w:rFonts w:ascii="Verdana" w:hAnsi="Verdana"/>
                <w:sz w:val="18"/>
                <w:szCs w:val="18"/>
              </w:rPr>
              <w:t>24. Agua potable y alcantarillado</w:t>
            </w:r>
          </w:p>
        </w:tc>
        <w:tc>
          <w:tcPr>
            <w:tcW w:w="2693" w:type="dxa"/>
            <w:vMerge w:val="restart"/>
            <w:tcBorders>
              <w:top w:val="single" w:sz="4" w:space="0" w:color="FFFFFF"/>
              <w:left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Minvivienda, Minagricultura, DPS</w:t>
            </w:r>
          </w:p>
        </w:tc>
        <w:tc>
          <w:tcPr>
            <w:tcW w:w="709"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77%</w:t>
            </w:r>
          </w:p>
        </w:tc>
        <w:tc>
          <w:tcPr>
            <w:tcW w:w="992"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1.156.386</w:t>
            </w:r>
          </w:p>
        </w:tc>
        <w:tc>
          <w:tcPr>
            <w:tcW w:w="709"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99%</w:t>
            </w:r>
          </w:p>
        </w:tc>
        <w:tc>
          <w:tcPr>
            <w:tcW w:w="993"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1.146.483</w:t>
            </w:r>
          </w:p>
        </w:tc>
      </w:tr>
      <w:tr w:rsidR="00FC7F0E" w:rsidRPr="00021B2F" w:rsidTr="00FC7F0E">
        <w:trPr>
          <w:trHeight w:val="300"/>
          <w:jc w:val="center"/>
        </w:trPr>
        <w:tc>
          <w:tcPr>
            <w:tcW w:w="1418" w:type="dxa"/>
            <w:vMerge/>
            <w:tcBorders>
              <w:left w:val="nil"/>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p>
        </w:tc>
        <w:tc>
          <w:tcPr>
            <w:tcW w:w="2835" w:type="dxa"/>
            <w:tcBorders>
              <w:top w:val="single" w:sz="4" w:space="0" w:color="FFFFFF"/>
              <w:left w:val="nil"/>
              <w:bottom w:val="single" w:sz="4" w:space="0" w:color="FFFFFF"/>
              <w:right w:val="nil"/>
            </w:tcBorders>
            <w:shd w:val="clear" w:color="auto" w:fill="B8CCE4" w:themeFill="accent1" w:themeFillTint="66"/>
          </w:tcPr>
          <w:p w:rsidR="00FC7F0E" w:rsidRPr="00021B2F" w:rsidRDefault="00FC7F0E" w:rsidP="00FC7F0E">
            <w:pPr>
              <w:spacing w:after="0" w:line="240" w:lineRule="auto"/>
              <w:contextualSpacing/>
              <w:jc w:val="both"/>
              <w:rPr>
                <w:rFonts w:ascii="Verdana" w:hAnsi="Verdana"/>
                <w:sz w:val="18"/>
                <w:szCs w:val="18"/>
              </w:rPr>
            </w:pPr>
            <w:r w:rsidRPr="00021B2F">
              <w:rPr>
                <w:rFonts w:ascii="Verdana" w:hAnsi="Verdana"/>
                <w:sz w:val="18"/>
                <w:szCs w:val="18"/>
              </w:rPr>
              <w:t>28. Hacinamiento</w:t>
            </w:r>
          </w:p>
        </w:tc>
        <w:tc>
          <w:tcPr>
            <w:tcW w:w="2693" w:type="dxa"/>
            <w:vMerge/>
            <w:tcBorders>
              <w:left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p>
        </w:tc>
        <w:tc>
          <w:tcPr>
            <w:tcW w:w="709"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50%</w:t>
            </w:r>
          </w:p>
        </w:tc>
        <w:tc>
          <w:tcPr>
            <w:tcW w:w="992"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751.436</w:t>
            </w:r>
          </w:p>
        </w:tc>
        <w:tc>
          <w:tcPr>
            <w:tcW w:w="709"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129%</w:t>
            </w:r>
          </w:p>
        </w:tc>
        <w:tc>
          <w:tcPr>
            <w:tcW w:w="993"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967.588</w:t>
            </w:r>
          </w:p>
        </w:tc>
      </w:tr>
      <w:tr w:rsidR="00FC7F0E" w:rsidRPr="00021B2F" w:rsidTr="00FC7F0E">
        <w:trPr>
          <w:trHeight w:val="300"/>
          <w:jc w:val="center"/>
        </w:trPr>
        <w:tc>
          <w:tcPr>
            <w:tcW w:w="1418" w:type="dxa"/>
            <w:vMerge/>
            <w:tcBorders>
              <w:left w:val="nil"/>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p>
        </w:tc>
        <w:tc>
          <w:tcPr>
            <w:tcW w:w="2835" w:type="dxa"/>
            <w:tcBorders>
              <w:top w:val="single" w:sz="4" w:space="0" w:color="FFFFFF"/>
              <w:left w:val="nil"/>
              <w:bottom w:val="single" w:sz="4" w:space="0" w:color="FFFFFF"/>
              <w:right w:val="nil"/>
            </w:tcBorders>
            <w:shd w:val="clear" w:color="DCE6F1" w:fill="DCE6F1"/>
          </w:tcPr>
          <w:p w:rsidR="00FC7F0E" w:rsidRPr="00021B2F" w:rsidRDefault="00FC7F0E" w:rsidP="00FC7F0E">
            <w:pPr>
              <w:spacing w:after="0" w:line="240" w:lineRule="auto"/>
              <w:contextualSpacing/>
              <w:jc w:val="both"/>
              <w:rPr>
                <w:rFonts w:ascii="Verdana" w:hAnsi="Verdana"/>
                <w:sz w:val="18"/>
                <w:szCs w:val="18"/>
              </w:rPr>
            </w:pPr>
            <w:r w:rsidRPr="00021B2F">
              <w:rPr>
                <w:rFonts w:ascii="Verdana" w:hAnsi="Verdana"/>
                <w:sz w:val="18"/>
                <w:szCs w:val="18"/>
              </w:rPr>
              <w:t>29. Pisos de la vivienda</w:t>
            </w:r>
          </w:p>
        </w:tc>
        <w:tc>
          <w:tcPr>
            <w:tcW w:w="2693" w:type="dxa"/>
            <w:vMerge/>
            <w:tcBorders>
              <w:left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p>
        </w:tc>
        <w:tc>
          <w:tcPr>
            <w:tcW w:w="709"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72%</w:t>
            </w:r>
          </w:p>
        </w:tc>
        <w:tc>
          <w:tcPr>
            <w:tcW w:w="992"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1.076.285</w:t>
            </w:r>
          </w:p>
        </w:tc>
        <w:tc>
          <w:tcPr>
            <w:tcW w:w="709"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105%</w:t>
            </w:r>
          </w:p>
        </w:tc>
        <w:tc>
          <w:tcPr>
            <w:tcW w:w="993"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1.129.539</w:t>
            </w:r>
          </w:p>
        </w:tc>
      </w:tr>
      <w:tr w:rsidR="00FC7F0E" w:rsidRPr="00021B2F" w:rsidTr="00FC7F0E">
        <w:trPr>
          <w:trHeight w:val="300"/>
          <w:jc w:val="center"/>
        </w:trPr>
        <w:tc>
          <w:tcPr>
            <w:tcW w:w="1418" w:type="dxa"/>
            <w:vMerge/>
            <w:tcBorders>
              <w:left w:val="nil"/>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p>
        </w:tc>
        <w:tc>
          <w:tcPr>
            <w:tcW w:w="2835" w:type="dxa"/>
            <w:tcBorders>
              <w:top w:val="single" w:sz="4" w:space="0" w:color="FFFFFF"/>
              <w:left w:val="nil"/>
              <w:bottom w:val="single" w:sz="4" w:space="0" w:color="FFFFFF"/>
              <w:right w:val="nil"/>
            </w:tcBorders>
            <w:shd w:val="clear" w:color="auto" w:fill="B8CCE4" w:themeFill="accent1" w:themeFillTint="66"/>
          </w:tcPr>
          <w:p w:rsidR="00FC7F0E" w:rsidRPr="00021B2F" w:rsidRDefault="00FC7F0E" w:rsidP="00FC7F0E">
            <w:pPr>
              <w:spacing w:after="0" w:line="240" w:lineRule="auto"/>
              <w:contextualSpacing/>
              <w:jc w:val="both"/>
              <w:rPr>
                <w:rFonts w:ascii="Verdana" w:hAnsi="Verdana"/>
                <w:sz w:val="18"/>
                <w:szCs w:val="18"/>
              </w:rPr>
            </w:pPr>
            <w:r w:rsidRPr="00021B2F">
              <w:rPr>
                <w:rFonts w:ascii="Verdana" w:hAnsi="Verdana"/>
                <w:sz w:val="18"/>
                <w:szCs w:val="18"/>
              </w:rPr>
              <w:t>32. Materiales adecuados de la vivienda</w:t>
            </w:r>
          </w:p>
        </w:tc>
        <w:tc>
          <w:tcPr>
            <w:tcW w:w="2693" w:type="dxa"/>
            <w:vMerge/>
            <w:tcBorders>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p>
        </w:tc>
        <w:tc>
          <w:tcPr>
            <w:tcW w:w="709"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26%</w:t>
            </w:r>
          </w:p>
        </w:tc>
        <w:tc>
          <w:tcPr>
            <w:tcW w:w="992"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388.411</w:t>
            </w:r>
          </w:p>
        </w:tc>
        <w:tc>
          <w:tcPr>
            <w:tcW w:w="709"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195%</w:t>
            </w:r>
          </w:p>
        </w:tc>
        <w:tc>
          <w:tcPr>
            <w:tcW w:w="993"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755.825</w:t>
            </w:r>
          </w:p>
        </w:tc>
      </w:tr>
      <w:tr w:rsidR="00FC7F0E" w:rsidRPr="00021B2F" w:rsidTr="00FC7F0E">
        <w:trPr>
          <w:trHeight w:val="300"/>
          <w:jc w:val="center"/>
        </w:trPr>
        <w:tc>
          <w:tcPr>
            <w:tcW w:w="1418" w:type="dxa"/>
            <w:tcBorders>
              <w:top w:val="single" w:sz="4" w:space="0" w:color="FFFFFF"/>
              <w:left w:val="nil"/>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Dinámica Familiar</w:t>
            </w:r>
          </w:p>
        </w:tc>
        <w:tc>
          <w:tcPr>
            <w:tcW w:w="2835" w:type="dxa"/>
            <w:tcBorders>
              <w:top w:val="single" w:sz="4" w:space="0" w:color="FFFFFF"/>
              <w:left w:val="nil"/>
              <w:bottom w:val="single" w:sz="4" w:space="0" w:color="FFFFFF"/>
              <w:right w:val="nil"/>
            </w:tcBorders>
            <w:shd w:val="clear" w:color="DCE6F1" w:fill="DCE6F1"/>
          </w:tcPr>
          <w:p w:rsidR="00FC7F0E" w:rsidRPr="00021B2F" w:rsidRDefault="00FC7F0E" w:rsidP="00FC7F0E">
            <w:pPr>
              <w:spacing w:after="0" w:line="240" w:lineRule="auto"/>
              <w:contextualSpacing/>
              <w:jc w:val="both"/>
              <w:rPr>
                <w:rFonts w:ascii="Verdana" w:hAnsi="Verdana"/>
                <w:sz w:val="18"/>
                <w:szCs w:val="18"/>
              </w:rPr>
            </w:pPr>
            <w:r w:rsidRPr="00021B2F">
              <w:rPr>
                <w:rFonts w:ascii="Verdana" w:hAnsi="Verdana"/>
                <w:sz w:val="18"/>
                <w:szCs w:val="18"/>
              </w:rPr>
              <w:t>37. Pautas de crianza humanizada</w:t>
            </w:r>
          </w:p>
        </w:tc>
        <w:tc>
          <w:tcPr>
            <w:tcW w:w="2693"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ICBF</w:t>
            </w:r>
          </w:p>
        </w:tc>
        <w:tc>
          <w:tcPr>
            <w:tcW w:w="709"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100%</w:t>
            </w:r>
          </w:p>
        </w:tc>
        <w:tc>
          <w:tcPr>
            <w:tcW w:w="992"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516.837</w:t>
            </w:r>
          </w:p>
        </w:tc>
        <w:tc>
          <w:tcPr>
            <w:tcW w:w="709"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75%</w:t>
            </w:r>
          </w:p>
        </w:tc>
        <w:tc>
          <w:tcPr>
            <w:tcW w:w="993"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389.980</w:t>
            </w:r>
          </w:p>
        </w:tc>
      </w:tr>
      <w:tr w:rsidR="00FC7F0E" w:rsidRPr="00021B2F" w:rsidTr="00FC7F0E">
        <w:trPr>
          <w:trHeight w:val="300"/>
          <w:jc w:val="center"/>
        </w:trPr>
        <w:tc>
          <w:tcPr>
            <w:tcW w:w="1418" w:type="dxa"/>
            <w:tcBorders>
              <w:top w:val="single" w:sz="4" w:space="0" w:color="FFFFFF"/>
              <w:left w:val="nil"/>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Bancarización y Ahorro</w:t>
            </w:r>
          </w:p>
        </w:tc>
        <w:tc>
          <w:tcPr>
            <w:tcW w:w="2835" w:type="dxa"/>
            <w:tcBorders>
              <w:top w:val="single" w:sz="4" w:space="0" w:color="FFFFFF"/>
              <w:left w:val="nil"/>
              <w:bottom w:val="single" w:sz="4" w:space="0" w:color="FFFFFF"/>
              <w:right w:val="nil"/>
            </w:tcBorders>
            <w:shd w:val="clear" w:color="auto" w:fill="B8CCE4" w:themeFill="accent1" w:themeFillTint="66"/>
          </w:tcPr>
          <w:p w:rsidR="00FC7F0E" w:rsidRPr="00021B2F" w:rsidRDefault="00FC7F0E" w:rsidP="00FC7F0E">
            <w:pPr>
              <w:spacing w:after="0" w:line="240" w:lineRule="auto"/>
              <w:contextualSpacing/>
              <w:jc w:val="both"/>
              <w:rPr>
                <w:rFonts w:ascii="Verdana" w:hAnsi="Verdana"/>
                <w:sz w:val="18"/>
                <w:szCs w:val="18"/>
              </w:rPr>
            </w:pPr>
            <w:r w:rsidRPr="00021B2F">
              <w:rPr>
                <w:rFonts w:ascii="Verdana" w:hAnsi="Verdana"/>
                <w:sz w:val="18"/>
                <w:szCs w:val="18"/>
              </w:rPr>
              <w:t>42. Crédito</w:t>
            </w:r>
          </w:p>
        </w:tc>
        <w:tc>
          <w:tcPr>
            <w:tcW w:w="2693"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Banca de las Oportunidades, Sector Privado</w:t>
            </w:r>
          </w:p>
        </w:tc>
        <w:tc>
          <w:tcPr>
            <w:tcW w:w="709"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70%</w:t>
            </w:r>
          </w:p>
        </w:tc>
        <w:tc>
          <w:tcPr>
            <w:tcW w:w="992"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155.386</w:t>
            </w:r>
          </w:p>
        </w:tc>
        <w:tc>
          <w:tcPr>
            <w:tcW w:w="709"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101%</w:t>
            </w:r>
          </w:p>
        </w:tc>
        <w:tc>
          <w:tcPr>
            <w:tcW w:w="993"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156.423</w:t>
            </w:r>
          </w:p>
        </w:tc>
      </w:tr>
      <w:tr w:rsidR="00FC7F0E" w:rsidRPr="00021B2F" w:rsidTr="00FC7F0E">
        <w:trPr>
          <w:trHeight w:val="300"/>
          <w:jc w:val="center"/>
        </w:trPr>
        <w:tc>
          <w:tcPr>
            <w:tcW w:w="1418" w:type="dxa"/>
            <w:tcBorders>
              <w:top w:val="single" w:sz="4" w:space="0" w:color="FFFFFF"/>
              <w:left w:val="nil"/>
              <w:bottom w:val="single" w:sz="4" w:space="0" w:color="FFFFFF"/>
              <w:right w:val="single" w:sz="4" w:space="0" w:color="FFFFFF"/>
            </w:tcBorders>
            <w:shd w:val="clear" w:color="auto" w:fill="B8CCE4" w:themeFill="accent1" w:themeFillTint="66"/>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Acceso a la Justicia</w:t>
            </w:r>
          </w:p>
        </w:tc>
        <w:tc>
          <w:tcPr>
            <w:tcW w:w="2835" w:type="dxa"/>
            <w:tcBorders>
              <w:top w:val="single" w:sz="4" w:space="0" w:color="FFFFFF"/>
              <w:left w:val="nil"/>
              <w:bottom w:val="single" w:sz="4" w:space="0" w:color="FFFFFF"/>
              <w:right w:val="nil"/>
            </w:tcBorders>
            <w:shd w:val="clear" w:color="DCE6F1" w:fill="DCE6F1"/>
          </w:tcPr>
          <w:p w:rsidR="00FC7F0E" w:rsidRPr="00021B2F" w:rsidRDefault="00FC7F0E" w:rsidP="00FC7F0E">
            <w:pPr>
              <w:spacing w:after="0" w:line="240" w:lineRule="auto"/>
              <w:contextualSpacing/>
              <w:jc w:val="both"/>
              <w:rPr>
                <w:rFonts w:ascii="Verdana" w:hAnsi="Verdana"/>
                <w:sz w:val="18"/>
                <w:szCs w:val="18"/>
              </w:rPr>
            </w:pPr>
            <w:r w:rsidRPr="00021B2F">
              <w:rPr>
                <w:rFonts w:ascii="Verdana" w:hAnsi="Verdana"/>
                <w:sz w:val="18"/>
                <w:szCs w:val="18"/>
              </w:rPr>
              <w:t>44. Atención operadores de justicia</w:t>
            </w:r>
          </w:p>
        </w:tc>
        <w:tc>
          <w:tcPr>
            <w:tcW w:w="2693"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Minjusticia</w:t>
            </w:r>
          </w:p>
        </w:tc>
        <w:tc>
          <w:tcPr>
            <w:tcW w:w="709"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69%</w:t>
            </w:r>
          </w:p>
        </w:tc>
        <w:tc>
          <w:tcPr>
            <w:tcW w:w="992"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81.091</w:t>
            </w:r>
          </w:p>
        </w:tc>
        <w:tc>
          <w:tcPr>
            <w:tcW w:w="709"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108%</w:t>
            </w:r>
          </w:p>
        </w:tc>
        <w:tc>
          <w:tcPr>
            <w:tcW w:w="993" w:type="dxa"/>
            <w:tcBorders>
              <w:top w:val="single" w:sz="4" w:space="0" w:color="FFFFFF"/>
              <w:left w:val="single" w:sz="4" w:space="0" w:color="FFFFFF"/>
              <w:bottom w:val="single" w:sz="4" w:space="0" w:color="FFFFFF"/>
              <w:right w:val="single" w:sz="4" w:space="0" w:color="FFFFFF"/>
            </w:tcBorders>
            <w:shd w:val="clear" w:color="DCE6F1" w:fill="DCE6F1"/>
          </w:tcPr>
          <w:p w:rsidR="00FC7F0E" w:rsidRPr="00021B2F" w:rsidRDefault="00FC7F0E" w:rsidP="00FC7F0E">
            <w:pPr>
              <w:spacing w:after="0" w:line="240" w:lineRule="auto"/>
              <w:contextualSpacing/>
              <w:jc w:val="center"/>
              <w:rPr>
                <w:rFonts w:ascii="Verdana" w:hAnsi="Verdana"/>
                <w:sz w:val="18"/>
                <w:szCs w:val="18"/>
              </w:rPr>
            </w:pPr>
            <w:r w:rsidRPr="00021B2F">
              <w:rPr>
                <w:rFonts w:ascii="Verdana" w:hAnsi="Verdana"/>
                <w:sz w:val="18"/>
                <w:szCs w:val="18"/>
              </w:rPr>
              <w:t>87.332</w:t>
            </w:r>
          </w:p>
        </w:tc>
      </w:tr>
    </w:tbl>
    <w:p w:rsidR="00071815" w:rsidRPr="00021B2F" w:rsidRDefault="00071815" w:rsidP="00071815">
      <w:pPr>
        <w:tabs>
          <w:tab w:val="left" w:pos="142"/>
        </w:tabs>
        <w:spacing w:after="0" w:line="240" w:lineRule="auto"/>
        <w:jc w:val="right"/>
        <w:rPr>
          <w:rFonts w:ascii="Verdana" w:hAnsi="Verdana"/>
          <w:b/>
          <w:sz w:val="18"/>
          <w:szCs w:val="18"/>
        </w:rPr>
      </w:pPr>
      <w:r w:rsidRPr="00021B2F">
        <w:rPr>
          <w:rFonts w:ascii="Verdana" w:hAnsi="Verdana"/>
          <w:b/>
          <w:sz w:val="18"/>
          <w:szCs w:val="18"/>
        </w:rPr>
        <w:t xml:space="preserve">Tabla </w:t>
      </w:r>
      <w:r>
        <w:rPr>
          <w:rFonts w:ascii="Verdana" w:hAnsi="Verdana"/>
          <w:b/>
          <w:sz w:val="18"/>
          <w:szCs w:val="18"/>
        </w:rPr>
        <w:t>12</w:t>
      </w:r>
      <w:r w:rsidRPr="00021B2F">
        <w:rPr>
          <w:rFonts w:ascii="Verdana" w:hAnsi="Verdana"/>
          <w:b/>
          <w:sz w:val="18"/>
          <w:szCs w:val="18"/>
        </w:rPr>
        <w:t>.</w:t>
      </w:r>
      <w:r w:rsidRPr="00021B2F">
        <w:rPr>
          <w:rFonts w:ascii="Verdana" w:hAnsi="Verdana"/>
          <w:sz w:val="18"/>
          <w:szCs w:val="18"/>
        </w:rPr>
        <w:t xml:space="preserve"> </w:t>
      </w:r>
      <w:r w:rsidRPr="00021B2F">
        <w:rPr>
          <w:rFonts w:ascii="Verdana" w:hAnsi="Verdana"/>
          <w:b/>
          <w:sz w:val="18"/>
          <w:szCs w:val="18"/>
        </w:rPr>
        <w:t>Avance en logros básicos familiares priorizados en el Plan Nacional de Desarrollo 2010-</w:t>
      </w:r>
      <w:r>
        <w:rPr>
          <w:rFonts w:ascii="Verdana" w:hAnsi="Verdana"/>
          <w:b/>
          <w:sz w:val="18"/>
          <w:szCs w:val="18"/>
        </w:rPr>
        <w:t>2014</w:t>
      </w:r>
      <w:r w:rsidRPr="00021B2F">
        <w:rPr>
          <w:rFonts w:ascii="Verdana" w:hAnsi="Verdana"/>
          <w:b/>
          <w:sz w:val="18"/>
          <w:szCs w:val="18"/>
          <w:vertAlign w:val="superscript"/>
        </w:rPr>
        <w:footnoteReference w:id="9"/>
      </w:r>
    </w:p>
    <w:p w:rsidR="00FC7F0E" w:rsidRPr="00F17D54" w:rsidRDefault="00FC7F0E" w:rsidP="00071815">
      <w:pPr>
        <w:spacing w:after="0" w:line="240" w:lineRule="auto"/>
        <w:jc w:val="right"/>
        <w:rPr>
          <w:rFonts w:ascii="Verdana" w:hAnsi="Verdana"/>
          <w:sz w:val="18"/>
          <w:szCs w:val="18"/>
        </w:rPr>
      </w:pPr>
      <w:r w:rsidRPr="00F17D54">
        <w:rPr>
          <w:rFonts w:ascii="Verdana" w:hAnsi="Verdana"/>
          <w:sz w:val="18"/>
          <w:szCs w:val="18"/>
        </w:rPr>
        <w:t>Fuente: SIUNIDOS, corte a diciembre de 2014.</w:t>
      </w:r>
    </w:p>
    <w:p w:rsidR="00FC7F0E" w:rsidRPr="00021B2F" w:rsidRDefault="00FC7F0E" w:rsidP="00FC7F0E">
      <w:pPr>
        <w:spacing w:after="0" w:line="240" w:lineRule="auto"/>
        <w:jc w:val="both"/>
        <w:rPr>
          <w:rFonts w:ascii="Verdana" w:hAnsi="Verdana"/>
          <w:color w:val="31849B" w:themeColor="accent5" w:themeShade="BF"/>
          <w:sz w:val="24"/>
          <w:szCs w:val="24"/>
        </w:rPr>
      </w:pPr>
    </w:p>
    <w:p w:rsidR="00FC7F0E" w:rsidRDefault="00FC7F0E" w:rsidP="00FC7F0E">
      <w:pPr>
        <w:keepNext/>
        <w:keepLines/>
        <w:spacing w:before="40" w:after="0" w:line="259" w:lineRule="auto"/>
        <w:ind w:left="720" w:hanging="720"/>
        <w:outlineLvl w:val="2"/>
        <w:rPr>
          <w:rFonts w:ascii="Verdana" w:hAnsi="Verdana"/>
          <w:b/>
          <w:color w:val="548DD4" w:themeColor="text2" w:themeTint="99"/>
          <w:sz w:val="24"/>
          <w:szCs w:val="24"/>
        </w:rPr>
      </w:pPr>
      <w:bookmarkStart w:id="90" w:name="_Toc410398484"/>
      <w:bookmarkEnd w:id="89"/>
      <w:r w:rsidRPr="00071815">
        <w:rPr>
          <w:rFonts w:ascii="Verdana" w:hAnsi="Verdana"/>
          <w:b/>
          <w:color w:val="548DD4" w:themeColor="text2" w:themeTint="99"/>
          <w:sz w:val="24"/>
          <w:szCs w:val="24"/>
        </w:rPr>
        <w:t>Metas propias de la Agencia en SINERGIA</w:t>
      </w:r>
      <w:bookmarkEnd w:id="90"/>
      <w:r w:rsidRPr="00071815">
        <w:rPr>
          <w:rFonts w:ascii="Verdana" w:hAnsi="Verdana"/>
          <w:b/>
          <w:color w:val="548DD4" w:themeColor="text2" w:themeTint="99"/>
          <w:sz w:val="24"/>
          <w:szCs w:val="24"/>
        </w:rPr>
        <w:t xml:space="preserve"> Seguimiento</w:t>
      </w:r>
    </w:p>
    <w:p w:rsidR="00071815" w:rsidRPr="00071815" w:rsidRDefault="00071815" w:rsidP="00FC7F0E">
      <w:pPr>
        <w:keepNext/>
        <w:keepLines/>
        <w:spacing w:before="40" w:after="0" w:line="259" w:lineRule="auto"/>
        <w:ind w:left="720" w:hanging="720"/>
        <w:outlineLvl w:val="2"/>
        <w:rPr>
          <w:rFonts w:ascii="Verdana" w:hAnsi="Verdana"/>
          <w:b/>
          <w:color w:val="548DD4" w:themeColor="text2" w:themeTint="99"/>
          <w:sz w:val="24"/>
          <w:szCs w:val="24"/>
        </w:rPr>
      </w:pPr>
    </w:p>
    <w:p w:rsidR="00FC7F0E" w:rsidRPr="00021B2F" w:rsidRDefault="00FC7F0E" w:rsidP="00FC7F0E">
      <w:pPr>
        <w:spacing w:after="0" w:line="240" w:lineRule="auto"/>
        <w:jc w:val="both"/>
        <w:rPr>
          <w:rFonts w:ascii="Verdana" w:hAnsi="Verdana"/>
          <w:sz w:val="24"/>
          <w:szCs w:val="24"/>
        </w:rPr>
      </w:pPr>
      <w:r w:rsidRPr="00021B2F">
        <w:rPr>
          <w:rFonts w:ascii="Verdana" w:hAnsi="Verdana"/>
          <w:sz w:val="24"/>
          <w:szCs w:val="24"/>
        </w:rPr>
        <w:t>Para el cumplimiento de sus objetivos misionales, la Agencia planteó unas metas a las que le realiza seguimiento a través del aplicativo SINERGIA del DNP. De los 23 indicadores de la ANSPE, se pueden resaltar los siguientes por su importancia:</w:t>
      </w:r>
    </w:p>
    <w:p w:rsidR="00FC7F0E" w:rsidRPr="00021B2F" w:rsidRDefault="00FC7F0E" w:rsidP="00FC7F0E">
      <w:pPr>
        <w:keepNext/>
        <w:keepLines/>
        <w:spacing w:after="0" w:line="240" w:lineRule="auto"/>
        <w:ind w:left="1152"/>
        <w:outlineLvl w:val="5"/>
        <w:rPr>
          <w:rFonts w:ascii="Verdana" w:eastAsiaTheme="majorEastAsia" w:hAnsi="Verdana" w:cstheme="majorBidi"/>
          <w:b/>
          <w:color w:val="243F60" w:themeColor="accent1" w:themeShade="7F"/>
          <w:sz w:val="24"/>
          <w:szCs w:val="24"/>
        </w:rPr>
      </w:pPr>
    </w:p>
    <w:tbl>
      <w:tblPr>
        <w:tblW w:w="10207" w:type="dxa"/>
        <w:jc w:val="center"/>
        <w:tblLayout w:type="fixed"/>
        <w:tblCellMar>
          <w:left w:w="70" w:type="dxa"/>
          <w:right w:w="70" w:type="dxa"/>
        </w:tblCellMar>
        <w:tblLook w:val="04A0"/>
      </w:tblPr>
      <w:tblGrid>
        <w:gridCol w:w="4111"/>
        <w:gridCol w:w="1134"/>
        <w:gridCol w:w="992"/>
        <w:gridCol w:w="851"/>
        <w:gridCol w:w="1134"/>
        <w:gridCol w:w="992"/>
        <w:gridCol w:w="993"/>
      </w:tblGrid>
      <w:tr w:rsidR="00FC7F0E" w:rsidRPr="00021B2F" w:rsidTr="00FC7F0E">
        <w:trPr>
          <w:trHeight w:val="300"/>
          <w:tblHeader/>
          <w:jc w:val="center"/>
        </w:trPr>
        <w:tc>
          <w:tcPr>
            <w:tcW w:w="4111" w:type="dxa"/>
            <w:tcBorders>
              <w:top w:val="nil"/>
              <w:left w:val="nil"/>
              <w:right w:val="nil"/>
            </w:tcBorders>
            <w:shd w:val="clear" w:color="4F81BD" w:fill="4F81BD"/>
          </w:tcPr>
          <w:p w:rsidR="00FC7F0E" w:rsidRPr="00021B2F" w:rsidRDefault="00FC7F0E" w:rsidP="00FC7F0E">
            <w:pPr>
              <w:spacing w:after="0" w:line="240" w:lineRule="auto"/>
              <w:jc w:val="center"/>
              <w:rPr>
                <w:rFonts w:ascii="Verdana" w:eastAsia="Times New Roman" w:hAnsi="Verdana" w:cs="Times New Roman"/>
                <w:b/>
                <w:color w:val="FFFFFF"/>
                <w:sz w:val="18"/>
                <w:szCs w:val="18"/>
                <w:lang w:eastAsia="es-CO"/>
              </w:rPr>
            </w:pPr>
            <w:r w:rsidRPr="00021B2F">
              <w:rPr>
                <w:rFonts w:ascii="Verdana" w:eastAsia="Times New Roman" w:hAnsi="Verdana" w:cs="Times New Roman"/>
                <w:b/>
                <w:color w:val="FFFFFF"/>
                <w:sz w:val="18"/>
                <w:szCs w:val="18"/>
                <w:lang w:eastAsia="es-CO"/>
              </w:rPr>
              <w:t>Indicador</w:t>
            </w:r>
          </w:p>
        </w:tc>
        <w:tc>
          <w:tcPr>
            <w:tcW w:w="1134" w:type="dxa"/>
            <w:tcBorders>
              <w:top w:val="nil"/>
              <w:left w:val="single" w:sz="4" w:space="0" w:color="FFFFFF"/>
              <w:right w:val="single" w:sz="4" w:space="0" w:color="FFFFFF"/>
            </w:tcBorders>
            <w:shd w:val="clear" w:color="4F81BD" w:fill="4F81BD"/>
          </w:tcPr>
          <w:p w:rsidR="00FC7F0E" w:rsidRPr="00021B2F" w:rsidRDefault="00FC7F0E" w:rsidP="00FC7F0E">
            <w:pPr>
              <w:spacing w:after="0" w:line="240" w:lineRule="auto"/>
              <w:jc w:val="center"/>
              <w:rPr>
                <w:rFonts w:ascii="Verdana" w:eastAsia="Times New Roman" w:hAnsi="Verdana" w:cs="Times New Roman"/>
                <w:b/>
                <w:color w:val="FFFFFF"/>
                <w:sz w:val="18"/>
                <w:szCs w:val="18"/>
                <w:lang w:eastAsia="es-CO"/>
              </w:rPr>
            </w:pPr>
            <w:r w:rsidRPr="00021B2F">
              <w:rPr>
                <w:rFonts w:ascii="Verdana" w:eastAsia="Times New Roman" w:hAnsi="Verdana" w:cs="Times New Roman"/>
                <w:b/>
                <w:color w:val="FFFFFF"/>
                <w:sz w:val="18"/>
                <w:szCs w:val="18"/>
                <w:lang w:eastAsia="es-CO"/>
              </w:rPr>
              <w:t xml:space="preserve"> Meta 2014 </w:t>
            </w:r>
          </w:p>
        </w:tc>
        <w:tc>
          <w:tcPr>
            <w:tcW w:w="992" w:type="dxa"/>
            <w:tcBorders>
              <w:top w:val="nil"/>
              <w:left w:val="single" w:sz="4" w:space="0" w:color="FFFFFF"/>
              <w:bottom w:val="single" w:sz="12" w:space="0" w:color="FFFFFF"/>
              <w:right w:val="single" w:sz="4" w:space="0" w:color="FFFFFF"/>
            </w:tcBorders>
            <w:shd w:val="clear" w:color="4F81BD" w:fill="4F81BD"/>
          </w:tcPr>
          <w:p w:rsidR="00FC7F0E" w:rsidRPr="00021B2F" w:rsidRDefault="00FC7F0E" w:rsidP="00FC7F0E">
            <w:pPr>
              <w:spacing w:after="0" w:line="240" w:lineRule="auto"/>
              <w:jc w:val="center"/>
              <w:rPr>
                <w:rFonts w:ascii="Verdana" w:eastAsia="Times New Roman" w:hAnsi="Verdana" w:cs="Times New Roman"/>
                <w:b/>
                <w:color w:val="FFFFFF"/>
                <w:sz w:val="18"/>
                <w:szCs w:val="18"/>
                <w:lang w:eastAsia="es-CO"/>
              </w:rPr>
            </w:pPr>
            <w:r w:rsidRPr="00021B2F">
              <w:rPr>
                <w:rFonts w:ascii="Verdana" w:eastAsia="Times New Roman" w:hAnsi="Verdana" w:cs="Times New Roman"/>
                <w:b/>
                <w:color w:val="FFFFFF"/>
                <w:sz w:val="18"/>
                <w:szCs w:val="18"/>
                <w:lang w:eastAsia="es-CO"/>
              </w:rPr>
              <w:t xml:space="preserve"> Avance</w:t>
            </w:r>
          </w:p>
        </w:tc>
        <w:tc>
          <w:tcPr>
            <w:tcW w:w="851" w:type="dxa"/>
            <w:tcBorders>
              <w:top w:val="nil"/>
              <w:left w:val="single" w:sz="4" w:space="0" w:color="FFFFFF"/>
              <w:bottom w:val="single" w:sz="12" w:space="0" w:color="FFFFFF"/>
              <w:right w:val="single" w:sz="4" w:space="0" w:color="FFFFFF"/>
            </w:tcBorders>
            <w:shd w:val="clear" w:color="4F81BD" w:fill="4F81BD"/>
          </w:tcPr>
          <w:p w:rsidR="00FC7F0E" w:rsidRPr="00021B2F" w:rsidRDefault="00FC7F0E" w:rsidP="00FC7F0E">
            <w:pPr>
              <w:spacing w:after="0" w:line="240" w:lineRule="auto"/>
              <w:jc w:val="center"/>
              <w:rPr>
                <w:rFonts w:ascii="Verdana" w:eastAsia="Times New Roman" w:hAnsi="Verdana" w:cs="Times New Roman"/>
                <w:b/>
                <w:color w:val="FFFFFF"/>
                <w:sz w:val="18"/>
                <w:szCs w:val="18"/>
                <w:lang w:eastAsia="es-CO"/>
              </w:rPr>
            </w:pPr>
            <w:r w:rsidRPr="00021B2F">
              <w:rPr>
                <w:rFonts w:ascii="Verdana" w:eastAsia="Times New Roman" w:hAnsi="Verdana" w:cs="Times New Roman"/>
                <w:b/>
                <w:color w:val="FFFFFF"/>
                <w:sz w:val="18"/>
                <w:szCs w:val="18"/>
                <w:lang w:eastAsia="es-CO"/>
              </w:rPr>
              <w:t>% Avance</w:t>
            </w:r>
          </w:p>
        </w:tc>
        <w:tc>
          <w:tcPr>
            <w:tcW w:w="1134" w:type="dxa"/>
            <w:tcBorders>
              <w:top w:val="nil"/>
              <w:left w:val="single" w:sz="4" w:space="0" w:color="FFFFFF"/>
              <w:bottom w:val="single" w:sz="12" w:space="0" w:color="FFFFFF"/>
              <w:right w:val="single" w:sz="4" w:space="0" w:color="FFFFFF"/>
            </w:tcBorders>
            <w:shd w:val="clear" w:color="4F81BD" w:fill="4F81BD"/>
          </w:tcPr>
          <w:p w:rsidR="00FC7F0E" w:rsidRPr="00021B2F" w:rsidRDefault="00FC7F0E" w:rsidP="00FC7F0E">
            <w:pPr>
              <w:spacing w:after="0" w:line="240" w:lineRule="auto"/>
              <w:jc w:val="center"/>
              <w:rPr>
                <w:rFonts w:ascii="Verdana" w:eastAsia="Times New Roman" w:hAnsi="Verdana" w:cs="Times New Roman"/>
                <w:b/>
                <w:color w:val="FFFFFF"/>
                <w:sz w:val="18"/>
                <w:szCs w:val="18"/>
                <w:lang w:eastAsia="es-CO"/>
              </w:rPr>
            </w:pPr>
            <w:r w:rsidRPr="00021B2F">
              <w:rPr>
                <w:rFonts w:ascii="Verdana" w:eastAsia="Times New Roman" w:hAnsi="Verdana" w:cs="Times New Roman"/>
                <w:b/>
                <w:color w:val="FFFFFF"/>
                <w:sz w:val="18"/>
                <w:szCs w:val="18"/>
                <w:lang w:eastAsia="es-CO"/>
              </w:rPr>
              <w:t xml:space="preserve"> Meta cuatrienio </w:t>
            </w:r>
          </w:p>
        </w:tc>
        <w:tc>
          <w:tcPr>
            <w:tcW w:w="992" w:type="dxa"/>
            <w:tcBorders>
              <w:top w:val="nil"/>
              <w:left w:val="single" w:sz="4" w:space="0" w:color="FFFFFF"/>
              <w:bottom w:val="single" w:sz="12" w:space="0" w:color="FFFFFF"/>
              <w:right w:val="single" w:sz="4" w:space="0" w:color="FFFFFF"/>
            </w:tcBorders>
            <w:shd w:val="clear" w:color="4F81BD" w:fill="4F81BD"/>
          </w:tcPr>
          <w:p w:rsidR="00FC7F0E" w:rsidRPr="00021B2F" w:rsidRDefault="00FC7F0E" w:rsidP="00FC7F0E">
            <w:pPr>
              <w:spacing w:after="0" w:line="240" w:lineRule="auto"/>
              <w:jc w:val="center"/>
              <w:rPr>
                <w:rFonts w:ascii="Verdana" w:eastAsia="Times New Roman" w:hAnsi="Verdana" w:cs="Times New Roman"/>
                <w:b/>
                <w:color w:val="FFFFFF"/>
                <w:sz w:val="18"/>
                <w:szCs w:val="18"/>
                <w:lang w:eastAsia="es-CO"/>
              </w:rPr>
            </w:pPr>
            <w:r w:rsidRPr="00021B2F">
              <w:rPr>
                <w:rFonts w:ascii="Verdana" w:eastAsia="Times New Roman" w:hAnsi="Verdana" w:cs="Times New Roman"/>
                <w:b/>
                <w:color w:val="FFFFFF"/>
                <w:sz w:val="18"/>
                <w:szCs w:val="18"/>
                <w:lang w:eastAsia="es-CO"/>
              </w:rPr>
              <w:t xml:space="preserve"> Avance</w:t>
            </w:r>
          </w:p>
        </w:tc>
        <w:tc>
          <w:tcPr>
            <w:tcW w:w="993" w:type="dxa"/>
            <w:tcBorders>
              <w:top w:val="nil"/>
              <w:left w:val="single" w:sz="4" w:space="0" w:color="FFFFFF"/>
              <w:bottom w:val="single" w:sz="12" w:space="0" w:color="FFFFFF"/>
              <w:right w:val="single" w:sz="4" w:space="0" w:color="FFFFFF"/>
            </w:tcBorders>
            <w:shd w:val="clear" w:color="4F81BD" w:fill="4F81BD"/>
          </w:tcPr>
          <w:p w:rsidR="00FC7F0E" w:rsidRPr="00021B2F" w:rsidRDefault="00FC7F0E" w:rsidP="00FC7F0E">
            <w:pPr>
              <w:spacing w:after="0" w:line="240" w:lineRule="auto"/>
              <w:jc w:val="center"/>
              <w:rPr>
                <w:rFonts w:ascii="Verdana" w:eastAsia="Times New Roman" w:hAnsi="Verdana" w:cs="Times New Roman"/>
                <w:b/>
                <w:color w:val="FFFFFF"/>
                <w:sz w:val="18"/>
                <w:szCs w:val="18"/>
                <w:lang w:eastAsia="es-CO"/>
              </w:rPr>
            </w:pPr>
            <w:r w:rsidRPr="00021B2F">
              <w:rPr>
                <w:rFonts w:ascii="Verdana" w:eastAsia="Times New Roman" w:hAnsi="Verdana" w:cs="Times New Roman"/>
                <w:b/>
                <w:color w:val="FFFFFF"/>
                <w:sz w:val="18"/>
                <w:szCs w:val="18"/>
                <w:lang w:eastAsia="es-CO"/>
              </w:rPr>
              <w:t xml:space="preserve"> % Avance</w:t>
            </w:r>
          </w:p>
        </w:tc>
      </w:tr>
      <w:tr w:rsidR="00FC7F0E" w:rsidRPr="00021B2F" w:rsidTr="00FC7F0E">
        <w:trPr>
          <w:trHeight w:val="87"/>
          <w:jc w:val="center"/>
        </w:trPr>
        <w:tc>
          <w:tcPr>
            <w:tcW w:w="4111" w:type="dxa"/>
            <w:tcBorders>
              <w:top w:val="single" w:sz="4" w:space="0" w:color="FFFFFF"/>
              <w:left w:val="nil"/>
              <w:bottom w:val="single" w:sz="4" w:space="0" w:color="FFFFFF"/>
              <w:right w:val="nil"/>
            </w:tcBorders>
            <w:shd w:val="clear" w:color="B8CCE4" w:fill="B8CCE4"/>
            <w:vAlign w:val="center"/>
          </w:tcPr>
          <w:p w:rsidR="00FC7F0E" w:rsidRPr="00021B2F" w:rsidRDefault="00FC7F0E" w:rsidP="00FC7F0E">
            <w:pPr>
              <w:spacing w:after="0" w:line="240" w:lineRule="auto"/>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Familias con cálculo de logros</w:t>
            </w:r>
          </w:p>
        </w:tc>
        <w:tc>
          <w:tcPr>
            <w:tcW w:w="1134" w:type="dxa"/>
            <w:tcBorders>
              <w:top w:val="single" w:sz="4" w:space="0" w:color="FFFFFF"/>
              <w:left w:val="single" w:sz="4" w:space="0" w:color="FFFFFF"/>
              <w:bottom w:val="single" w:sz="4" w:space="0" w:color="FFFFFF"/>
              <w:right w:val="single" w:sz="4" w:space="0" w:color="FFFFFF"/>
            </w:tcBorders>
            <w:shd w:val="clear" w:color="B8CCE4" w:fill="B8CCE4"/>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1.500.000</w:t>
            </w:r>
          </w:p>
        </w:tc>
        <w:tc>
          <w:tcPr>
            <w:tcW w:w="992" w:type="dxa"/>
            <w:tcBorders>
              <w:top w:val="single" w:sz="4" w:space="0" w:color="FFFFFF"/>
              <w:left w:val="single" w:sz="4" w:space="0" w:color="FFFFFF"/>
              <w:bottom w:val="single" w:sz="4" w:space="0" w:color="FFFFFF"/>
              <w:right w:val="single" w:sz="4" w:space="0" w:color="FFFFFF"/>
            </w:tcBorders>
            <w:shd w:val="clear" w:color="B8CCE4" w:fill="B8CCE4"/>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1.391.984</w:t>
            </w:r>
          </w:p>
        </w:tc>
        <w:tc>
          <w:tcPr>
            <w:tcW w:w="851" w:type="dxa"/>
            <w:tcBorders>
              <w:top w:val="single" w:sz="4" w:space="0" w:color="FFFFFF"/>
              <w:left w:val="single" w:sz="4" w:space="0" w:color="FFFFFF"/>
              <w:bottom w:val="single" w:sz="4" w:space="0" w:color="FFFFFF"/>
              <w:right w:val="single" w:sz="4" w:space="0" w:color="FFFFFF"/>
            </w:tcBorders>
            <w:shd w:val="clear" w:color="B8CCE4" w:fill="B8CCE4"/>
            <w:vAlign w:val="center"/>
          </w:tcPr>
          <w:p w:rsidR="00FC7F0E" w:rsidRPr="00021B2F" w:rsidRDefault="00FC7F0E" w:rsidP="00FC7F0E">
            <w:pPr>
              <w:spacing w:after="0" w:line="240" w:lineRule="auto"/>
              <w:jc w:val="center"/>
              <w:rPr>
                <w:rFonts w:ascii="Verdana" w:eastAsia="Times New Roman" w:hAnsi="Verdana" w:cs="Times New Roman"/>
                <w:bCs/>
                <w:color w:val="000000"/>
                <w:sz w:val="18"/>
                <w:szCs w:val="18"/>
                <w:lang w:eastAsia="es-CO"/>
              </w:rPr>
            </w:pPr>
            <w:r w:rsidRPr="00021B2F">
              <w:rPr>
                <w:rFonts w:ascii="Verdana" w:eastAsia="Times New Roman" w:hAnsi="Verdana" w:cs="Times New Roman"/>
                <w:bCs/>
                <w:color w:val="000000"/>
                <w:sz w:val="18"/>
                <w:szCs w:val="18"/>
                <w:lang w:eastAsia="es-CO"/>
              </w:rPr>
              <w:t>93%</w:t>
            </w:r>
          </w:p>
        </w:tc>
        <w:tc>
          <w:tcPr>
            <w:tcW w:w="1134" w:type="dxa"/>
            <w:tcBorders>
              <w:top w:val="single" w:sz="4" w:space="0" w:color="FFFFFF"/>
              <w:left w:val="single" w:sz="4" w:space="0" w:color="FFFFFF"/>
              <w:bottom w:val="single" w:sz="4" w:space="0" w:color="FFFFFF"/>
              <w:right w:val="single" w:sz="4" w:space="0" w:color="FFFFFF"/>
            </w:tcBorders>
            <w:shd w:val="clear" w:color="B8CCE4" w:fill="B8CCE4"/>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1.500.000</w:t>
            </w:r>
          </w:p>
        </w:tc>
        <w:tc>
          <w:tcPr>
            <w:tcW w:w="992" w:type="dxa"/>
            <w:tcBorders>
              <w:top w:val="single" w:sz="4" w:space="0" w:color="FFFFFF"/>
              <w:left w:val="single" w:sz="4" w:space="0" w:color="FFFFFF"/>
              <w:bottom w:val="single" w:sz="4" w:space="0" w:color="FFFFFF"/>
              <w:right w:val="single" w:sz="4" w:space="0" w:color="FFFFFF"/>
            </w:tcBorders>
            <w:shd w:val="clear" w:color="B8CCE4" w:fill="B8CCE4"/>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1.391.984</w:t>
            </w:r>
          </w:p>
        </w:tc>
        <w:tc>
          <w:tcPr>
            <w:tcW w:w="993" w:type="dxa"/>
            <w:tcBorders>
              <w:top w:val="single" w:sz="4" w:space="0" w:color="FFFFFF"/>
              <w:left w:val="single" w:sz="4" w:space="0" w:color="FFFFFF"/>
              <w:bottom w:val="single" w:sz="4" w:space="0" w:color="FFFFFF"/>
              <w:right w:val="single" w:sz="4" w:space="0" w:color="FFFFFF"/>
            </w:tcBorders>
            <w:shd w:val="clear" w:color="B8CCE4" w:fill="B8CCE4"/>
            <w:vAlign w:val="center"/>
          </w:tcPr>
          <w:p w:rsidR="00FC7F0E" w:rsidRPr="00021B2F" w:rsidRDefault="00FC7F0E" w:rsidP="00FC7F0E">
            <w:pPr>
              <w:spacing w:after="0" w:line="240" w:lineRule="auto"/>
              <w:jc w:val="center"/>
              <w:rPr>
                <w:rFonts w:ascii="Verdana" w:eastAsia="Times New Roman" w:hAnsi="Verdana" w:cs="Times New Roman"/>
                <w:bCs/>
                <w:color w:val="000000"/>
                <w:sz w:val="18"/>
                <w:szCs w:val="18"/>
                <w:lang w:eastAsia="es-CO"/>
              </w:rPr>
            </w:pPr>
            <w:r w:rsidRPr="00021B2F">
              <w:rPr>
                <w:rFonts w:ascii="Verdana" w:eastAsia="Times New Roman" w:hAnsi="Verdana" w:cs="Times New Roman"/>
                <w:bCs/>
                <w:color w:val="000000"/>
                <w:sz w:val="18"/>
                <w:szCs w:val="18"/>
                <w:lang w:eastAsia="es-CO"/>
              </w:rPr>
              <w:t>93%</w:t>
            </w:r>
          </w:p>
        </w:tc>
      </w:tr>
      <w:tr w:rsidR="00FC7F0E" w:rsidRPr="00021B2F" w:rsidTr="00FC7F0E">
        <w:trPr>
          <w:trHeight w:val="300"/>
          <w:jc w:val="center"/>
        </w:trPr>
        <w:tc>
          <w:tcPr>
            <w:tcW w:w="4111" w:type="dxa"/>
            <w:tcBorders>
              <w:top w:val="single" w:sz="4" w:space="0" w:color="FFFFFF"/>
              <w:left w:val="nil"/>
              <w:bottom w:val="single" w:sz="4" w:space="0" w:color="FFFFFF"/>
              <w:right w:val="nil"/>
            </w:tcBorders>
            <w:shd w:val="clear" w:color="DCE6F1" w:fill="DCE6F1"/>
            <w:vAlign w:val="center"/>
          </w:tcPr>
          <w:p w:rsidR="00FC7F0E" w:rsidRPr="00021B2F" w:rsidRDefault="00FC7F0E" w:rsidP="00FC7F0E">
            <w:pPr>
              <w:spacing w:after="0" w:line="240" w:lineRule="auto"/>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Familias con Plan Familiar</w:t>
            </w:r>
          </w:p>
        </w:tc>
        <w:tc>
          <w:tcPr>
            <w:tcW w:w="1134"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1.500.000</w:t>
            </w:r>
          </w:p>
        </w:tc>
        <w:tc>
          <w:tcPr>
            <w:tcW w:w="992"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1.334.165</w:t>
            </w:r>
          </w:p>
        </w:tc>
        <w:tc>
          <w:tcPr>
            <w:tcW w:w="851"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bCs/>
                <w:color w:val="000000"/>
                <w:sz w:val="18"/>
                <w:szCs w:val="18"/>
                <w:lang w:eastAsia="es-CO"/>
              </w:rPr>
            </w:pPr>
            <w:r w:rsidRPr="00021B2F">
              <w:rPr>
                <w:rFonts w:ascii="Verdana" w:eastAsia="Times New Roman" w:hAnsi="Verdana" w:cs="Times New Roman"/>
                <w:bCs/>
                <w:color w:val="000000"/>
                <w:sz w:val="18"/>
                <w:szCs w:val="18"/>
                <w:lang w:eastAsia="es-CO"/>
              </w:rPr>
              <w:t>89%</w:t>
            </w:r>
          </w:p>
        </w:tc>
        <w:tc>
          <w:tcPr>
            <w:tcW w:w="1134"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1.500.000</w:t>
            </w:r>
          </w:p>
        </w:tc>
        <w:tc>
          <w:tcPr>
            <w:tcW w:w="992"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1.334.165</w:t>
            </w:r>
          </w:p>
        </w:tc>
        <w:tc>
          <w:tcPr>
            <w:tcW w:w="993"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bCs/>
                <w:color w:val="000000"/>
                <w:sz w:val="18"/>
                <w:szCs w:val="18"/>
                <w:lang w:eastAsia="es-CO"/>
              </w:rPr>
            </w:pPr>
            <w:r w:rsidRPr="00021B2F">
              <w:rPr>
                <w:rFonts w:ascii="Verdana" w:eastAsia="Times New Roman" w:hAnsi="Verdana" w:cs="Times New Roman"/>
                <w:bCs/>
                <w:color w:val="000000"/>
                <w:sz w:val="18"/>
                <w:szCs w:val="18"/>
                <w:lang w:eastAsia="es-CO"/>
              </w:rPr>
              <w:t>89%</w:t>
            </w:r>
          </w:p>
        </w:tc>
      </w:tr>
      <w:tr w:rsidR="00FC7F0E" w:rsidRPr="00021B2F" w:rsidTr="00FC7F0E">
        <w:trPr>
          <w:trHeight w:val="300"/>
          <w:jc w:val="center"/>
        </w:trPr>
        <w:tc>
          <w:tcPr>
            <w:tcW w:w="4111" w:type="dxa"/>
            <w:tcBorders>
              <w:top w:val="single" w:sz="4" w:space="0" w:color="FFFFFF"/>
              <w:left w:val="nil"/>
              <w:bottom w:val="single" w:sz="4" w:space="0" w:color="FFFFFF"/>
              <w:right w:val="nil"/>
            </w:tcBorders>
            <w:shd w:val="clear" w:color="auto" w:fill="B8CCE4" w:themeFill="accent1" w:themeFillTint="66"/>
            <w:vAlign w:val="center"/>
          </w:tcPr>
          <w:p w:rsidR="00FC7F0E" w:rsidRPr="00021B2F" w:rsidRDefault="00FC7F0E" w:rsidP="00FC7F0E">
            <w:pPr>
              <w:spacing w:after="0" w:line="240" w:lineRule="auto"/>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Familias con seguimiento a logros</w:t>
            </w:r>
          </w:p>
        </w:tc>
        <w:tc>
          <w:tcPr>
            <w:tcW w:w="1134"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1.500.000</w:t>
            </w:r>
          </w:p>
        </w:tc>
        <w:tc>
          <w:tcPr>
            <w:tcW w:w="992"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1.299.444</w:t>
            </w:r>
          </w:p>
        </w:tc>
        <w:tc>
          <w:tcPr>
            <w:tcW w:w="851"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bCs/>
                <w:color w:val="000000"/>
                <w:sz w:val="18"/>
                <w:szCs w:val="18"/>
                <w:lang w:eastAsia="es-CO"/>
              </w:rPr>
            </w:pPr>
            <w:r w:rsidRPr="00021B2F">
              <w:rPr>
                <w:rFonts w:ascii="Verdana" w:eastAsia="Times New Roman" w:hAnsi="Verdana" w:cs="Times New Roman"/>
                <w:bCs/>
                <w:color w:val="000000"/>
                <w:sz w:val="18"/>
                <w:szCs w:val="18"/>
                <w:lang w:eastAsia="es-CO"/>
              </w:rPr>
              <w:t>87%</w:t>
            </w:r>
          </w:p>
        </w:tc>
        <w:tc>
          <w:tcPr>
            <w:tcW w:w="1134"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1.500.000</w:t>
            </w:r>
          </w:p>
        </w:tc>
        <w:tc>
          <w:tcPr>
            <w:tcW w:w="992"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1.299.444</w:t>
            </w:r>
          </w:p>
        </w:tc>
        <w:tc>
          <w:tcPr>
            <w:tcW w:w="993"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bCs/>
                <w:color w:val="000000"/>
                <w:sz w:val="18"/>
                <w:szCs w:val="18"/>
                <w:lang w:eastAsia="es-CO"/>
              </w:rPr>
            </w:pPr>
            <w:r w:rsidRPr="00021B2F">
              <w:rPr>
                <w:rFonts w:ascii="Verdana" w:eastAsia="Times New Roman" w:hAnsi="Verdana" w:cs="Times New Roman"/>
                <w:bCs/>
                <w:color w:val="000000"/>
                <w:sz w:val="18"/>
                <w:szCs w:val="18"/>
                <w:lang w:eastAsia="es-CO"/>
              </w:rPr>
              <w:t>87%</w:t>
            </w:r>
          </w:p>
        </w:tc>
      </w:tr>
      <w:tr w:rsidR="00FC7F0E" w:rsidRPr="00021B2F" w:rsidTr="00FC7F0E">
        <w:trPr>
          <w:trHeight w:val="300"/>
          <w:jc w:val="center"/>
        </w:trPr>
        <w:tc>
          <w:tcPr>
            <w:tcW w:w="4111" w:type="dxa"/>
            <w:tcBorders>
              <w:top w:val="single" w:sz="4" w:space="0" w:color="FFFFFF"/>
              <w:left w:val="nil"/>
              <w:bottom w:val="single" w:sz="4" w:space="0" w:color="FFFFFF"/>
              <w:right w:val="nil"/>
            </w:tcBorders>
            <w:shd w:val="clear" w:color="DCE6F1" w:fill="DCE6F1"/>
            <w:vAlign w:val="center"/>
          </w:tcPr>
          <w:p w:rsidR="00FC7F0E" w:rsidRPr="00021B2F" w:rsidRDefault="00FC7F0E" w:rsidP="00FC7F0E">
            <w:pPr>
              <w:spacing w:after="0" w:line="240" w:lineRule="auto"/>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Cogestores sociales contratados</w:t>
            </w:r>
          </w:p>
        </w:tc>
        <w:tc>
          <w:tcPr>
            <w:tcW w:w="1134"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10.692</w:t>
            </w:r>
          </w:p>
        </w:tc>
        <w:tc>
          <w:tcPr>
            <w:tcW w:w="992"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9.101</w:t>
            </w:r>
          </w:p>
        </w:tc>
        <w:tc>
          <w:tcPr>
            <w:tcW w:w="851"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bCs/>
                <w:color w:val="000000"/>
                <w:sz w:val="18"/>
                <w:szCs w:val="18"/>
                <w:lang w:eastAsia="es-CO"/>
              </w:rPr>
            </w:pPr>
            <w:r w:rsidRPr="00021B2F">
              <w:rPr>
                <w:rFonts w:ascii="Verdana" w:eastAsia="Times New Roman" w:hAnsi="Verdana" w:cs="Times New Roman"/>
                <w:bCs/>
                <w:color w:val="000000"/>
                <w:sz w:val="18"/>
                <w:szCs w:val="18"/>
                <w:lang w:eastAsia="es-CO"/>
              </w:rPr>
              <w:t>85%</w:t>
            </w:r>
          </w:p>
        </w:tc>
        <w:tc>
          <w:tcPr>
            <w:tcW w:w="1134"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10.692</w:t>
            </w:r>
          </w:p>
        </w:tc>
        <w:tc>
          <w:tcPr>
            <w:tcW w:w="992"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10.823</w:t>
            </w:r>
          </w:p>
        </w:tc>
        <w:tc>
          <w:tcPr>
            <w:tcW w:w="993"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bCs/>
                <w:color w:val="000000"/>
                <w:sz w:val="18"/>
                <w:szCs w:val="18"/>
                <w:lang w:eastAsia="es-CO"/>
              </w:rPr>
            </w:pPr>
            <w:r w:rsidRPr="00021B2F">
              <w:rPr>
                <w:rFonts w:ascii="Verdana" w:eastAsia="Times New Roman" w:hAnsi="Verdana" w:cs="Times New Roman"/>
                <w:bCs/>
                <w:color w:val="000000"/>
                <w:sz w:val="18"/>
                <w:szCs w:val="18"/>
                <w:lang w:eastAsia="es-CO"/>
              </w:rPr>
              <w:t>101%</w:t>
            </w:r>
          </w:p>
        </w:tc>
      </w:tr>
      <w:tr w:rsidR="00FC7F0E" w:rsidRPr="00021B2F" w:rsidTr="00FC7F0E">
        <w:trPr>
          <w:trHeight w:val="300"/>
          <w:jc w:val="center"/>
        </w:trPr>
        <w:tc>
          <w:tcPr>
            <w:tcW w:w="4111" w:type="dxa"/>
            <w:tcBorders>
              <w:top w:val="single" w:sz="4" w:space="0" w:color="FFFFFF"/>
              <w:left w:val="nil"/>
              <w:bottom w:val="single" w:sz="4" w:space="0" w:color="FFFFFF"/>
              <w:right w:val="nil"/>
            </w:tcBorders>
            <w:shd w:val="clear" w:color="auto" w:fill="B8CCE4" w:themeFill="accent1" w:themeFillTint="66"/>
            <w:vAlign w:val="center"/>
          </w:tcPr>
          <w:p w:rsidR="00FC7F0E" w:rsidRPr="00021B2F" w:rsidRDefault="00FC7F0E" w:rsidP="00FC7F0E">
            <w:pPr>
              <w:spacing w:after="0" w:line="240" w:lineRule="auto"/>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Familias promovidas territorios ZOLIP</w:t>
            </w:r>
          </w:p>
        </w:tc>
        <w:tc>
          <w:tcPr>
            <w:tcW w:w="1134"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2.300</w:t>
            </w:r>
          </w:p>
        </w:tc>
        <w:tc>
          <w:tcPr>
            <w:tcW w:w="992"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718</w:t>
            </w:r>
          </w:p>
        </w:tc>
        <w:tc>
          <w:tcPr>
            <w:tcW w:w="851"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bCs/>
                <w:color w:val="000000"/>
                <w:sz w:val="18"/>
                <w:szCs w:val="18"/>
                <w:lang w:eastAsia="es-CO"/>
              </w:rPr>
            </w:pPr>
            <w:r w:rsidRPr="00021B2F">
              <w:rPr>
                <w:rFonts w:ascii="Verdana" w:eastAsia="Times New Roman" w:hAnsi="Verdana" w:cs="Times New Roman"/>
                <w:bCs/>
                <w:color w:val="000000"/>
                <w:sz w:val="18"/>
                <w:szCs w:val="18"/>
                <w:lang w:eastAsia="es-CO"/>
              </w:rPr>
              <w:t>31%</w:t>
            </w:r>
          </w:p>
        </w:tc>
        <w:tc>
          <w:tcPr>
            <w:tcW w:w="1134"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10.800</w:t>
            </w:r>
          </w:p>
        </w:tc>
        <w:tc>
          <w:tcPr>
            <w:tcW w:w="992"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1.480</w:t>
            </w:r>
          </w:p>
        </w:tc>
        <w:tc>
          <w:tcPr>
            <w:tcW w:w="993"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bCs/>
                <w:color w:val="000000"/>
                <w:sz w:val="18"/>
                <w:szCs w:val="18"/>
                <w:lang w:eastAsia="es-CO"/>
              </w:rPr>
            </w:pPr>
            <w:r w:rsidRPr="00021B2F">
              <w:rPr>
                <w:rFonts w:ascii="Verdana" w:eastAsia="Times New Roman" w:hAnsi="Verdana" w:cs="Times New Roman"/>
                <w:bCs/>
                <w:color w:val="000000"/>
                <w:sz w:val="18"/>
                <w:szCs w:val="18"/>
                <w:lang w:eastAsia="es-CO"/>
              </w:rPr>
              <w:t>14%</w:t>
            </w:r>
          </w:p>
        </w:tc>
      </w:tr>
      <w:tr w:rsidR="00FC7F0E" w:rsidRPr="00021B2F" w:rsidTr="00FC7F0E">
        <w:trPr>
          <w:trHeight w:val="300"/>
          <w:jc w:val="center"/>
        </w:trPr>
        <w:tc>
          <w:tcPr>
            <w:tcW w:w="4111" w:type="dxa"/>
            <w:tcBorders>
              <w:top w:val="single" w:sz="4" w:space="0" w:color="FFFFFF"/>
              <w:left w:val="nil"/>
              <w:bottom w:val="single" w:sz="4" w:space="0" w:color="FFFFFF"/>
              <w:right w:val="nil"/>
            </w:tcBorders>
            <w:shd w:val="clear" w:color="auto" w:fill="DBE5F1" w:themeFill="accent1" w:themeFillTint="33"/>
            <w:vAlign w:val="center"/>
          </w:tcPr>
          <w:p w:rsidR="00FC7F0E" w:rsidRPr="00021B2F" w:rsidRDefault="00FC7F0E" w:rsidP="00FC7F0E">
            <w:pPr>
              <w:spacing w:after="0" w:line="240" w:lineRule="auto"/>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Sesiones de acompañamiento familiar</w:t>
            </w:r>
          </w:p>
        </w:tc>
        <w:tc>
          <w:tcPr>
            <w:tcW w:w="1134"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2.400.000</w:t>
            </w:r>
          </w:p>
        </w:tc>
        <w:tc>
          <w:tcPr>
            <w:tcW w:w="99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4.399.771</w:t>
            </w:r>
          </w:p>
        </w:tc>
        <w:tc>
          <w:tcPr>
            <w:tcW w:w="85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rsidR="00FC7F0E" w:rsidRPr="00021B2F" w:rsidRDefault="00FC7F0E" w:rsidP="00FC7F0E">
            <w:pPr>
              <w:spacing w:after="0" w:line="240" w:lineRule="auto"/>
              <w:jc w:val="center"/>
              <w:rPr>
                <w:rFonts w:ascii="Verdana" w:eastAsia="Times New Roman" w:hAnsi="Verdana" w:cs="Times New Roman"/>
                <w:bCs/>
                <w:color w:val="000000"/>
                <w:sz w:val="18"/>
                <w:szCs w:val="18"/>
                <w:lang w:eastAsia="es-CO"/>
              </w:rPr>
            </w:pPr>
            <w:r w:rsidRPr="00021B2F">
              <w:rPr>
                <w:rFonts w:ascii="Verdana" w:eastAsia="Times New Roman" w:hAnsi="Verdana" w:cs="Times New Roman"/>
                <w:bCs/>
                <w:color w:val="000000"/>
                <w:sz w:val="18"/>
                <w:szCs w:val="18"/>
                <w:lang w:eastAsia="es-CO"/>
              </w:rPr>
              <w:t>183%</w:t>
            </w:r>
          </w:p>
        </w:tc>
        <w:tc>
          <w:tcPr>
            <w:tcW w:w="1134"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6.400.000</w:t>
            </w:r>
          </w:p>
        </w:tc>
        <w:tc>
          <w:tcPr>
            <w:tcW w:w="99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8.210.844</w:t>
            </w:r>
          </w:p>
        </w:tc>
        <w:tc>
          <w:tcPr>
            <w:tcW w:w="99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rsidR="00FC7F0E" w:rsidRPr="00021B2F" w:rsidRDefault="00FC7F0E" w:rsidP="00FC7F0E">
            <w:pPr>
              <w:spacing w:after="0" w:line="240" w:lineRule="auto"/>
              <w:jc w:val="center"/>
              <w:rPr>
                <w:rFonts w:ascii="Verdana" w:eastAsia="Times New Roman" w:hAnsi="Verdana" w:cs="Times New Roman"/>
                <w:bCs/>
                <w:color w:val="000000"/>
                <w:sz w:val="18"/>
                <w:szCs w:val="18"/>
                <w:lang w:eastAsia="es-CO"/>
              </w:rPr>
            </w:pPr>
            <w:r w:rsidRPr="00021B2F">
              <w:rPr>
                <w:rFonts w:ascii="Verdana" w:eastAsia="Times New Roman" w:hAnsi="Verdana" w:cs="Times New Roman"/>
                <w:bCs/>
                <w:color w:val="000000"/>
                <w:sz w:val="18"/>
                <w:szCs w:val="18"/>
                <w:lang w:eastAsia="es-CO"/>
              </w:rPr>
              <w:t>128%</w:t>
            </w:r>
          </w:p>
        </w:tc>
      </w:tr>
      <w:tr w:rsidR="00FC7F0E" w:rsidRPr="00021B2F" w:rsidTr="00FC7F0E">
        <w:trPr>
          <w:trHeight w:val="300"/>
          <w:jc w:val="center"/>
        </w:trPr>
        <w:tc>
          <w:tcPr>
            <w:tcW w:w="4111" w:type="dxa"/>
            <w:tcBorders>
              <w:top w:val="single" w:sz="4" w:space="0" w:color="FFFFFF"/>
              <w:left w:val="nil"/>
              <w:bottom w:val="single" w:sz="4" w:space="0" w:color="FFFFFF"/>
              <w:right w:val="nil"/>
            </w:tcBorders>
            <w:shd w:val="clear" w:color="auto" w:fill="B8CCE4" w:themeFill="accent1" w:themeFillTint="66"/>
            <w:vAlign w:val="center"/>
          </w:tcPr>
          <w:p w:rsidR="00FC7F0E" w:rsidRPr="00021B2F" w:rsidRDefault="00FC7F0E" w:rsidP="00FC7F0E">
            <w:pPr>
              <w:spacing w:after="0" w:line="240" w:lineRule="auto"/>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lastRenderedPageBreak/>
              <w:t>Familias con Condición Necesaria</w:t>
            </w:r>
          </w:p>
        </w:tc>
        <w:tc>
          <w:tcPr>
            <w:tcW w:w="1134"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175.000</w:t>
            </w:r>
          </w:p>
        </w:tc>
        <w:tc>
          <w:tcPr>
            <w:tcW w:w="992"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179.626</w:t>
            </w:r>
          </w:p>
        </w:tc>
        <w:tc>
          <w:tcPr>
            <w:tcW w:w="851"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bCs/>
                <w:color w:val="000000"/>
                <w:sz w:val="18"/>
                <w:szCs w:val="18"/>
                <w:lang w:eastAsia="es-CO"/>
              </w:rPr>
            </w:pPr>
            <w:r w:rsidRPr="00021B2F">
              <w:rPr>
                <w:rFonts w:ascii="Verdana" w:eastAsia="Times New Roman" w:hAnsi="Verdana" w:cs="Times New Roman"/>
                <w:bCs/>
                <w:color w:val="000000"/>
                <w:sz w:val="18"/>
                <w:szCs w:val="18"/>
                <w:lang w:eastAsia="es-CO"/>
              </w:rPr>
              <w:t>103%</w:t>
            </w:r>
          </w:p>
        </w:tc>
        <w:tc>
          <w:tcPr>
            <w:tcW w:w="1134"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625.000</w:t>
            </w:r>
          </w:p>
        </w:tc>
        <w:tc>
          <w:tcPr>
            <w:tcW w:w="992"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632.309</w:t>
            </w:r>
          </w:p>
        </w:tc>
        <w:tc>
          <w:tcPr>
            <w:tcW w:w="993"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bCs/>
                <w:color w:val="000000"/>
                <w:sz w:val="18"/>
                <w:szCs w:val="18"/>
                <w:lang w:eastAsia="es-CO"/>
              </w:rPr>
            </w:pPr>
            <w:r w:rsidRPr="00021B2F">
              <w:rPr>
                <w:rFonts w:ascii="Verdana" w:eastAsia="Times New Roman" w:hAnsi="Verdana" w:cs="Times New Roman"/>
                <w:bCs/>
                <w:color w:val="000000"/>
                <w:sz w:val="18"/>
                <w:szCs w:val="18"/>
                <w:lang w:eastAsia="es-CO"/>
              </w:rPr>
              <w:t>101%</w:t>
            </w:r>
          </w:p>
        </w:tc>
      </w:tr>
      <w:tr w:rsidR="00FC7F0E" w:rsidRPr="00021B2F" w:rsidTr="00FC7F0E">
        <w:trPr>
          <w:trHeight w:val="300"/>
          <w:jc w:val="center"/>
        </w:trPr>
        <w:tc>
          <w:tcPr>
            <w:tcW w:w="4111" w:type="dxa"/>
            <w:tcBorders>
              <w:top w:val="single" w:sz="4" w:space="0" w:color="FFFFFF"/>
              <w:left w:val="nil"/>
              <w:bottom w:val="single" w:sz="4" w:space="0" w:color="FFFFFF"/>
              <w:right w:val="nil"/>
            </w:tcBorders>
            <w:shd w:val="clear" w:color="auto" w:fill="DBE5F1" w:themeFill="accent1" w:themeFillTint="33"/>
            <w:vAlign w:val="center"/>
          </w:tcPr>
          <w:p w:rsidR="00FC7F0E" w:rsidRPr="00021B2F" w:rsidRDefault="00FC7F0E" w:rsidP="00FC7F0E">
            <w:pPr>
              <w:spacing w:after="0" w:line="240" w:lineRule="auto"/>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Familias con Condición Suficiente</w:t>
            </w:r>
          </w:p>
        </w:tc>
        <w:tc>
          <w:tcPr>
            <w:tcW w:w="1134"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160.000</w:t>
            </w:r>
          </w:p>
        </w:tc>
        <w:tc>
          <w:tcPr>
            <w:tcW w:w="99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140.978</w:t>
            </w:r>
          </w:p>
        </w:tc>
        <w:tc>
          <w:tcPr>
            <w:tcW w:w="85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rsidR="00FC7F0E" w:rsidRPr="00021B2F" w:rsidRDefault="00FC7F0E" w:rsidP="00FC7F0E">
            <w:pPr>
              <w:spacing w:after="0" w:line="240" w:lineRule="auto"/>
              <w:jc w:val="center"/>
              <w:rPr>
                <w:rFonts w:ascii="Verdana" w:eastAsia="Times New Roman" w:hAnsi="Verdana" w:cs="Times New Roman"/>
                <w:bCs/>
                <w:color w:val="000000"/>
                <w:sz w:val="18"/>
                <w:szCs w:val="18"/>
                <w:lang w:eastAsia="es-CO"/>
              </w:rPr>
            </w:pPr>
            <w:r w:rsidRPr="00021B2F">
              <w:rPr>
                <w:rFonts w:ascii="Verdana" w:eastAsia="Times New Roman" w:hAnsi="Verdana" w:cs="Times New Roman"/>
                <w:bCs/>
                <w:color w:val="000000"/>
                <w:sz w:val="18"/>
                <w:szCs w:val="18"/>
                <w:lang w:eastAsia="es-CO"/>
              </w:rPr>
              <w:t>88%</w:t>
            </w:r>
          </w:p>
        </w:tc>
        <w:tc>
          <w:tcPr>
            <w:tcW w:w="1134"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525.000</w:t>
            </w:r>
          </w:p>
        </w:tc>
        <w:tc>
          <w:tcPr>
            <w:tcW w:w="99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291.357</w:t>
            </w:r>
          </w:p>
        </w:tc>
        <w:tc>
          <w:tcPr>
            <w:tcW w:w="99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rsidR="00FC7F0E" w:rsidRPr="00021B2F" w:rsidRDefault="00FC7F0E" w:rsidP="00FC7F0E">
            <w:pPr>
              <w:spacing w:after="0" w:line="240" w:lineRule="auto"/>
              <w:jc w:val="center"/>
              <w:rPr>
                <w:rFonts w:ascii="Verdana" w:eastAsia="Times New Roman" w:hAnsi="Verdana" w:cs="Times New Roman"/>
                <w:bCs/>
                <w:color w:val="000000"/>
                <w:sz w:val="18"/>
                <w:szCs w:val="18"/>
                <w:lang w:eastAsia="es-CO"/>
              </w:rPr>
            </w:pPr>
            <w:r w:rsidRPr="00021B2F">
              <w:rPr>
                <w:rFonts w:ascii="Verdana" w:eastAsia="Times New Roman" w:hAnsi="Verdana" w:cs="Times New Roman"/>
                <w:bCs/>
                <w:color w:val="000000"/>
                <w:sz w:val="18"/>
                <w:szCs w:val="18"/>
                <w:lang w:eastAsia="es-CO"/>
              </w:rPr>
              <w:t>56%</w:t>
            </w:r>
          </w:p>
        </w:tc>
      </w:tr>
      <w:tr w:rsidR="00FC7F0E" w:rsidRPr="00021B2F" w:rsidTr="00FC7F0E">
        <w:trPr>
          <w:trHeight w:val="300"/>
          <w:jc w:val="center"/>
        </w:trPr>
        <w:tc>
          <w:tcPr>
            <w:tcW w:w="4111" w:type="dxa"/>
            <w:tcBorders>
              <w:top w:val="single" w:sz="4" w:space="0" w:color="FFFFFF"/>
              <w:left w:val="nil"/>
              <w:bottom w:val="single" w:sz="4" w:space="0" w:color="FFFFFF"/>
              <w:right w:val="nil"/>
            </w:tcBorders>
            <w:shd w:val="clear" w:color="auto" w:fill="B8CCE4" w:themeFill="accent1" w:themeFillTint="66"/>
            <w:vAlign w:val="center"/>
          </w:tcPr>
          <w:p w:rsidR="00FC7F0E" w:rsidRPr="00021B2F" w:rsidRDefault="00FC7F0E" w:rsidP="00FC7F0E">
            <w:pPr>
              <w:spacing w:after="0" w:line="240" w:lineRule="auto"/>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Planes de Acción entidades UNIDOS</w:t>
            </w:r>
          </w:p>
        </w:tc>
        <w:tc>
          <w:tcPr>
            <w:tcW w:w="1134"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21</w:t>
            </w:r>
          </w:p>
        </w:tc>
        <w:tc>
          <w:tcPr>
            <w:tcW w:w="992"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22</w:t>
            </w:r>
          </w:p>
        </w:tc>
        <w:tc>
          <w:tcPr>
            <w:tcW w:w="851"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bCs/>
                <w:color w:val="000000"/>
                <w:sz w:val="18"/>
                <w:szCs w:val="18"/>
                <w:lang w:eastAsia="es-CO"/>
              </w:rPr>
            </w:pPr>
            <w:r w:rsidRPr="00021B2F">
              <w:rPr>
                <w:rFonts w:ascii="Verdana" w:eastAsia="Times New Roman" w:hAnsi="Verdana" w:cs="Times New Roman"/>
                <w:bCs/>
                <w:color w:val="000000"/>
                <w:sz w:val="18"/>
                <w:szCs w:val="18"/>
                <w:lang w:eastAsia="es-CO"/>
              </w:rPr>
              <w:t>105%</w:t>
            </w:r>
          </w:p>
        </w:tc>
        <w:tc>
          <w:tcPr>
            <w:tcW w:w="1134"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21</w:t>
            </w:r>
          </w:p>
        </w:tc>
        <w:tc>
          <w:tcPr>
            <w:tcW w:w="992"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22</w:t>
            </w:r>
          </w:p>
        </w:tc>
        <w:tc>
          <w:tcPr>
            <w:tcW w:w="993"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bCs/>
                <w:color w:val="000000"/>
                <w:sz w:val="18"/>
                <w:szCs w:val="18"/>
                <w:lang w:eastAsia="es-CO"/>
              </w:rPr>
            </w:pPr>
            <w:r w:rsidRPr="00021B2F">
              <w:rPr>
                <w:rFonts w:ascii="Verdana" w:eastAsia="Times New Roman" w:hAnsi="Verdana" w:cs="Times New Roman"/>
                <w:bCs/>
                <w:color w:val="000000"/>
                <w:sz w:val="18"/>
                <w:szCs w:val="18"/>
                <w:lang w:eastAsia="es-CO"/>
              </w:rPr>
              <w:t>105%</w:t>
            </w:r>
          </w:p>
        </w:tc>
      </w:tr>
      <w:tr w:rsidR="00FC7F0E" w:rsidRPr="00021B2F" w:rsidTr="00FC7F0E">
        <w:trPr>
          <w:trHeight w:val="300"/>
          <w:jc w:val="center"/>
        </w:trPr>
        <w:tc>
          <w:tcPr>
            <w:tcW w:w="4111" w:type="dxa"/>
            <w:tcBorders>
              <w:top w:val="single" w:sz="4" w:space="0" w:color="FFFFFF"/>
              <w:left w:val="nil"/>
              <w:bottom w:val="single" w:sz="4" w:space="0" w:color="FFFFFF"/>
              <w:right w:val="nil"/>
            </w:tcBorders>
            <w:shd w:val="clear" w:color="DCE6F1" w:fill="DCE6F1"/>
            <w:vAlign w:val="center"/>
          </w:tcPr>
          <w:p w:rsidR="00FC7F0E" w:rsidRPr="00021B2F" w:rsidRDefault="00FC7F0E" w:rsidP="00FC7F0E">
            <w:pPr>
              <w:spacing w:after="0" w:line="240" w:lineRule="auto"/>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Niñas y Niños Atención Primera Infancia</w:t>
            </w:r>
          </w:p>
        </w:tc>
        <w:tc>
          <w:tcPr>
            <w:tcW w:w="1134"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372.877</w:t>
            </w:r>
          </w:p>
        </w:tc>
        <w:tc>
          <w:tcPr>
            <w:tcW w:w="992"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416.169</w:t>
            </w:r>
          </w:p>
        </w:tc>
        <w:tc>
          <w:tcPr>
            <w:tcW w:w="851"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bCs/>
                <w:color w:val="000000"/>
                <w:sz w:val="18"/>
                <w:szCs w:val="18"/>
                <w:lang w:eastAsia="es-CO"/>
              </w:rPr>
            </w:pPr>
            <w:r w:rsidRPr="00021B2F">
              <w:rPr>
                <w:rFonts w:ascii="Verdana" w:eastAsia="Times New Roman" w:hAnsi="Verdana" w:cs="Times New Roman"/>
                <w:bCs/>
                <w:color w:val="000000"/>
                <w:sz w:val="18"/>
                <w:szCs w:val="18"/>
                <w:lang w:eastAsia="es-CO"/>
              </w:rPr>
              <w:t>112%</w:t>
            </w:r>
          </w:p>
        </w:tc>
        <w:tc>
          <w:tcPr>
            <w:tcW w:w="1134"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372.877</w:t>
            </w:r>
          </w:p>
        </w:tc>
        <w:tc>
          <w:tcPr>
            <w:tcW w:w="992"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416.169</w:t>
            </w:r>
          </w:p>
        </w:tc>
        <w:tc>
          <w:tcPr>
            <w:tcW w:w="993"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bCs/>
                <w:color w:val="000000"/>
                <w:sz w:val="18"/>
                <w:szCs w:val="18"/>
                <w:lang w:eastAsia="es-CO"/>
              </w:rPr>
            </w:pPr>
            <w:r w:rsidRPr="00021B2F">
              <w:rPr>
                <w:rFonts w:ascii="Verdana" w:eastAsia="Times New Roman" w:hAnsi="Verdana" w:cs="Times New Roman"/>
                <w:bCs/>
                <w:color w:val="000000"/>
                <w:sz w:val="18"/>
                <w:szCs w:val="18"/>
                <w:lang w:eastAsia="es-CO"/>
              </w:rPr>
              <w:t>112%</w:t>
            </w:r>
          </w:p>
        </w:tc>
      </w:tr>
      <w:tr w:rsidR="00FC7F0E" w:rsidRPr="00021B2F" w:rsidTr="00FC7F0E">
        <w:trPr>
          <w:trHeight w:val="300"/>
          <w:jc w:val="center"/>
        </w:trPr>
        <w:tc>
          <w:tcPr>
            <w:tcW w:w="4111" w:type="dxa"/>
            <w:tcBorders>
              <w:top w:val="single" w:sz="4" w:space="0" w:color="FFFFFF"/>
              <w:left w:val="nil"/>
              <w:bottom w:val="single" w:sz="4" w:space="0" w:color="FFFFFF"/>
              <w:right w:val="nil"/>
            </w:tcBorders>
            <w:shd w:val="clear" w:color="auto" w:fill="B8CCE4" w:themeFill="accent1" w:themeFillTint="66"/>
            <w:vAlign w:val="center"/>
          </w:tcPr>
          <w:p w:rsidR="00FC7F0E" w:rsidRPr="00021B2F" w:rsidRDefault="00FC7F0E" w:rsidP="00FC7F0E">
            <w:pPr>
              <w:spacing w:after="0" w:line="240" w:lineRule="auto"/>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Logros básicos familiares gestionados</w:t>
            </w:r>
          </w:p>
        </w:tc>
        <w:tc>
          <w:tcPr>
            <w:tcW w:w="1134"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3.600.000</w:t>
            </w:r>
          </w:p>
        </w:tc>
        <w:tc>
          <w:tcPr>
            <w:tcW w:w="992"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3.388.206</w:t>
            </w:r>
          </w:p>
        </w:tc>
        <w:tc>
          <w:tcPr>
            <w:tcW w:w="851"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bCs/>
                <w:color w:val="000000"/>
                <w:sz w:val="18"/>
                <w:szCs w:val="18"/>
                <w:lang w:eastAsia="es-CO"/>
              </w:rPr>
            </w:pPr>
            <w:r w:rsidRPr="00021B2F">
              <w:rPr>
                <w:rFonts w:ascii="Verdana" w:eastAsia="Times New Roman" w:hAnsi="Verdana" w:cs="Times New Roman"/>
                <w:bCs/>
                <w:color w:val="000000"/>
                <w:sz w:val="18"/>
                <w:szCs w:val="18"/>
                <w:lang w:eastAsia="es-CO"/>
              </w:rPr>
              <w:t>94%</w:t>
            </w:r>
          </w:p>
        </w:tc>
        <w:tc>
          <w:tcPr>
            <w:tcW w:w="1134"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7.200.000</w:t>
            </w:r>
          </w:p>
        </w:tc>
        <w:tc>
          <w:tcPr>
            <w:tcW w:w="992"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7.772.962</w:t>
            </w:r>
          </w:p>
        </w:tc>
        <w:tc>
          <w:tcPr>
            <w:tcW w:w="993"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bCs/>
                <w:color w:val="000000"/>
                <w:sz w:val="18"/>
                <w:szCs w:val="18"/>
                <w:lang w:eastAsia="es-CO"/>
              </w:rPr>
            </w:pPr>
            <w:r w:rsidRPr="00021B2F">
              <w:rPr>
                <w:rFonts w:ascii="Verdana" w:eastAsia="Times New Roman" w:hAnsi="Verdana" w:cs="Times New Roman"/>
                <w:bCs/>
                <w:color w:val="000000"/>
                <w:sz w:val="18"/>
                <w:szCs w:val="18"/>
                <w:lang w:eastAsia="es-CO"/>
              </w:rPr>
              <w:t>108%</w:t>
            </w:r>
          </w:p>
        </w:tc>
      </w:tr>
      <w:tr w:rsidR="00FC7F0E" w:rsidRPr="00021B2F" w:rsidTr="00FC7F0E">
        <w:trPr>
          <w:trHeight w:val="300"/>
          <w:jc w:val="center"/>
        </w:trPr>
        <w:tc>
          <w:tcPr>
            <w:tcW w:w="4111" w:type="dxa"/>
            <w:tcBorders>
              <w:top w:val="single" w:sz="4" w:space="0" w:color="FFFFFF"/>
              <w:left w:val="nil"/>
              <w:bottom w:val="single" w:sz="4" w:space="0" w:color="FFFFFF"/>
              <w:right w:val="nil"/>
            </w:tcBorders>
            <w:shd w:val="clear" w:color="DCE6F1" w:fill="DCE6F1"/>
            <w:vAlign w:val="center"/>
          </w:tcPr>
          <w:p w:rsidR="00FC7F0E" w:rsidRPr="00021B2F" w:rsidRDefault="00FC7F0E" w:rsidP="00FC7F0E">
            <w:pPr>
              <w:spacing w:after="0" w:line="240" w:lineRule="auto"/>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Proyectos implementados con privados</w:t>
            </w:r>
          </w:p>
        </w:tc>
        <w:tc>
          <w:tcPr>
            <w:tcW w:w="1134"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6</w:t>
            </w:r>
          </w:p>
        </w:tc>
        <w:tc>
          <w:tcPr>
            <w:tcW w:w="992"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8</w:t>
            </w:r>
          </w:p>
        </w:tc>
        <w:tc>
          <w:tcPr>
            <w:tcW w:w="851"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bCs/>
                <w:color w:val="000000"/>
                <w:sz w:val="18"/>
                <w:szCs w:val="18"/>
                <w:lang w:eastAsia="es-CO"/>
              </w:rPr>
            </w:pPr>
            <w:r w:rsidRPr="00021B2F">
              <w:rPr>
                <w:rFonts w:ascii="Verdana" w:eastAsia="Times New Roman" w:hAnsi="Verdana" w:cs="Times New Roman"/>
                <w:bCs/>
                <w:color w:val="000000"/>
                <w:sz w:val="18"/>
                <w:szCs w:val="18"/>
                <w:lang w:eastAsia="es-CO"/>
              </w:rPr>
              <w:t>133%</w:t>
            </w:r>
          </w:p>
        </w:tc>
        <w:tc>
          <w:tcPr>
            <w:tcW w:w="1134"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30</w:t>
            </w:r>
          </w:p>
        </w:tc>
        <w:tc>
          <w:tcPr>
            <w:tcW w:w="992"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65</w:t>
            </w:r>
          </w:p>
        </w:tc>
        <w:tc>
          <w:tcPr>
            <w:tcW w:w="993"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bCs/>
                <w:color w:val="000000"/>
                <w:sz w:val="18"/>
                <w:szCs w:val="18"/>
                <w:lang w:eastAsia="es-CO"/>
              </w:rPr>
            </w:pPr>
            <w:r w:rsidRPr="00021B2F">
              <w:rPr>
                <w:rFonts w:ascii="Verdana" w:eastAsia="Times New Roman" w:hAnsi="Verdana" w:cs="Times New Roman"/>
                <w:bCs/>
                <w:color w:val="000000"/>
                <w:sz w:val="18"/>
                <w:szCs w:val="18"/>
                <w:lang w:eastAsia="es-CO"/>
              </w:rPr>
              <w:t>217%</w:t>
            </w:r>
          </w:p>
        </w:tc>
      </w:tr>
      <w:tr w:rsidR="00FC7F0E" w:rsidRPr="00021B2F" w:rsidTr="00FC7F0E">
        <w:trPr>
          <w:trHeight w:val="300"/>
          <w:jc w:val="center"/>
        </w:trPr>
        <w:tc>
          <w:tcPr>
            <w:tcW w:w="4111" w:type="dxa"/>
            <w:tcBorders>
              <w:top w:val="single" w:sz="4" w:space="0" w:color="FFFFFF"/>
              <w:left w:val="nil"/>
              <w:bottom w:val="single" w:sz="4" w:space="0" w:color="FFFFFF"/>
              <w:right w:val="nil"/>
            </w:tcBorders>
            <w:shd w:val="clear" w:color="auto" w:fill="B8CCE4" w:themeFill="accent1" w:themeFillTint="66"/>
            <w:vAlign w:val="center"/>
          </w:tcPr>
          <w:p w:rsidR="00FC7F0E" w:rsidRPr="00021B2F" w:rsidRDefault="00FC7F0E" w:rsidP="00FC7F0E">
            <w:pPr>
              <w:spacing w:after="0" w:line="240" w:lineRule="auto"/>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Recursos de contrapartida movilizados</w:t>
            </w:r>
          </w:p>
        </w:tc>
        <w:tc>
          <w:tcPr>
            <w:tcW w:w="1134"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7.000</w:t>
            </w:r>
          </w:p>
        </w:tc>
        <w:tc>
          <w:tcPr>
            <w:tcW w:w="992"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8.464</w:t>
            </w:r>
          </w:p>
        </w:tc>
        <w:tc>
          <w:tcPr>
            <w:tcW w:w="851"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bCs/>
                <w:color w:val="000000"/>
                <w:sz w:val="18"/>
                <w:szCs w:val="18"/>
                <w:lang w:eastAsia="es-CO"/>
              </w:rPr>
            </w:pPr>
            <w:r w:rsidRPr="00021B2F">
              <w:rPr>
                <w:rFonts w:ascii="Verdana" w:eastAsia="Times New Roman" w:hAnsi="Verdana" w:cs="Times New Roman"/>
                <w:bCs/>
                <w:color w:val="000000"/>
                <w:sz w:val="18"/>
                <w:szCs w:val="18"/>
                <w:lang w:eastAsia="es-CO"/>
              </w:rPr>
              <w:t>121%</w:t>
            </w:r>
          </w:p>
        </w:tc>
        <w:tc>
          <w:tcPr>
            <w:tcW w:w="1134"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35.000</w:t>
            </w:r>
          </w:p>
        </w:tc>
        <w:tc>
          <w:tcPr>
            <w:tcW w:w="992"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33.118</w:t>
            </w:r>
          </w:p>
        </w:tc>
        <w:tc>
          <w:tcPr>
            <w:tcW w:w="993"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bCs/>
                <w:color w:val="000000"/>
                <w:sz w:val="18"/>
                <w:szCs w:val="18"/>
                <w:lang w:eastAsia="es-CO"/>
              </w:rPr>
            </w:pPr>
            <w:r w:rsidRPr="00021B2F">
              <w:rPr>
                <w:rFonts w:ascii="Verdana" w:eastAsia="Times New Roman" w:hAnsi="Verdana" w:cs="Times New Roman"/>
                <w:bCs/>
                <w:color w:val="000000"/>
                <w:sz w:val="18"/>
                <w:szCs w:val="18"/>
                <w:lang w:eastAsia="es-CO"/>
              </w:rPr>
              <w:t>95%</w:t>
            </w:r>
          </w:p>
        </w:tc>
      </w:tr>
      <w:tr w:rsidR="00FC7F0E" w:rsidRPr="00021B2F" w:rsidTr="00FC7F0E">
        <w:trPr>
          <w:trHeight w:val="300"/>
          <w:jc w:val="center"/>
        </w:trPr>
        <w:tc>
          <w:tcPr>
            <w:tcW w:w="4111" w:type="dxa"/>
            <w:tcBorders>
              <w:top w:val="single" w:sz="4" w:space="0" w:color="FFFFFF"/>
              <w:left w:val="nil"/>
              <w:bottom w:val="single" w:sz="4" w:space="0" w:color="FFFFFF"/>
              <w:right w:val="nil"/>
            </w:tcBorders>
            <w:shd w:val="clear" w:color="DCE6F1" w:fill="DCE6F1"/>
            <w:vAlign w:val="center"/>
          </w:tcPr>
          <w:p w:rsidR="00FC7F0E" w:rsidRPr="00021B2F" w:rsidRDefault="00FC7F0E" w:rsidP="00FC7F0E">
            <w:pPr>
              <w:spacing w:after="0" w:line="240" w:lineRule="auto"/>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Recursos de cooperación internacional</w:t>
            </w:r>
          </w:p>
        </w:tc>
        <w:tc>
          <w:tcPr>
            <w:tcW w:w="1134"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7.500</w:t>
            </w:r>
          </w:p>
        </w:tc>
        <w:tc>
          <w:tcPr>
            <w:tcW w:w="992"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15.109</w:t>
            </w:r>
          </w:p>
        </w:tc>
        <w:tc>
          <w:tcPr>
            <w:tcW w:w="851"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bCs/>
                <w:color w:val="000000"/>
                <w:sz w:val="18"/>
                <w:szCs w:val="18"/>
                <w:lang w:eastAsia="es-CO"/>
              </w:rPr>
            </w:pPr>
            <w:r w:rsidRPr="00021B2F">
              <w:rPr>
                <w:rFonts w:ascii="Verdana" w:eastAsia="Times New Roman" w:hAnsi="Verdana" w:cs="Times New Roman"/>
                <w:bCs/>
                <w:color w:val="000000"/>
                <w:sz w:val="18"/>
                <w:szCs w:val="18"/>
                <w:lang w:eastAsia="es-CO"/>
              </w:rPr>
              <w:t>201%</w:t>
            </w:r>
          </w:p>
        </w:tc>
        <w:tc>
          <w:tcPr>
            <w:tcW w:w="1134"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37.500</w:t>
            </w:r>
          </w:p>
        </w:tc>
        <w:tc>
          <w:tcPr>
            <w:tcW w:w="992"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32.035</w:t>
            </w:r>
          </w:p>
        </w:tc>
        <w:tc>
          <w:tcPr>
            <w:tcW w:w="993"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bCs/>
                <w:color w:val="000000"/>
                <w:sz w:val="18"/>
                <w:szCs w:val="18"/>
                <w:lang w:eastAsia="es-CO"/>
              </w:rPr>
            </w:pPr>
            <w:r w:rsidRPr="00021B2F">
              <w:rPr>
                <w:rFonts w:ascii="Verdana" w:eastAsia="Times New Roman" w:hAnsi="Verdana" w:cs="Times New Roman"/>
                <w:bCs/>
                <w:color w:val="000000"/>
                <w:sz w:val="18"/>
                <w:szCs w:val="18"/>
                <w:lang w:eastAsia="es-CO"/>
              </w:rPr>
              <w:t>85%</w:t>
            </w:r>
          </w:p>
        </w:tc>
      </w:tr>
      <w:tr w:rsidR="00FC7F0E" w:rsidRPr="00021B2F" w:rsidTr="00FC7F0E">
        <w:trPr>
          <w:trHeight w:val="300"/>
          <w:jc w:val="center"/>
        </w:trPr>
        <w:tc>
          <w:tcPr>
            <w:tcW w:w="4111" w:type="dxa"/>
            <w:tcBorders>
              <w:top w:val="single" w:sz="4" w:space="0" w:color="FFFFFF"/>
              <w:left w:val="nil"/>
              <w:bottom w:val="single" w:sz="4" w:space="0" w:color="FFFFFF"/>
              <w:right w:val="nil"/>
            </w:tcBorders>
            <w:shd w:val="clear" w:color="auto" w:fill="B8CCE4" w:themeFill="accent1" w:themeFillTint="66"/>
            <w:vAlign w:val="center"/>
          </w:tcPr>
          <w:p w:rsidR="00FC7F0E" w:rsidRPr="00021B2F" w:rsidRDefault="00FC7F0E" w:rsidP="00FC7F0E">
            <w:pPr>
              <w:spacing w:after="0" w:line="240" w:lineRule="auto"/>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Proyectos de innovación social</w:t>
            </w:r>
          </w:p>
        </w:tc>
        <w:tc>
          <w:tcPr>
            <w:tcW w:w="1134"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2</w:t>
            </w:r>
          </w:p>
        </w:tc>
        <w:tc>
          <w:tcPr>
            <w:tcW w:w="992"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2</w:t>
            </w:r>
          </w:p>
        </w:tc>
        <w:tc>
          <w:tcPr>
            <w:tcW w:w="851"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bCs/>
                <w:color w:val="000000"/>
                <w:sz w:val="18"/>
                <w:szCs w:val="18"/>
                <w:lang w:eastAsia="es-CO"/>
              </w:rPr>
            </w:pPr>
            <w:r w:rsidRPr="00021B2F">
              <w:rPr>
                <w:rFonts w:ascii="Verdana" w:eastAsia="Times New Roman" w:hAnsi="Verdana" w:cs="Times New Roman"/>
                <w:bCs/>
                <w:color w:val="000000"/>
                <w:sz w:val="18"/>
                <w:szCs w:val="18"/>
                <w:lang w:eastAsia="es-CO"/>
              </w:rPr>
              <w:t>100%</w:t>
            </w:r>
          </w:p>
        </w:tc>
        <w:tc>
          <w:tcPr>
            <w:tcW w:w="1134"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6</w:t>
            </w:r>
          </w:p>
        </w:tc>
        <w:tc>
          <w:tcPr>
            <w:tcW w:w="992"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15</w:t>
            </w:r>
          </w:p>
        </w:tc>
        <w:tc>
          <w:tcPr>
            <w:tcW w:w="993"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vAlign w:val="center"/>
          </w:tcPr>
          <w:p w:rsidR="00FC7F0E" w:rsidRPr="00021B2F" w:rsidRDefault="00FC7F0E" w:rsidP="00FC7F0E">
            <w:pPr>
              <w:spacing w:after="0" w:line="240" w:lineRule="auto"/>
              <w:jc w:val="center"/>
              <w:rPr>
                <w:rFonts w:ascii="Verdana" w:eastAsia="Times New Roman" w:hAnsi="Verdana" w:cs="Times New Roman"/>
                <w:bCs/>
                <w:color w:val="000000"/>
                <w:sz w:val="18"/>
                <w:szCs w:val="18"/>
                <w:lang w:eastAsia="es-CO"/>
              </w:rPr>
            </w:pPr>
            <w:r w:rsidRPr="00021B2F">
              <w:rPr>
                <w:rFonts w:ascii="Verdana" w:eastAsia="Times New Roman" w:hAnsi="Verdana" w:cs="Times New Roman"/>
                <w:bCs/>
                <w:color w:val="000000"/>
                <w:sz w:val="18"/>
                <w:szCs w:val="18"/>
                <w:lang w:eastAsia="es-CO"/>
              </w:rPr>
              <w:t>250%</w:t>
            </w:r>
          </w:p>
        </w:tc>
      </w:tr>
      <w:tr w:rsidR="00FC7F0E" w:rsidRPr="00021B2F" w:rsidTr="00FC7F0E">
        <w:trPr>
          <w:trHeight w:val="300"/>
          <w:jc w:val="center"/>
        </w:trPr>
        <w:tc>
          <w:tcPr>
            <w:tcW w:w="4111" w:type="dxa"/>
            <w:tcBorders>
              <w:top w:val="single" w:sz="4" w:space="0" w:color="FFFFFF"/>
              <w:left w:val="nil"/>
              <w:bottom w:val="single" w:sz="4" w:space="0" w:color="FFFFFF"/>
              <w:right w:val="nil"/>
            </w:tcBorders>
            <w:shd w:val="clear" w:color="DCE6F1" w:fill="DCE6F1"/>
          </w:tcPr>
          <w:p w:rsidR="00FC7F0E" w:rsidRPr="00021B2F" w:rsidRDefault="00FC7F0E" w:rsidP="00FC7F0E">
            <w:pPr>
              <w:spacing w:after="0" w:line="240" w:lineRule="auto"/>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Soluciones Innovación social seleccionadas</w:t>
            </w:r>
          </w:p>
        </w:tc>
        <w:tc>
          <w:tcPr>
            <w:tcW w:w="1134"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3</w:t>
            </w:r>
          </w:p>
        </w:tc>
        <w:tc>
          <w:tcPr>
            <w:tcW w:w="992"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7</w:t>
            </w:r>
          </w:p>
        </w:tc>
        <w:tc>
          <w:tcPr>
            <w:tcW w:w="851"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bCs/>
                <w:color w:val="000000"/>
                <w:sz w:val="18"/>
                <w:szCs w:val="18"/>
                <w:lang w:eastAsia="es-CO"/>
              </w:rPr>
            </w:pPr>
            <w:r w:rsidRPr="00021B2F">
              <w:rPr>
                <w:rFonts w:ascii="Verdana" w:eastAsia="Times New Roman" w:hAnsi="Verdana" w:cs="Times New Roman"/>
                <w:bCs/>
                <w:color w:val="000000"/>
                <w:sz w:val="18"/>
                <w:szCs w:val="18"/>
                <w:lang w:eastAsia="es-CO"/>
              </w:rPr>
              <w:t>233%</w:t>
            </w:r>
          </w:p>
        </w:tc>
        <w:tc>
          <w:tcPr>
            <w:tcW w:w="1134"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9</w:t>
            </w:r>
          </w:p>
        </w:tc>
        <w:tc>
          <w:tcPr>
            <w:tcW w:w="992"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color w:val="000000"/>
                <w:sz w:val="18"/>
                <w:szCs w:val="18"/>
                <w:lang w:eastAsia="es-CO"/>
              </w:rPr>
            </w:pPr>
            <w:r w:rsidRPr="00021B2F">
              <w:rPr>
                <w:rFonts w:ascii="Verdana" w:eastAsia="Times New Roman" w:hAnsi="Verdana" w:cs="Times New Roman"/>
                <w:color w:val="000000"/>
                <w:sz w:val="18"/>
                <w:szCs w:val="18"/>
                <w:lang w:eastAsia="es-CO"/>
              </w:rPr>
              <w:t>18</w:t>
            </w:r>
          </w:p>
        </w:tc>
        <w:tc>
          <w:tcPr>
            <w:tcW w:w="993" w:type="dxa"/>
            <w:tcBorders>
              <w:top w:val="single" w:sz="4" w:space="0" w:color="FFFFFF"/>
              <w:left w:val="single" w:sz="4" w:space="0" w:color="FFFFFF"/>
              <w:bottom w:val="single" w:sz="4" w:space="0" w:color="FFFFFF"/>
              <w:right w:val="single" w:sz="4" w:space="0" w:color="FFFFFF"/>
            </w:tcBorders>
            <w:shd w:val="clear" w:color="DCE6F1" w:fill="DCE6F1"/>
            <w:vAlign w:val="center"/>
          </w:tcPr>
          <w:p w:rsidR="00FC7F0E" w:rsidRPr="00021B2F" w:rsidRDefault="00FC7F0E" w:rsidP="00FC7F0E">
            <w:pPr>
              <w:spacing w:after="0" w:line="240" w:lineRule="auto"/>
              <w:jc w:val="center"/>
              <w:rPr>
                <w:rFonts w:ascii="Verdana" w:eastAsia="Times New Roman" w:hAnsi="Verdana" w:cs="Times New Roman"/>
                <w:bCs/>
                <w:color w:val="000000"/>
                <w:sz w:val="18"/>
                <w:szCs w:val="18"/>
                <w:lang w:eastAsia="es-CO"/>
              </w:rPr>
            </w:pPr>
            <w:r w:rsidRPr="00021B2F">
              <w:rPr>
                <w:rFonts w:ascii="Verdana" w:eastAsia="Times New Roman" w:hAnsi="Verdana" w:cs="Times New Roman"/>
                <w:bCs/>
                <w:color w:val="000000"/>
                <w:sz w:val="18"/>
                <w:szCs w:val="18"/>
                <w:lang w:eastAsia="es-CO"/>
              </w:rPr>
              <w:t>200%</w:t>
            </w:r>
          </w:p>
        </w:tc>
      </w:tr>
    </w:tbl>
    <w:p w:rsidR="00071815" w:rsidRPr="00021B2F" w:rsidRDefault="00071815" w:rsidP="00071815">
      <w:pPr>
        <w:spacing w:after="0" w:line="240" w:lineRule="auto"/>
        <w:jc w:val="right"/>
        <w:rPr>
          <w:rFonts w:ascii="Verdana" w:hAnsi="Verdana"/>
          <w:sz w:val="18"/>
          <w:szCs w:val="18"/>
        </w:rPr>
      </w:pPr>
      <w:r>
        <w:rPr>
          <w:rFonts w:ascii="Verdana" w:hAnsi="Verdana"/>
          <w:b/>
          <w:sz w:val="18"/>
          <w:szCs w:val="18"/>
        </w:rPr>
        <w:t>Tabla 13</w:t>
      </w:r>
      <w:r w:rsidRPr="00021B2F">
        <w:rPr>
          <w:rFonts w:ascii="Verdana" w:hAnsi="Verdana"/>
          <w:b/>
          <w:sz w:val="18"/>
          <w:szCs w:val="18"/>
        </w:rPr>
        <w:t>. Principales indicadores de la ANSPE en SINERGIA</w:t>
      </w:r>
    </w:p>
    <w:p w:rsidR="00FC7F0E" w:rsidRPr="00021B2F" w:rsidRDefault="00FC7F0E" w:rsidP="00071815">
      <w:pPr>
        <w:spacing w:after="0" w:line="240" w:lineRule="auto"/>
        <w:jc w:val="right"/>
        <w:rPr>
          <w:rFonts w:ascii="Verdana" w:eastAsiaTheme="minorEastAsia" w:hAnsi="Verdana" w:cs="Calibri"/>
          <w:iCs/>
          <w:kern w:val="24"/>
          <w:sz w:val="18"/>
          <w:szCs w:val="18"/>
          <w:lang w:eastAsia="es-CO"/>
        </w:rPr>
      </w:pPr>
      <w:r w:rsidRPr="00021B2F">
        <w:rPr>
          <w:rFonts w:ascii="Verdana" w:eastAsiaTheme="minorEastAsia" w:hAnsi="Verdana" w:cs="Calibri"/>
          <w:iCs/>
          <w:kern w:val="24"/>
          <w:sz w:val="18"/>
          <w:szCs w:val="18"/>
          <w:lang w:eastAsia="es-CO"/>
        </w:rPr>
        <w:t>Fuente: SINERGIA Seguimiento Corte: diciembre 31 de 2014.</w:t>
      </w:r>
    </w:p>
    <w:p w:rsidR="00FC7F0E" w:rsidRPr="00021B2F" w:rsidRDefault="00FC7F0E" w:rsidP="00FC7F0E">
      <w:pPr>
        <w:spacing w:after="0" w:line="240" w:lineRule="auto"/>
        <w:ind w:left="720"/>
        <w:contextualSpacing/>
        <w:jc w:val="center"/>
        <w:rPr>
          <w:rFonts w:ascii="Verdana" w:hAnsi="Verdana"/>
          <w:sz w:val="18"/>
          <w:szCs w:val="18"/>
        </w:rPr>
      </w:pPr>
    </w:p>
    <w:p w:rsidR="00FC7F0E" w:rsidRPr="00021B2F" w:rsidRDefault="00FC7F0E" w:rsidP="00FC7F0E">
      <w:pPr>
        <w:spacing w:after="0" w:line="240" w:lineRule="auto"/>
        <w:jc w:val="both"/>
        <w:rPr>
          <w:rFonts w:ascii="Verdana" w:hAnsi="Verdana"/>
          <w:sz w:val="24"/>
          <w:szCs w:val="24"/>
        </w:rPr>
      </w:pPr>
    </w:p>
    <w:p w:rsidR="00FC7F0E" w:rsidRDefault="00112603" w:rsidP="00FE1DC2">
      <w:pPr>
        <w:spacing w:after="0" w:line="240" w:lineRule="auto"/>
        <w:jc w:val="both"/>
        <w:rPr>
          <w:rFonts w:ascii="Verdana" w:hAnsi="Verdana"/>
          <w:b/>
          <w:color w:val="548DD4" w:themeColor="text2" w:themeTint="99"/>
          <w:sz w:val="28"/>
          <w:szCs w:val="24"/>
        </w:rPr>
      </w:pPr>
      <w:r w:rsidRPr="000E02AC">
        <w:rPr>
          <w:rFonts w:ascii="Verdana" w:hAnsi="Verdana"/>
          <w:b/>
          <w:color w:val="548DD4" w:themeColor="text2" w:themeTint="99"/>
          <w:sz w:val="28"/>
          <w:szCs w:val="24"/>
        </w:rPr>
        <w:t>INFORMES DE LOS ENTES DE CONTROL QUE VIGILAN A LA ENTIDAD</w:t>
      </w:r>
    </w:p>
    <w:p w:rsidR="00FE1DC2" w:rsidRPr="00021B2F" w:rsidRDefault="00FE1DC2" w:rsidP="00FE1DC2">
      <w:pPr>
        <w:spacing w:after="0" w:line="240" w:lineRule="auto"/>
        <w:jc w:val="both"/>
        <w:rPr>
          <w:rFonts w:ascii="Verdana" w:hAnsi="Verdana"/>
          <w:sz w:val="24"/>
          <w:szCs w:val="24"/>
          <w:highlight w:val="yellow"/>
        </w:rPr>
      </w:pPr>
    </w:p>
    <w:p w:rsidR="00FC7F0E" w:rsidRPr="00021B2F" w:rsidRDefault="00FC7F0E" w:rsidP="00FC7F0E">
      <w:pPr>
        <w:spacing w:after="0" w:line="240" w:lineRule="auto"/>
        <w:jc w:val="both"/>
        <w:rPr>
          <w:rFonts w:ascii="Verdana" w:hAnsi="Verdana"/>
          <w:sz w:val="24"/>
          <w:szCs w:val="24"/>
        </w:rPr>
      </w:pPr>
      <w:r w:rsidRPr="00021B2F">
        <w:rPr>
          <w:rFonts w:ascii="Verdana" w:hAnsi="Verdana"/>
          <w:sz w:val="24"/>
          <w:szCs w:val="24"/>
        </w:rPr>
        <w:t xml:space="preserve">Respecto a la vigilancia por parte de los organismos de control, se debe señalar que la ANSPE ha dado cumplimiento con los diferentes reportes e informes solicitados por la Contraloría General de la Republica. En efecto,  en cuanto  a los Informe de Personal y Costos, Informe de la Gestión Contractual, Rendición de la Cuenta Anual Consolidada el ente de control no ha emitido concepto alguno sobre los mismos, durante la vigencia 2014.  </w:t>
      </w:r>
    </w:p>
    <w:p w:rsidR="00FC7F0E" w:rsidRPr="00021B2F" w:rsidRDefault="00FC7F0E" w:rsidP="00FC7F0E">
      <w:pPr>
        <w:spacing w:after="0" w:line="240" w:lineRule="auto"/>
        <w:ind w:left="360"/>
        <w:jc w:val="both"/>
        <w:rPr>
          <w:rFonts w:ascii="Verdana" w:hAnsi="Verdana"/>
          <w:sz w:val="24"/>
          <w:szCs w:val="24"/>
        </w:rPr>
      </w:pPr>
    </w:p>
    <w:p w:rsidR="00FC7F0E" w:rsidRPr="00021B2F" w:rsidRDefault="00FC7F0E" w:rsidP="00FC7F0E">
      <w:pPr>
        <w:spacing w:after="0" w:line="240" w:lineRule="auto"/>
        <w:jc w:val="both"/>
        <w:rPr>
          <w:rFonts w:ascii="Verdana" w:hAnsi="Verdana"/>
          <w:sz w:val="24"/>
          <w:szCs w:val="24"/>
        </w:rPr>
      </w:pPr>
      <w:r w:rsidRPr="00021B2F">
        <w:rPr>
          <w:rFonts w:ascii="Verdana" w:hAnsi="Verdana"/>
          <w:sz w:val="24"/>
          <w:szCs w:val="24"/>
        </w:rPr>
        <w:t>Al interior de la entidad tanto la Oficina Asesora de Planeación como el Grupo de Control Interno, dentro de la órbita de sus competencias, han realizado seguimientos e informes respecto de la gestión de la Agencia, teniendo como fuente el Plan indicativo, los Planes de Acción, los Planes de mejoramiento y la administración y manejo de los riesgos operativos y de anticorrupción identificados al interior de la ANSPE, entre otros, destacándose que los mismos se encuentran publicados en la página WEB de la entidad.</w:t>
      </w:r>
    </w:p>
    <w:p w:rsidR="00FC7F0E" w:rsidRPr="00021B2F" w:rsidRDefault="00FC7F0E" w:rsidP="00FC7F0E">
      <w:pPr>
        <w:spacing w:after="0" w:line="240" w:lineRule="auto"/>
        <w:ind w:left="360"/>
        <w:jc w:val="both"/>
        <w:rPr>
          <w:rFonts w:ascii="Verdana" w:hAnsi="Verdana"/>
          <w:sz w:val="24"/>
          <w:szCs w:val="24"/>
        </w:rPr>
      </w:pPr>
    </w:p>
    <w:p w:rsidR="00FC7F0E" w:rsidRPr="00021B2F" w:rsidRDefault="00FC7F0E" w:rsidP="00FC7F0E">
      <w:pPr>
        <w:spacing w:after="0" w:line="240" w:lineRule="auto"/>
        <w:jc w:val="both"/>
        <w:rPr>
          <w:rFonts w:ascii="Verdana" w:hAnsi="Verdana"/>
          <w:sz w:val="24"/>
          <w:szCs w:val="24"/>
        </w:rPr>
      </w:pPr>
      <w:r w:rsidRPr="00021B2F">
        <w:rPr>
          <w:rFonts w:ascii="Verdana" w:hAnsi="Verdana"/>
          <w:sz w:val="24"/>
          <w:szCs w:val="24"/>
        </w:rPr>
        <w:t xml:space="preserve">De igual manera, se debe destacar que la Agencia ha cumplido de manera oportuna con el reporte de información que de conformidad con la ley debe suministrar a otros entes públicos (DAFP, CGN, Dirección Nacional de Derechos de </w:t>
      </w:r>
      <w:r w:rsidRPr="00021B2F">
        <w:rPr>
          <w:rFonts w:ascii="Verdana" w:hAnsi="Verdana"/>
          <w:sz w:val="24"/>
          <w:szCs w:val="24"/>
        </w:rPr>
        <w:lastRenderedPageBreak/>
        <w:t>Autor, Agencia Nacional de Defensa Jurídica del Estado), los cuales no han emitido concepto alguno sobre los mismos durante la vigencia 2014.</w:t>
      </w:r>
    </w:p>
    <w:p w:rsidR="00FC7F0E" w:rsidRPr="00021B2F" w:rsidRDefault="00FC7F0E" w:rsidP="00FC7F0E">
      <w:pPr>
        <w:spacing w:after="0" w:line="240" w:lineRule="auto"/>
        <w:jc w:val="both"/>
        <w:rPr>
          <w:rFonts w:ascii="Verdana" w:hAnsi="Verdana"/>
          <w:sz w:val="24"/>
          <w:szCs w:val="24"/>
        </w:rPr>
      </w:pPr>
    </w:p>
    <w:p w:rsidR="00090E64" w:rsidRDefault="00090E64" w:rsidP="00090E64">
      <w:pPr>
        <w:spacing w:after="0" w:line="240" w:lineRule="auto"/>
        <w:jc w:val="both"/>
        <w:rPr>
          <w:rFonts w:ascii="Verdana" w:hAnsi="Verdana"/>
          <w:b/>
          <w:color w:val="548DD4" w:themeColor="text2" w:themeTint="99"/>
          <w:sz w:val="32"/>
          <w:szCs w:val="24"/>
        </w:rPr>
      </w:pPr>
    </w:p>
    <w:p w:rsidR="00090E64" w:rsidRPr="00C16A2F" w:rsidRDefault="00C16A2F" w:rsidP="00090E64">
      <w:pPr>
        <w:spacing w:after="0" w:line="240" w:lineRule="auto"/>
        <w:jc w:val="both"/>
        <w:rPr>
          <w:rFonts w:ascii="Verdana" w:hAnsi="Verdana"/>
          <w:b/>
          <w:color w:val="548DD4" w:themeColor="text2" w:themeTint="99"/>
          <w:sz w:val="28"/>
          <w:szCs w:val="24"/>
        </w:rPr>
      </w:pPr>
      <w:r w:rsidRPr="00C16A2F">
        <w:rPr>
          <w:rFonts w:ascii="Verdana" w:hAnsi="Verdana"/>
          <w:b/>
          <w:noProof/>
          <w:color w:val="548DD4" w:themeColor="text2" w:themeTint="99"/>
          <w:sz w:val="32"/>
          <w:szCs w:val="24"/>
          <w:lang w:eastAsia="es-CO"/>
        </w:rPr>
        <w:drawing>
          <wp:inline distT="0" distB="0" distL="0" distR="0">
            <wp:extent cx="216024" cy="216024"/>
            <wp:effectExtent l="19050" t="0" r="0" b="0"/>
            <wp:docPr id="472"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5868144" y="2852936"/>
                      <a:chExt cx="216024" cy="216024"/>
                    </a:xfrm>
                  </a:grpSpPr>
                  <a:sp>
                    <a:nvSpPr>
                      <a:cNvPr id="37" name="36 Rectángulo redondeado"/>
                      <a:cNvSpPr/>
                    </a:nvSpPr>
                    <a:spPr>
                      <a:xfrm>
                        <a:off x="5868144" y="2852936"/>
                        <a:ext cx="216024" cy="216024"/>
                      </a:xfrm>
                      <a:prstGeom prst="roundRect">
                        <a:avLst/>
                      </a:prstGeom>
                      <a:gradFill flip="none" rotWithShape="1">
                        <a:gsLst>
                          <a:gs pos="0">
                            <a:srgbClr val="CCECFF">
                              <a:shade val="30000"/>
                              <a:satMod val="115000"/>
                            </a:srgbClr>
                          </a:gs>
                          <a:gs pos="50000">
                            <a:srgbClr val="CCECFF">
                              <a:shade val="67500"/>
                              <a:satMod val="115000"/>
                            </a:srgbClr>
                          </a:gs>
                          <a:gs pos="100000">
                            <a:srgbClr val="CCECFF">
                              <a:shade val="100000"/>
                              <a:satMod val="115000"/>
                            </a:srgb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hAnsi="Verdana"/>
          <w:b/>
          <w:color w:val="548DD4" w:themeColor="text2" w:themeTint="99"/>
          <w:sz w:val="32"/>
          <w:szCs w:val="24"/>
        </w:rPr>
        <w:t xml:space="preserve"> </w:t>
      </w:r>
      <w:r w:rsidRPr="00C16A2F">
        <w:rPr>
          <w:rFonts w:ascii="Verdana" w:hAnsi="Verdana"/>
          <w:b/>
          <w:color w:val="548DD4" w:themeColor="text2" w:themeTint="99"/>
          <w:sz w:val="28"/>
          <w:szCs w:val="24"/>
        </w:rPr>
        <w:t xml:space="preserve"> </w:t>
      </w:r>
      <w:r w:rsidR="00090E64" w:rsidRPr="00C16A2F">
        <w:rPr>
          <w:rFonts w:ascii="Verdana" w:hAnsi="Verdana"/>
          <w:b/>
          <w:color w:val="548DD4" w:themeColor="text2" w:themeTint="99"/>
          <w:sz w:val="28"/>
          <w:szCs w:val="24"/>
        </w:rPr>
        <w:t>GESTIÓN CONTRACTUAL</w:t>
      </w:r>
    </w:p>
    <w:p w:rsidR="00090E64" w:rsidRDefault="00090E64" w:rsidP="00090E64">
      <w:pPr>
        <w:spacing w:after="0" w:line="240" w:lineRule="auto"/>
        <w:jc w:val="both"/>
        <w:rPr>
          <w:rFonts w:ascii="Verdana" w:hAnsi="Verdana"/>
          <w:sz w:val="24"/>
          <w:szCs w:val="24"/>
          <w:lang w:eastAsia="es-CO"/>
        </w:rPr>
      </w:pPr>
    </w:p>
    <w:p w:rsidR="00090E64" w:rsidRPr="004D0734" w:rsidRDefault="00090E64" w:rsidP="00090E64">
      <w:pPr>
        <w:spacing w:after="0" w:line="240" w:lineRule="auto"/>
        <w:jc w:val="both"/>
        <w:rPr>
          <w:rFonts w:ascii="Verdana" w:hAnsi="Verdana"/>
          <w:sz w:val="24"/>
          <w:szCs w:val="24"/>
          <w:lang w:eastAsia="es-CO"/>
        </w:rPr>
      </w:pPr>
    </w:p>
    <w:p w:rsidR="00090E64" w:rsidRPr="004D0734" w:rsidRDefault="00090E64" w:rsidP="00090E64">
      <w:pPr>
        <w:spacing w:after="0" w:line="240" w:lineRule="auto"/>
        <w:jc w:val="both"/>
        <w:rPr>
          <w:rFonts w:ascii="Verdana" w:hAnsi="Verdana"/>
          <w:sz w:val="24"/>
          <w:szCs w:val="24"/>
          <w:lang w:eastAsia="es-CO"/>
        </w:rPr>
      </w:pPr>
      <w:r w:rsidRPr="004D0734">
        <w:rPr>
          <w:rFonts w:ascii="Verdana" w:hAnsi="Verdana"/>
          <w:sz w:val="24"/>
          <w:szCs w:val="24"/>
          <w:lang w:eastAsia="es-CO"/>
        </w:rPr>
        <w:t>El Grupo de Gestión Contractual es el encargado de apoyar y adelantar todos los procesos de contratación pública de la Agencia Nacional para la Superación de la Pobreza Extrema – ANSPE, a efectos de satisfacer las necesidades de las diferentes dependencias, en el marco de los lineamientos establecidos en la Ley 80 de 1993, ley 1150 de 2007 y sus decretos reglamentarios.</w:t>
      </w:r>
    </w:p>
    <w:p w:rsidR="00090E64" w:rsidRPr="004D0734" w:rsidRDefault="00090E64" w:rsidP="00090E64">
      <w:pPr>
        <w:spacing w:after="0" w:line="240" w:lineRule="auto"/>
        <w:jc w:val="both"/>
        <w:rPr>
          <w:rFonts w:ascii="Verdana" w:hAnsi="Verdana"/>
          <w:sz w:val="24"/>
          <w:szCs w:val="24"/>
          <w:lang w:eastAsia="es-CO"/>
        </w:rPr>
      </w:pPr>
    </w:p>
    <w:p w:rsidR="00090E64" w:rsidRPr="004D0734" w:rsidRDefault="00090E64" w:rsidP="00090E64">
      <w:pPr>
        <w:spacing w:after="0" w:line="240" w:lineRule="auto"/>
        <w:jc w:val="both"/>
        <w:rPr>
          <w:rFonts w:ascii="Verdana" w:hAnsi="Verdana"/>
          <w:sz w:val="24"/>
          <w:szCs w:val="24"/>
          <w:lang w:eastAsia="es-CO"/>
        </w:rPr>
      </w:pPr>
      <w:r w:rsidRPr="004D0734">
        <w:rPr>
          <w:rFonts w:ascii="Verdana" w:hAnsi="Verdana"/>
          <w:sz w:val="24"/>
          <w:szCs w:val="24"/>
          <w:lang w:eastAsia="es-CO"/>
        </w:rPr>
        <w:t>En este orden de ideas se definieron y caracterizaron los procesos de selección para hacer seguimiento a la trazabilidad de cada uno de ellos, partiendo desde la identificación de la necesidad hasta la liquidación de los contratos.</w:t>
      </w:r>
    </w:p>
    <w:p w:rsidR="00090E64" w:rsidRPr="004D0734" w:rsidRDefault="00090E64" w:rsidP="00090E64">
      <w:pPr>
        <w:spacing w:after="0" w:line="240" w:lineRule="auto"/>
        <w:jc w:val="center"/>
        <w:rPr>
          <w:rFonts w:ascii="Verdana" w:hAnsi="Verdana"/>
          <w:sz w:val="24"/>
          <w:szCs w:val="24"/>
          <w:lang w:eastAsia="es-CO"/>
        </w:rPr>
      </w:pPr>
    </w:p>
    <w:p w:rsidR="00090E64" w:rsidRPr="004D0734" w:rsidRDefault="00090E64" w:rsidP="00090E64">
      <w:pPr>
        <w:spacing w:after="0" w:line="240" w:lineRule="auto"/>
        <w:jc w:val="both"/>
        <w:rPr>
          <w:rFonts w:ascii="Verdana" w:hAnsi="Verdana"/>
          <w:sz w:val="24"/>
          <w:szCs w:val="24"/>
          <w:lang w:eastAsia="es-CO"/>
        </w:rPr>
      </w:pPr>
      <w:r w:rsidRPr="004D0734">
        <w:rPr>
          <w:rFonts w:ascii="Verdana" w:hAnsi="Verdana"/>
          <w:sz w:val="24"/>
          <w:szCs w:val="24"/>
          <w:lang w:eastAsia="es-CO"/>
        </w:rPr>
        <w:t>Durante la vigencia 2014, fueron tramitados los diferentes requerimientos contractuales de la entidad a través de las diferentes modalidades de selección consagradas en la normatividad contractual vigente y en consecuencia, suscritos contratos de diferente naturaleza, tal y como se describe continuación:</w:t>
      </w:r>
    </w:p>
    <w:p w:rsidR="00090E64" w:rsidRPr="004D0734" w:rsidRDefault="00090E64" w:rsidP="00090E64">
      <w:pPr>
        <w:spacing w:after="0" w:line="240" w:lineRule="auto"/>
        <w:rPr>
          <w:rFonts w:ascii="Verdana" w:hAnsi="Verdana"/>
          <w:sz w:val="24"/>
          <w:szCs w:val="24"/>
          <w:lang w:eastAsia="es-CO"/>
        </w:rPr>
      </w:pPr>
    </w:p>
    <w:p w:rsidR="00090E64" w:rsidRDefault="001F35BA" w:rsidP="00090E64">
      <w:pPr>
        <w:spacing w:after="0" w:line="240" w:lineRule="auto"/>
        <w:jc w:val="center"/>
      </w:pPr>
      <w:r w:rsidRPr="001F35BA">
        <w:fldChar w:fldCharType="begin"/>
      </w:r>
      <w:r w:rsidR="00090E64">
        <w:instrText xml:space="preserve"> LINK Excel.Sheet.12 "C:\\Users\\alexander.quiroga\\Documents\\ARCHIVOS 2015\\RENDICION DE CUENTAS VIGENCIA 2015\\Modelo Informe Rendición de Cuentas Sectorial 2014 ANSPE.xlsx" "Gestión Contractual!F1C1:F22C3" \a \f 4 \h  \* MERGEFORMAT </w:instrText>
      </w:r>
      <w:r w:rsidRPr="001F35BA">
        <w:fldChar w:fldCharType="separate"/>
      </w:r>
    </w:p>
    <w:tbl>
      <w:tblPr>
        <w:tblW w:w="5000" w:type="pct"/>
        <w:jc w:val="center"/>
        <w:tblCellMar>
          <w:left w:w="70" w:type="dxa"/>
          <w:right w:w="70" w:type="dxa"/>
        </w:tblCellMar>
        <w:tblLook w:val="04A0"/>
      </w:tblPr>
      <w:tblGrid>
        <w:gridCol w:w="3289"/>
        <w:gridCol w:w="4615"/>
        <w:gridCol w:w="2208"/>
      </w:tblGrid>
      <w:tr w:rsidR="00090E64" w:rsidRPr="008837D4" w:rsidTr="00090E64">
        <w:trPr>
          <w:trHeight w:val="510"/>
          <w:jc w:val="center"/>
        </w:trPr>
        <w:tc>
          <w:tcPr>
            <w:tcW w:w="1626" w:type="pct"/>
            <w:tcBorders>
              <w:top w:val="nil"/>
              <w:left w:val="nil"/>
              <w:bottom w:val="single" w:sz="12" w:space="0" w:color="FFFFFF"/>
              <w:right w:val="single" w:sz="4" w:space="0" w:color="FFFFFF"/>
            </w:tcBorders>
            <w:shd w:val="clear" w:color="000000" w:fill="8DB4E2"/>
            <w:vAlign w:val="center"/>
            <w:hideMark/>
          </w:tcPr>
          <w:p w:rsidR="00090E64" w:rsidRPr="008837D4" w:rsidRDefault="00090E64" w:rsidP="00B46760">
            <w:pPr>
              <w:jc w:val="center"/>
              <w:rPr>
                <w:rFonts w:ascii="Verdana" w:eastAsia="Times New Roman" w:hAnsi="Verdana" w:cs="Times New Roman"/>
                <w:b/>
                <w:bCs/>
                <w:color w:val="FFFFFF"/>
                <w:sz w:val="20"/>
                <w:szCs w:val="20"/>
                <w:lang w:eastAsia="es-CO"/>
              </w:rPr>
            </w:pPr>
            <w:r w:rsidRPr="008837D4">
              <w:rPr>
                <w:rFonts w:ascii="Verdana" w:eastAsia="Times New Roman" w:hAnsi="Verdana" w:cs="Times New Roman"/>
                <w:b/>
                <w:bCs/>
                <w:color w:val="FFFFFF"/>
                <w:sz w:val="20"/>
                <w:szCs w:val="20"/>
                <w:lang w:eastAsia="es-CO"/>
              </w:rPr>
              <w:t>MODALIDAD DE CONTRATACIÓN</w:t>
            </w:r>
          </w:p>
        </w:tc>
        <w:tc>
          <w:tcPr>
            <w:tcW w:w="2282" w:type="pct"/>
            <w:tcBorders>
              <w:top w:val="nil"/>
              <w:left w:val="single" w:sz="4" w:space="0" w:color="FFFFFF"/>
              <w:bottom w:val="single" w:sz="12" w:space="0" w:color="FFFFFF"/>
              <w:right w:val="single" w:sz="4" w:space="0" w:color="FFFFFF"/>
            </w:tcBorders>
            <w:shd w:val="clear" w:color="000000" w:fill="8DB4E2"/>
            <w:noWrap/>
            <w:vAlign w:val="center"/>
            <w:hideMark/>
          </w:tcPr>
          <w:p w:rsidR="00090E64" w:rsidRPr="008837D4" w:rsidRDefault="00090E64" w:rsidP="00B46760">
            <w:pPr>
              <w:spacing w:after="0" w:line="240" w:lineRule="auto"/>
              <w:jc w:val="center"/>
              <w:rPr>
                <w:rFonts w:ascii="Verdana" w:eastAsia="Times New Roman" w:hAnsi="Verdana" w:cs="Times New Roman"/>
                <w:b/>
                <w:bCs/>
                <w:color w:val="FFFFFF"/>
                <w:sz w:val="20"/>
                <w:szCs w:val="20"/>
                <w:lang w:eastAsia="es-CO"/>
              </w:rPr>
            </w:pPr>
            <w:r w:rsidRPr="008837D4">
              <w:rPr>
                <w:rFonts w:ascii="Verdana" w:eastAsia="Times New Roman" w:hAnsi="Verdana" w:cs="Times New Roman"/>
                <w:b/>
                <w:bCs/>
                <w:color w:val="FFFFFF"/>
                <w:sz w:val="20"/>
                <w:szCs w:val="20"/>
                <w:lang w:eastAsia="es-CO"/>
              </w:rPr>
              <w:t>TIPO DE CONTRATO</w:t>
            </w:r>
          </w:p>
        </w:tc>
        <w:tc>
          <w:tcPr>
            <w:tcW w:w="1092" w:type="pct"/>
            <w:tcBorders>
              <w:top w:val="nil"/>
              <w:left w:val="single" w:sz="4" w:space="0" w:color="FFFFFF"/>
              <w:bottom w:val="single" w:sz="12" w:space="0" w:color="FFFFFF"/>
              <w:right w:val="single" w:sz="4" w:space="0" w:color="FFFFFF"/>
            </w:tcBorders>
            <w:shd w:val="clear" w:color="000000" w:fill="8DB4E2"/>
            <w:vAlign w:val="center"/>
            <w:hideMark/>
          </w:tcPr>
          <w:p w:rsidR="00090E64" w:rsidRPr="008837D4" w:rsidRDefault="00090E64" w:rsidP="00B46760">
            <w:pPr>
              <w:spacing w:after="0" w:line="240" w:lineRule="auto"/>
              <w:jc w:val="center"/>
              <w:rPr>
                <w:rFonts w:ascii="Verdana" w:eastAsia="Times New Roman" w:hAnsi="Verdana" w:cs="Times New Roman"/>
                <w:b/>
                <w:bCs/>
                <w:color w:val="FFFFFF"/>
                <w:sz w:val="20"/>
                <w:szCs w:val="20"/>
                <w:lang w:eastAsia="es-CO"/>
              </w:rPr>
            </w:pPr>
            <w:r w:rsidRPr="008837D4">
              <w:rPr>
                <w:rFonts w:ascii="Verdana" w:eastAsia="Times New Roman" w:hAnsi="Verdana" w:cs="Times New Roman"/>
                <w:b/>
                <w:bCs/>
                <w:color w:val="FFFFFF"/>
                <w:sz w:val="20"/>
                <w:szCs w:val="20"/>
                <w:lang w:eastAsia="es-CO"/>
              </w:rPr>
              <w:t>CANTIDAD SUSCRITA</w:t>
            </w:r>
          </w:p>
        </w:tc>
      </w:tr>
      <w:tr w:rsidR="00090E64" w:rsidRPr="008837D4" w:rsidTr="00090E64">
        <w:trPr>
          <w:trHeight w:val="960"/>
          <w:jc w:val="center"/>
        </w:trPr>
        <w:tc>
          <w:tcPr>
            <w:tcW w:w="1626" w:type="pct"/>
            <w:vMerge w:val="restart"/>
            <w:tcBorders>
              <w:top w:val="single" w:sz="4" w:space="0" w:color="FFFFFF"/>
              <w:left w:val="nil"/>
              <w:bottom w:val="single" w:sz="4" w:space="0" w:color="FFFFFF"/>
              <w:right w:val="single" w:sz="4" w:space="0" w:color="FFFFFF"/>
            </w:tcBorders>
            <w:shd w:val="clear" w:color="B8CCE4" w:fill="B8CCE4"/>
            <w:vAlign w:val="center"/>
            <w:hideMark/>
          </w:tcPr>
          <w:p w:rsidR="00090E64" w:rsidRPr="008837D4" w:rsidRDefault="00090E64" w:rsidP="00B46760">
            <w:pPr>
              <w:spacing w:after="0" w:line="240" w:lineRule="auto"/>
              <w:jc w:val="center"/>
              <w:rPr>
                <w:rFonts w:ascii="Verdana" w:eastAsia="Times New Roman" w:hAnsi="Verdana" w:cs="Times New Roman"/>
                <w:color w:val="000000"/>
                <w:sz w:val="20"/>
                <w:szCs w:val="20"/>
                <w:lang w:eastAsia="es-CO"/>
              </w:rPr>
            </w:pPr>
            <w:r w:rsidRPr="008837D4">
              <w:rPr>
                <w:rFonts w:ascii="Verdana" w:eastAsia="Times New Roman" w:hAnsi="Verdana" w:cs="Times New Roman"/>
                <w:color w:val="000000"/>
                <w:sz w:val="20"/>
                <w:szCs w:val="20"/>
                <w:lang w:eastAsia="es-CO"/>
              </w:rPr>
              <w:t>CONTRATACIÓN DIRECTA</w:t>
            </w:r>
          </w:p>
        </w:tc>
        <w:tc>
          <w:tcPr>
            <w:tcW w:w="2282" w:type="pct"/>
            <w:vMerge w:val="restart"/>
            <w:tcBorders>
              <w:top w:val="single" w:sz="4" w:space="0" w:color="FFFFFF"/>
              <w:left w:val="single" w:sz="4" w:space="0" w:color="FFFFFF"/>
              <w:bottom w:val="single" w:sz="4" w:space="0" w:color="FFFFFF"/>
              <w:right w:val="single" w:sz="4" w:space="0" w:color="FFFFFF"/>
            </w:tcBorders>
            <w:shd w:val="clear" w:color="B8CCE4" w:fill="B8CCE4"/>
            <w:vAlign w:val="center"/>
            <w:hideMark/>
          </w:tcPr>
          <w:p w:rsidR="00090E64" w:rsidRPr="008837D4" w:rsidRDefault="00090E64" w:rsidP="00B46760">
            <w:pPr>
              <w:spacing w:after="0" w:line="240" w:lineRule="auto"/>
              <w:jc w:val="both"/>
              <w:rPr>
                <w:rFonts w:ascii="Verdana" w:eastAsia="Times New Roman" w:hAnsi="Verdana" w:cs="Times New Roman"/>
                <w:color w:val="000000"/>
                <w:sz w:val="20"/>
                <w:szCs w:val="20"/>
                <w:lang w:eastAsia="es-CO"/>
              </w:rPr>
            </w:pPr>
            <w:r w:rsidRPr="008837D4">
              <w:rPr>
                <w:rFonts w:ascii="Verdana" w:eastAsia="Times New Roman" w:hAnsi="Verdana" w:cs="Times New Roman"/>
                <w:color w:val="000000"/>
                <w:sz w:val="20"/>
                <w:szCs w:val="20"/>
                <w:lang w:eastAsia="es-CO"/>
              </w:rPr>
              <w:t>Acuerdos de Articulación, Asistencia, Colaboración, Confidencialidad, Contribución e Intensión</w:t>
            </w:r>
          </w:p>
        </w:tc>
        <w:tc>
          <w:tcPr>
            <w:tcW w:w="1092" w:type="pct"/>
            <w:vMerge w:val="restart"/>
            <w:tcBorders>
              <w:top w:val="single" w:sz="4" w:space="0" w:color="FFFFFF"/>
              <w:left w:val="single" w:sz="4" w:space="0" w:color="FFFFFF"/>
              <w:bottom w:val="single" w:sz="4" w:space="0" w:color="FFFFFF"/>
              <w:right w:val="single" w:sz="4" w:space="0" w:color="FFFFFF"/>
            </w:tcBorders>
            <w:shd w:val="clear" w:color="B8CCE4" w:fill="B8CCE4"/>
            <w:vAlign w:val="center"/>
            <w:hideMark/>
          </w:tcPr>
          <w:p w:rsidR="00090E64" w:rsidRPr="008837D4" w:rsidRDefault="00090E64" w:rsidP="00B46760">
            <w:pPr>
              <w:spacing w:after="0" w:line="240" w:lineRule="auto"/>
              <w:jc w:val="center"/>
              <w:rPr>
                <w:rFonts w:ascii="Verdana" w:eastAsia="Times New Roman" w:hAnsi="Verdana" w:cs="Times New Roman"/>
                <w:color w:val="000000"/>
                <w:sz w:val="20"/>
                <w:szCs w:val="20"/>
                <w:lang w:eastAsia="es-CO"/>
              </w:rPr>
            </w:pPr>
            <w:r w:rsidRPr="008837D4">
              <w:rPr>
                <w:rFonts w:ascii="Verdana" w:eastAsia="Times New Roman" w:hAnsi="Verdana" w:cs="Times New Roman"/>
                <w:color w:val="000000"/>
                <w:sz w:val="20"/>
                <w:szCs w:val="20"/>
                <w:lang w:eastAsia="es-CO"/>
              </w:rPr>
              <w:t>11</w:t>
            </w:r>
          </w:p>
        </w:tc>
      </w:tr>
      <w:tr w:rsidR="00090E64" w:rsidRPr="008837D4" w:rsidTr="00090E64">
        <w:trPr>
          <w:trHeight w:val="300"/>
          <w:jc w:val="center"/>
        </w:trPr>
        <w:tc>
          <w:tcPr>
            <w:tcW w:w="1626" w:type="pct"/>
            <w:vMerge/>
            <w:tcBorders>
              <w:top w:val="single" w:sz="4" w:space="0" w:color="FFFFFF"/>
              <w:left w:val="nil"/>
              <w:bottom w:val="single" w:sz="4" w:space="0" w:color="FFFFFF"/>
              <w:right w:val="single" w:sz="4" w:space="0" w:color="FFFFFF"/>
            </w:tcBorders>
            <w:vAlign w:val="center"/>
            <w:hideMark/>
          </w:tcPr>
          <w:p w:rsidR="00090E64" w:rsidRPr="008837D4" w:rsidRDefault="00090E64" w:rsidP="00B46760">
            <w:pPr>
              <w:spacing w:after="0" w:line="240" w:lineRule="auto"/>
              <w:rPr>
                <w:rFonts w:ascii="Verdana" w:eastAsia="Times New Roman" w:hAnsi="Verdana" w:cs="Times New Roman"/>
                <w:color w:val="000000"/>
                <w:sz w:val="20"/>
                <w:szCs w:val="20"/>
                <w:lang w:eastAsia="es-CO"/>
              </w:rPr>
            </w:pPr>
          </w:p>
        </w:tc>
        <w:tc>
          <w:tcPr>
            <w:tcW w:w="2282" w:type="pct"/>
            <w:vMerge/>
            <w:tcBorders>
              <w:top w:val="single" w:sz="4" w:space="0" w:color="FFFFFF"/>
              <w:left w:val="single" w:sz="4" w:space="0" w:color="FFFFFF"/>
              <w:bottom w:val="single" w:sz="4" w:space="0" w:color="FFFFFF"/>
              <w:right w:val="single" w:sz="4" w:space="0" w:color="FFFFFF"/>
            </w:tcBorders>
            <w:vAlign w:val="center"/>
            <w:hideMark/>
          </w:tcPr>
          <w:p w:rsidR="00090E64" w:rsidRPr="008837D4" w:rsidRDefault="00090E64" w:rsidP="00B46760">
            <w:pPr>
              <w:spacing w:after="0" w:line="240" w:lineRule="auto"/>
              <w:rPr>
                <w:rFonts w:ascii="Verdana" w:eastAsia="Times New Roman" w:hAnsi="Verdana" w:cs="Times New Roman"/>
                <w:color w:val="000000"/>
                <w:sz w:val="20"/>
                <w:szCs w:val="20"/>
                <w:lang w:eastAsia="es-CO"/>
              </w:rPr>
            </w:pPr>
          </w:p>
        </w:tc>
        <w:tc>
          <w:tcPr>
            <w:tcW w:w="1092" w:type="pct"/>
            <w:vMerge/>
            <w:tcBorders>
              <w:top w:val="single" w:sz="4" w:space="0" w:color="FFFFFF"/>
              <w:left w:val="single" w:sz="4" w:space="0" w:color="FFFFFF"/>
              <w:bottom w:val="single" w:sz="4" w:space="0" w:color="FFFFFF"/>
              <w:right w:val="single" w:sz="4" w:space="0" w:color="FFFFFF"/>
            </w:tcBorders>
            <w:vAlign w:val="center"/>
            <w:hideMark/>
          </w:tcPr>
          <w:p w:rsidR="00090E64" w:rsidRPr="008837D4" w:rsidRDefault="00090E64" w:rsidP="00B46760">
            <w:pPr>
              <w:spacing w:after="0" w:line="240" w:lineRule="auto"/>
              <w:rPr>
                <w:rFonts w:ascii="Verdana" w:eastAsia="Times New Roman" w:hAnsi="Verdana" w:cs="Times New Roman"/>
                <w:color w:val="000000"/>
                <w:sz w:val="20"/>
                <w:szCs w:val="20"/>
                <w:lang w:eastAsia="es-CO"/>
              </w:rPr>
            </w:pPr>
          </w:p>
        </w:tc>
      </w:tr>
      <w:tr w:rsidR="00090E64" w:rsidRPr="008837D4" w:rsidTr="00090E64">
        <w:trPr>
          <w:trHeight w:val="1035"/>
          <w:jc w:val="center"/>
        </w:trPr>
        <w:tc>
          <w:tcPr>
            <w:tcW w:w="1626" w:type="pct"/>
            <w:vMerge/>
            <w:tcBorders>
              <w:top w:val="single" w:sz="4" w:space="0" w:color="FFFFFF"/>
              <w:left w:val="nil"/>
              <w:bottom w:val="single" w:sz="4" w:space="0" w:color="FFFFFF"/>
              <w:right w:val="single" w:sz="4" w:space="0" w:color="FFFFFF"/>
            </w:tcBorders>
            <w:vAlign w:val="center"/>
            <w:hideMark/>
          </w:tcPr>
          <w:p w:rsidR="00090E64" w:rsidRPr="008837D4" w:rsidRDefault="00090E64" w:rsidP="00B46760">
            <w:pPr>
              <w:spacing w:after="0" w:line="240" w:lineRule="auto"/>
              <w:rPr>
                <w:rFonts w:ascii="Verdana" w:eastAsia="Times New Roman" w:hAnsi="Verdana" w:cs="Times New Roman"/>
                <w:color w:val="000000"/>
                <w:sz w:val="20"/>
                <w:szCs w:val="20"/>
                <w:lang w:eastAsia="es-CO"/>
              </w:rPr>
            </w:pPr>
          </w:p>
        </w:tc>
        <w:tc>
          <w:tcPr>
            <w:tcW w:w="2282" w:type="pct"/>
            <w:vMerge/>
            <w:tcBorders>
              <w:top w:val="single" w:sz="4" w:space="0" w:color="FFFFFF"/>
              <w:left w:val="single" w:sz="4" w:space="0" w:color="FFFFFF"/>
              <w:bottom w:val="single" w:sz="4" w:space="0" w:color="FFFFFF"/>
              <w:right w:val="single" w:sz="4" w:space="0" w:color="FFFFFF"/>
            </w:tcBorders>
            <w:vAlign w:val="center"/>
            <w:hideMark/>
          </w:tcPr>
          <w:p w:rsidR="00090E64" w:rsidRPr="008837D4" w:rsidRDefault="00090E64" w:rsidP="00B46760">
            <w:pPr>
              <w:spacing w:after="0" w:line="240" w:lineRule="auto"/>
              <w:rPr>
                <w:rFonts w:ascii="Verdana" w:eastAsia="Times New Roman" w:hAnsi="Verdana" w:cs="Times New Roman"/>
                <w:color w:val="000000"/>
                <w:sz w:val="20"/>
                <w:szCs w:val="20"/>
                <w:lang w:eastAsia="es-CO"/>
              </w:rPr>
            </w:pPr>
          </w:p>
        </w:tc>
        <w:tc>
          <w:tcPr>
            <w:tcW w:w="1092" w:type="pct"/>
            <w:vMerge/>
            <w:tcBorders>
              <w:top w:val="single" w:sz="4" w:space="0" w:color="FFFFFF"/>
              <w:left w:val="single" w:sz="4" w:space="0" w:color="FFFFFF"/>
              <w:bottom w:val="single" w:sz="4" w:space="0" w:color="FFFFFF"/>
              <w:right w:val="single" w:sz="4" w:space="0" w:color="FFFFFF"/>
            </w:tcBorders>
            <w:vAlign w:val="center"/>
            <w:hideMark/>
          </w:tcPr>
          <w:p w:rsidR="00090E64" w:rsidRPr="008837D4" w:rsidRDefault="00090E64" w:rsidP="00B46760">
            <w:pPr>
              <w:spacing w:after="0" w:line="240" w:lineRule="auto"/>
              <w:rPr>
                <w:rFonts w:ascii="Verdana" w:eastAsia="Times New Roman" w:hAnsi="Verdana" w:cs="Times New Roman"/>
                <w:color w:val="000000"/>
                <w:sz w:val="20"/>
                <w:szCs w:val="20"/>
                <w:lang w:eastAsia="es-CO"/>
              </w:rPr>
            </w:pPr>
          </w:p>
        </w:tc>
      </w:tr>
      <w:tr w:rsidR="00090E64" w:rsidRPr="008837D4" w:rsidTr="00090E64">
        <w:trPr>
          <w:trHeight w:val="300"/>
          <w:jc w:val="center"/>
        </w:trPr>
        <w:tc>
          <w:tcPr>
            <w:tcW w:w="1626" w:type="pct"/>
            <w:vMerge/>
            <w:tcBorders>
              <w:top w:val="single" w:sz="4" w:space="0" w:color="FFFFFF"/>
              <w:left w:val="nil"/>
              <w:bottom w:val="single" w:sz="4" w:space="0" w:color="FFFFFF"/>
              <w:right w:val="single" w:sz="4" w:space="0" w:color="FFFFFF"/>
            </w:tcBorders>
            <w:vAlign w:val="center"/>
            <w:hideMark/>
          </w:tcPr>
          <w:p w:rsidR="00090E64" w:rsidRPr="008837D4" w:rsidRDefault="00090E64" w:rsidP="00B46760">
            <w:pPr>
              <w:spacing w:after="0" w:line="240" w:lineRule="auto"/>
              <w:rPr>
                <w:rFonts w:ascii="Verdana" w:eastAsia="Times New Roman" w:hAnsi="Verdana" w:cs="Times New Roman"/>
                <w:color w:val="000000"/>
                <w:sz w:val="20"/>
                <w:szCs w:val="20"/>
                <w:lang w:eastAsia="es-CO"/>
              </w:rPr>
            </w:pPr>
          </w:p>
        </w:tc>
        <w:tc>
          <w:tcPr>
            <w:tcW w:w="2282" w:type="pct"/>
            <w:vMerge/>
            <w:tcBorders>
              <w:top w:val="single" w:sz="4" w:space="0" w:color="FFFFFF"/>
              <w:left w:val="single" w:sz="4" w:space="0" w:color="FFFFFF"/>
              <w:bottom w:val="single" w:sz="4" w:space="0" w:color="FFFFFF"/>
              <w:right w:val="single" w:sz="4" w:space="0" w:color="FFFFFF"/>
            </w:tcBorders>
            <w:vAlign w:val="center"/>
            <w:hideMark/>
          </w:tcPr>
          <w:p w:rsidR="00090E64" w:rsidRPr="008837D4" w:rsidRDefault="00090E64" w:rsidP="00B46760">
            <w:pPr>
              <w:spacing w:after="0" w:line="240" w:lineRule="auto"/>
              <w:rPr>
                <w:rFonts w:ascii="Verdana" w:eastAsia="Times New Roman" w:hAnsi="Verdana" w:cs="Times New Roman"/>
                <w:color w:val="000000"/>
                <w:sz w:val="20"/>
                <w:szCs w:val="20"/>
                <w:lang w:eastAsia="es-CO"/>
              </w:rPr>
            </w:pPr>
          </w:p>
        </w:tc>
        <w:tc>
          <w:tcPr>
            <w:tcW w:w="1092" w:type="pct"/>
            <w:vMerge/>
            <w:tcBorders>
              <w:top w:val="single" w:sz="4" w:space="0" w:color="FFFFFF"/>
              <w:left w:val="single" w:sz="4" w:space="0" w:color="FFFFFF"/>
              <w:bottom w:val="single" w:sz="4" w:space="0" w:color="FFFFFF"/>
              <w:right w:val="single" w:sz="4" w:space="0" w:color="FFFFFF"/>
            </w:tcBorders>
            <w:vAlign w:val="center"/>
            <w:hideMark/>
          </w:tcPr>
          <w:p w:rsidR="00090E64" w:rsidRPr="008837D4" w:rsidRDefault="00090E64" w:rsidP="00B46760">
            <w:pPr>
              <w:spacing w:after="0" w:line="240" w:lineRule="auto"/>
              <w:rPr>
                <w:rFonts w:ascii="Verdana" w:eastAsia="Times New Roman" w:hAnsi="Verdana" w:cs="Times New Roman"/>
                <w:color w:val="000000"/>
                <w:sz w:val="20"/>
                <w:szCs w:val="20"/>
                <w:lang w:eastAsia="es-CO"/>
              </w:rPr>
            </w:pPr>
          </w:p>
        </w:tc>
      </w:tr>
      <w:tr w:rsidR="00090E64" w:rsidRPr="008837D4" w:rsidTr="00090E64">
        <w:trPr>
          <w:trHeight w:val="300"/>
          <w:jc w:val="center"/>
        </w:trPr>
        <w:tc>
          <w:tcPr>
            <w:tcW w:w="1626" w:type="pct"/>
            <w:vMerge/>
            <w:tcBorders>
              <w:top w:val="single" w:sz="4" w:space="0" w:color="FFFFFF"/>
              <w:left w:val="nil"/>
              <w:bottom w:val="single" w:sz="4" w:space="0" w:color="FFFFFF"/>
              <w:right w:val="single" w:sz="4" w:space="0" w:color="FFFFFF"/>
            </w:tcBorders>
            <w:vAlign w:val="center"/>
            <w:hideMark/>
          </w:tcPr>
          <w:p w:rsidR="00090E64" w:rsidRPr="008837D4" w:rsidRDefault="00090E64" w:rsidP="00B46760">
            <w:pPr>
              <w:spacing w:after="0" w:line="240" w:lineRule="auto"/>
              <w:rPr>
                <w:rFonts w:ascii="Verdana" w:eastAsia="Times New Roman" w:hAnsi="Verdana" w:cs="Times New Roman"/>
                <w:color w:val="000000"/>
                <w:sz w:val="20"/>
                <w:szCs w:val="20"/>
                <w:lang w:eastAsia="es-CO"/>
              </w:rPr>
            </w:pPr>
          </w:p>
        </w:tc>
        <w:tc>
          <w:tcPr>
            <w:tcW w:w="2282" w:type="pct"/>
            <w:tcBorders>
              <w:top w:val="single" w:sz="4" w:space="0" w:color="FFFFFF"/>
              <w:left w:val="single" w:sz="4" w:space="0" w:color="FFFFFF"/>
              <w:bottom w:val="single" w:sz="4" w:space="0" w:color="FFFFFF"/>
              <w:right w:val="single" w:sz="4" w:space="0" w:color="FFFFFF"/>
            </w:tcBorders>
            <w:shd w:val="clear" w:color="B8CCE4" w:fill="B8CCE4"/>
            <w:vAlign w:val="center"/>
            <w:hideMark/>
          </w:tcPr>
          <w:p w:rsidR="00090E64" w:rsidRPr="008837D4" w:rsidRDefault="00090E64" w:rsidP="00B46760">
            <w:pPr>
              <w:spacing w:after="0" w:line="240" w:lineRule="auto"/>
              <w:jc w:val="both"/>
              <w:rPr>
                <w:rFonts w:ascii="Verdana" w:eastAsia="Times New Roman" w:hAnsi="Verdana" w:cs="Times New Roman"/>
                <w:color w:val="000000"/>
                <w:sz w:val="20"/>
                <w:szCs w:val="20"/>
                <w:lang w:eastAsia="es-CO"/>
              </w:rPr>
            </w:pPr>
            <w:r w:rsidRPr="008837D4">
              <w:rPr>
                <w:rFonts w:ascii="Verdana" w:eastAsia="Times New Roman" w:hAnsi="Verdana" w:cs="Times New Roman"/>
                <w:color w:val="000000"/>
                <w:sz w:val="20"/>
                <w:szCs w:val="20"/>
                <w:lang w:eastAsia="es-CO"/>
              </w:rPr>
              <w:t>Contrato de Arrendamiento</w:t>
            </w:r>
          </w:p>
        </w:tc>
        <w:tc>
          <w:tcPr>
            <w:tcW w:w="1092" w:type="pct"/>
            <w:tcBorders>
              <w:top w:val="single" w:sz="4" w:space="0" w:color="FFFFFF"/>
              <w:left w:val="single" w:sz="4" w:space="0" w:color="FFFFFF"/>
              <w:bottom w:val="single" w:sz="4" w:space="0" w:color="FFFFFF"/>
              <w:right w:val="single" w:sz="4" w:space="0" w:color="FFFFFF"/>
            </w:tcBorders>
            <w:shd w:val="clear" w:color="B8CCE4" w:fill="B8CCE4"/>
            <w:vAlign w:val="center"/>
            <w:hideMark/>
          </w:tcPr>
          <w:p w:rsidR="00090E64" w:rsidRPr="008837D4" w:rsidRDefault="00090E64" w:rsidP="00B46760">
            <w:pPr>
              <w:spacing w:after="0" w:line="240" w:lineRule="auto"/>
              <w:jc w:val="center"/>
              <w:rPr>
                <w:rFonts w:ascii="Verdana" w:eastAsia="Times New Roman" w:hAnsi="Verdana" w:cs="Times New Roman"/>
                <w:color w:val="000000"/>
                <w:sz w:val="20"/>
                <w:szCs w:val="20"/>
                <w:lang w:eastAsia="es-CO"/>
              </w:rPr>
            </w:pPr>
            <w:r w:rsidRPr="008837D4">
              <w:rPr>
                <w:rFonts w:ascii="Verdana" w:eastAsia="Times New Roman" w:hAnsi="Verdana" w:cs="Times New Roman"/>
                <w:color w:val="000000"/>
                <w:sz w:val="20"/>
                <w:szCs w:val="20"/>
                <w:lang w:eastAsia="es-CO"/>
              </w:rPr>
              <w:t>2</w:t>
            </w:r>
          </w:p>
        </w:tc>
      </w:tr>
      <w:tr w:rsidR="00090E64" w:rsidRPr="008837D4" w:rsidTr="00090E64">
        <w:trPr>
          <w:trHeight w:val="300"/>
          <w:jc w:val="center"/>
        </w:trPr>
        <w:tc>
          <w:tcPr>
            <w:tcW w:w="1626" w:type="pct"/>
            <w:vMerge/>
            <w:tcBorders>
              <w:top w:val="single" w:sz="4" w:space="0" w:color="FFFFFF"/>
              <w:left w:val="nil"/>
              <w:bottom w:val="single" w:sz="4" w:space="0" w:color="FFFFFF"/>
              <w:right w:val="single" w:sz="4" w:space="0" w:color="FFFFFF"/>
            </w:tcBorders>
            <w:vAlign w:val="center"/>
            <w:hideMark/>
          </w:tcPr>
          <w:p w:rsidR="00090E64" w:rsidRPr="008837D4" w:rsidRDefault="00090E64" w:rsidP="00B46760">
            <w:pPr>
              <w:spacing w:after="0" w:line="240" w:lineRule="auto"/>
              <w:rPr>
                <w:rFonts w:ascii="Verdana" w:eastAsia="Times New Roman" w:hAnsi="Verdana" w:cs="Times New Roman"/>
                <w:color w:val="000000"/>
                <w:sz w:val="20"/>
                <w:szCs w:val="20"/>
                <w:lang w:eastAsia="es-CO"/>
              </w:rPr>
            </w:pPr>
          </w:p>
        </w:tc>
        <w:tc>
          <w:tcPr>
            <w:tcW w:w="2282" w:type="pct"/>
            <w:tcBorders>
              <w:top w:val="single" w:sz="4" w:space="0" w:color="FFFFFF"/>
              <w:left w:val="single" w:sz="4" w:space="0" w:color="FFFFFF"/>
              <w:bottom w:val="single" w:sz="4" w:space="0" w:color="FFFFFF"/>
              <w:right w:val="single" w:sz="4" w:space="0" w:color="FFFFFF"/>
            </w:tcBorders>
            <w:shd w:val="clear" w:color="DCE6F1" w:fill="DCE6F1"/>
            <w:vAlign w:val="center"/>
            <w:hideMark/>
          </w:tcPr>
          <w:p w:rsidR="00090E64" w:rsidRPr="008837D4" w:rsidRDefault="00090E64" w:rsidP="00B46760">
            <w:pPr>
              <w:spacing w:after="0" w:line="240" w:lineRule="auto"/>
              <w:jc w:val="both"/>
              <w:rPr>
                <w:rFonts w:ascii="Verdana" w:eastAsia="Times New Roman" w:hAnsi="Verdana" w:cs="Times New Roman"/>
                <w:color w:val="000000"/>
                <w:sz w:val="20"/>
                <w:szCs w:val="20"/>
                <w:lang w:eastAsia="es-CO"/>
              </w:rPr>
            </w:pPr>
            <w:r w:rsidRPr="008837D4">
              <w:rPr>
                <w:rFonts w:ascii="Verdana" w:eastAsia="Times New Roman" w:hAnsi="Verdana" w:cs="Times New Roman"/>
                <w:color w:val="000000"/>
                <w:sz w:val="20"/>
                <w:szCs w:val="20"/>
                <w:lang w:eastAsia="es-CO"/>
              </w:rPr>
              <w:t>Contrato de Compraventa</w:t>
            </w:r>
          </w:p>
        </w:tc>
        <w:tc>
          <w:tcPr>
            <w:tcW w:w="1092" w:type="pct"/>
            <w:tcBorders>
              <w:top w:val="single" w:sz="4" w:space="0" w:color="FFFFFF"/>
              <w:left w:val="single" w:sz="4" w:space="0" w:color="FFFFFF"/>
              <w:bottom w:val="single" w:sz="4" w:space="0" w:color="FFFFFF"/>
              <w:right w:val="single" w:sz="4" w:space="0" w:color="FFFFFF"/>
            </w:tcBorders>
            <w:shd w:val="clear" w:color="DCE6F1" w:fill="DCE6F1"/>
            <w:vAlign w:val="center"/>
            <w:hideMark/>
          </w:tcPr>
          <w:p w:rsidR="00090E64" w:rsidRPr="008837D4" w:rsidRDefault="00090E64" w:rsidP="00B46760">
            <w:pPr>
              <w:spacing w:after="0" w:line="240" w:lineRule="auto"/>
              <w:jc w:val="center"/>
              <w:rPr>
                <w:rFonts w:ascii="Verdana" w:eastAsia="Times New Roman" w:hAnsi="Verdana" w:cs="Times New Roman"/>
                <w:color w:val="000000"/>
                <w:sz w:val="20"/>
                <w:szCs w:val="20"/>
                <w:lang w:eastAsia="es-CO"/>
              </w:rPr>
            </w:pPr>
            <w:r w:rsidRPr="008837D4">
              <w:rPr>
                <w:rFonts w:ascii="Verdana" w:eastAsia="Times New Roman" w:hAnsi="Verdana" w:cs="Times New Roman"/>
                <w:color w:val="000000"/>
                <w:sz w:val="20"/>
                <w:szCs w:val="20"/>
                <w:lang w:eastAsia="es-CO"/>
              </w:rPr>
              <w:t>2</w:t>
            </w:r>
          </w:p>
        </w:tc>
      </w:tr>
      <w:tr w:rsidR="00090E64" w:rsidRPr="008837D4" w:rsidTr="00090E64">
        <w:trPr>
          <w:trHeight w:val="300"/>
          <w:jc w:val="center"/>
        </w:trPr>
        <w:tc>
          <w:tcPr>
            <w:tcW w:w="1626" w:type="pct"/>
            <w:vMerge/>
            <w:tcBorders>
              <w:top w:val="single" w:sz="4" w:space="0" w:color="FFFFFF"/>
              <w:left w:val="nil"/>
              <w:bottom w:val="single" w:sz="4" w:space="0" w:color="FFFFFF"/>
              <w:right w:val="single" w:sz="4" w:space="0" w:color="FFFFFF"/>
            </w:tcBorders>
            <w:vAlign w:val="center"/>
            <w:hideMark/>
          </w:tcPr>
          <w:p w:rsidR="00090E64" w:rsidRPr="008837D4" w:rsidRDefault="00090E64" w:rsidP="00B46760">
            <w:pPr>
              <w:spacing w:after="0" w:line="240" w:lineRule="auto"/>
              <w:rPr>
                <w:rFonts w:ascii="Verdana" w:eastAsia="Times New Roman" w:hAnsi="Verdana" w:cs="Times New Roman"/>
                <w:color w:val="000000"/>
                <w:sz w:val="20"/>
                <w:szCs w:val="20"/>
                <w:lang w:eastAsia="es-CO"/>
              </w:rPr>
            </w:pPr>
          </w:p>
        </w:tc>
        <w:tc>
          <w:tcPr>
            <w:tcW w:w="2282" w:type="pct"/>
            <w:tcBorders>
              <w:top w:val="single" w:sz="4" w:space="0" w:color="FFFFFF"/>
              <w:left w:val="single" w:sz="4" w:space="0" w:color="FFFFFF"/>
              <w:bottom w:val="single" w:sz="4" w:space="0" w:color="FFFFFF"/>
              <w:right w:val="single" w:sz="4" w:space="0" w:color="FFFFFF"/>
            </w:tcBorders>
            <w:shd w:val="clear" w:color="B8CCE4" w:fill="B8CCE4"/>
            <w:vAlign w:val="center"/>
            <w:hideMark/>
          </w:tcPr>
          <w:p w:rsidR="00090E64" w:rsidRPr="008837D4" w:rsidRDefault="00090E64" w:rsidP="00B46760">
            <w:pPr>
              <w:spacing w:after="0" w:line="240" w:lineRule="auto"/>
              <w:jc w:val="both"/>
              <w:rPr>
                <w:rFonts w:ascii="Verdana" w:eastAsia="Times New Roman" w:hAnsi="Verdana" w:cs="Times New Roman"/>
                <w:color w:val="000000"/>
                <w:sz w:val="20"/>
                <w:szCs w:val="20"/>
                <w:lang w:eastAsia="es-CO"/>
              </w:rPr>
            </w:pPr>
            <w:r w:rsidRPr="008837D4">
              <w:rPr>
                <w:rFonts w:ascii="Verdana" w:eastAsia="Times New Roman" w:hAnsi="Verdana" w:cs="Times New Roman"/>
                <w:color w:val="000000"/>
                <w:sz w:val="20"/>
                <w:szCs w:val="20"/>
                <w:lang w:eastAsia="es-CO"/>
              </w:rPr>
              <w:t>Contrato Interadministrativo</w:t>
            </w:r>
          </w:p>
        </w:tc>
        <w:tc>
          <w:tcPr>
            <w:tcW w:w="1092" w:type="pct"/>
            <w:tcBorders>
              <w:top w:val="single" w:sz="4" w:space="0" w:color="FFFFFF"/>
              <w:left w:val="single" w:sz="4" w:space="0" w:color="FFFFFF"/>
              <w:bottom w:val="single" w:sz="4" w:space="0" w:color="FFFFFF"/>
              <w:right w:val="single" w:sz="4" w:space="0" w:color="FFFFFF"/>
            </w:tcBorders>
            <w:shd w:val="clear" w:color="B8CCE4" w:fill="B8CCE4"/>
            <w:vAlign w:val="center"/>
            <w:hideMark/>
          </w:tcPr>
          <w:p w:rsidR="00090E64" w:rsidRPr="008837D4" w:rsidRDefault="00090E64" w:rsidP="00B46760">
            <w:pPr>
              <w:spacing w:after="0" w:line="240" w:lineRule="auto"/>
              <w:jc w:val="center"/>
              <w:rPr>
                <w:rFonts w:ascii="Verdana" w:eastAsia="Times New Roman" w:hAnsi="Verdana" w:cs="Times New Roman"/>
                <w:color w:val="000000"/>
                <w:sz w:val="20"/>
                <w:szCs w:val="20"/>
                <w:lang w:eastAsia="es-CO"/>
              </w:rPr>
            </w:pPr>
            <w:r w:rsidRPr="008837D4">
              <w:rPr>
                <w:rFonts w:ascii="Verdana" w:eastAsia="Times New Roman" w:hAnsi="Verdana" w:cs="Times New Roman"/>
                <w:color w:val="000000"/>
                <w:sz w:val="20"/>
                <w:szCs w:val="20"/>
                <w:lang w:eastAsia="es-CO"/>
              </w:rPr>
              <w:t>2</w:t>
            </w:r>
          </w:p>
        </w:tc>
      </w:tr>
      <w:tr w:rsidR="00090E64" w:rsidRPr="008837D4" w:rsidTr="00090E64">
        <w:trPr>
          <w:trHeight w:val="300"/>
          <w:jc w:val="center"/>
        </w:trPr>
        <w:tc>
          <w:tcPr>
            <w:tcW w:w="1626" w:type="pct"/>
            <w:vMerge/>
            <w:tcBorders>
              <w:top w:val="single" w:sz="4" w:space="0" w:color="FFFFFF"/>
              <w:left w:val="nil"/>
              <w:bottom w:val="single" w:sz="4" w:space="0" w:color="FFFFFF"/>
              <w:right w:val="single" w:sz="4" w:space="0" w:color="FFFFFF"/>
            </w:tcBorders>
            <w:vAlign w:val="center"/>
            <w:hideMark/>
          </w:tcPr>
          <w:p w:rsidR="00090E64" w:rsidRPr="008837D4" w:rsidRDefault="00090E64" w:rsidP="00B46760">
            <w:pPr>
              <w:spacing w:after="0" w:line="240" w:lineRule="auto"/>
              <w:rPr>
                <w:rFonts w:ascii="Verdana" w:eastAsia="Times New Roman" w:hAnsi="Verdana" w:cs="Times New Roman"/>
                <w:color w:val="000000"/>
                <w:sz w:val="20"/>
                <w:szCs w:val="20"/>
                <w:lang w:eastAsia="es-CO"/>
              </w:rPr>
            </w:pPr>
          </w:p>
        </w:tc>
        <w:tc>
          <w:tcPr>
            <w:tcW w:w="2282" w:type="pct"/>
            <w:tcBorders>
              <w:top w:val="single" w:sz="4" w:space="0" w:color="FFFFFF"/>
              <w:left w:val="single" w:sz="4" w:space="0" w:color="FFFFFF"/>
              <w:bottom w:val="single" w:sz="4" w:space="0" w:color="FFFFFF"/>
              <w:right w:val="single" w:sz="4" w:space="0" w:color="FFFFFF"/>
            </w:tcBorders>
            <w:shd w:val="clear" w:color="DCE6F1" w:fill="DCE6F1"/>
            <w:vAlign w:val="center"/>
            <w:hideMark/>
          </w:tcPr>
          <w:p w:rsidR="00090E64" w:rsidRPr="008837D4" w:rsidRDefault="00090E64" w:rsidP="00B46760">
            <w:pPr>
              <w:spacing w:after="0" w:line="240" w:lineRule="auto"/>
              <w:jc w:val="both"/>
              <w:rPr>
                <w:rFonts w:ascii="Verdana" w:eastAsia="Times New Roman" w:hAnsi="Verdana" w:cs="Times New Roman"/>
                <w:color w:val="000000"/>
                <w:sz w:val="20"/>
                <w:szCs w:val="20"/>
                <w:lang w:eastAsia="es-CO"/>
              </w:rPr>
            </w:pPr>
            <w:r w:rsidRPr="008837D4">
              <w:rPr>
                <w:rFonts w:ascii="Verdana" w:eastAsia="Times New Roman" w:hAnsi="Verdana" w:cs="Times New Roman"/>
                <w:color w:val="000000"/>
                <w:sz w:val="20"/>
                <w:szCs w:val="20"/>
                <w:lang w:eastAsia="es-CO"/>
              </w:rPr>
              <w:t>Convenio de Asociación</w:t>
            </w:r>
          </w:p>
        </w:tc>
        <w:tc>
          <w:tcPr>
            <w:tcW w:w="1092" w:type="pct"/>
            <w:tcBorders>
              <w:top w:val="single" w:sz="4" w:space="0" w:color="FFFFFF"/>
              <w:left w:val="single" w:sz="4" w:space="0" w:color="FFFFFF"/>
              <w:bottom w:val="single" w:sz="4" w:space="0" w:color="FFFFFF"/>
              <w:right w:val="single" w:sz="4" w:space="0" w:color="FFFFFF"/>
            </w:tcBorders>
            <w:shd w:val="clear" w:color="DCE6F1" w:fill="DCE6F1"/>
            <w:vAlign w:val="center"/>
            <w:hideMark/>
          </w:tcPr>
          <w:p w:rsidR="00090E64" w:rsidRPr="008837D4" w:rsidRDefault="00090E64" w:rsidP="00B46760">
            <w:pPr>
              <w:spacing w:after="0" w:line="240" w:lineRule="auto"/>
              <w:jc w:val="center"/>
              <w:rPr>
                <w:rFonts w:ascii="Verdana" w:eastAsia="Times New Roman" w:hAnsi="Verdana" w:cs="Times New Roman"/>
                <w:color w:val="000000"/>
                <w:sz w:val="20"/>
                <w:szCs w:val="20"/>
                <w:lang w:eastAsia="es-CO"/>
              </w:rPr>
            </w:pPr>
            <w:r w:rsidRPr="008837D4">
              <w:rPr>
                <w:rFonts w:ascii="Verdana" w:eastAsia="Times New Roman" w:hAnsi="Verdana" w:cs="Times New Roman"/>
                <w:color w:val="000000"/>
                <w:sz w:val="20"/>
                <w:szCs w:val="20"/>
                <w:lang w:eastAsia="es-CO"/>
              </w:rPr>
              <w:t>8</w:t>
            </w:r>
          </w:p>
        </w:tc>
      </w:tr>
      <w:tr w:rsidR="00090E64" w:rsidRPr="008837D4" w:rsidTr="00090E64">
        <w:trPr>
          <w:trHeight w:val="300"/>
          <w:jc w:val="center"/>
        </w:trPr>
        <w:tc>
          <w:tcPr>
            <w:tcW w:w="1626" w:type="pct"/>
            <w:vMerge/>
            <w:tcBorders>
              <w:top w:val="single" w:sz="4" w:space="0" w:color="FFFFFF"/>
              <w:left w:val="nil"/>
              <w:bottom w:val="single" w:sz="4" w:space="0" w:color="FFFFFF"/>
              <w:right w:val="single" w:sz="4" w:space="0" w:color="FFFFFF"/>
            </w:tcBorders>
            <w:vAlign w:val="center"/>
            <w:hideMark/>
          </w:tcPr>
          <w:p w:rsidR="00090E64" w:rsidRPr="008837D4" w:rsidRDefault="00090E64" w:rsidP="00B46760">
            <w:pPr>
              <w:spacing w:after="0" w:line="240" w:lineRule="auto"/>
              <w:rPr>
                <w:rFonts w:ascii="Verdana" w:eastAsia="Times New Roman" w:hAnsi="Verdana" w:cs="Times New Roman"/>
                <w:color w:val="000000"/>
                <w:sz w:val="20"/>
                <w:szCs w:val="20"/>
                <w:lang w:eastAsia="es-CO"/>
              </w:rPr>
            </w:pPr>
          </w:p>
        </w:tc>
        <w:tc>
          <w:tcPr>
            <w:tcW w:w="2282" w:type="pct"/>
            <w:tcBorders>
              <w:top w:val="single" w:sz="4" w:space="0" w:color="FFFFFF"/>
              <w:left w:val="single" w:sz="4" w:space="0" w:color="FFFFFF"/>
              <w:bottom w:val="single" w:sz="4" w:space="0" w:color="FFFFFF"/>
              <w:right w:val="single" w:sz="4" w:space="0" w:color="FFFFFF"/>
            </w:tcBorders>
            <w:shd w:val="clear" w:color="B8CCE4" w:fill="B8CCE4"/>
            <w:vAlign w:val="center"/>
            <w:hideMark/>
          </w:tcPr>
          <w:p w:rsidR="00090E64" w:rsidRPr="008837D4" w:rsidRDefault="00090E64" w:rsidP="00B46760">
            <w:pPr>
              <w:spacing w:after="0" w:line="240" w:lineRule="auto"/>
              <w:jc w:val="both"/>
              <w:rPr>
                <w:rFonts w:ascii="Verdana" w:eastAsia="Times New Roman" w:hAnsi="Verdana" w:cs="Times New Roman"/>
                <w:color w:val="000000"/>
                <w:sz w:val="20"/>
                <w:szCs w:val="20"/>
                <w:lang w:eastAsia="es-CO"/>
              </w:rPr>
            </w:pPr>
            <w:r w:rsidRPr="008837D4">
              <w:rPr>
                <w:rFonts w:ascii="Verdana" w:eastAsia="Times New Roman" w:hAnsi="Verdana" w:cs="Times New Roman"/>
                <w:color w:val="000000"/>
                <w:sz w:val="20"/>
                <w:szCs w:val="20"/>
                <w:lang w:eastAsia="es-CO"/>
              </w:rPr>
              <w:t>Convenio Interadministrativo</w:t>
            </w:r>
          </w:p>
        </w:tc>
        <w:tc>
          <w:tcPr>
            <w:tcW w:w="1092" w:type="pct"/>
            <w:tcBorders>
              <w:top w:val="single" w:sz="4" w:space="0" w:color="FFFFFF"/>
              <w:left w:val="single" w:sz="4" w:space="0" w:color="FFFFFF"/>
              <w:bottom w:val="single" w:sz="4" w:space="0" w:color="FFFFFF"/>
              <w:right w:val="single" w:sz="4" w:space="0" w:color="FFFFFF"/>
            </w:tcBorders>
            <w:shd w:val="clear" w:color="B8CCE4" w:fill="B8CCE4"/>
            <w:vAlign w:val="center"/>
            <w:hideMark/>
          </w:tcPr>
          <w:p w:rsidR="00090E64" w:rsidRPr="008837D4" w:rsidRDefault="00090E64" w:rsidP="00B46760">
            <w:pPr>
              <w:spacing w:after="0" w:line="240" w:lineRule="auto"/>
              <w:jc w:val="center"/>
              <w:rPr>
                <w:rFonts w:ascii="Verdana" w:eastAsia="Times New Roman" w:hAnsi="Verdana" w:cs="Times New Roman"/>
                <w:color w:val="000000"/>
                <w:sz w:val="20"/>
                <w:szCs w:val="20"/>
                <w:lang w:eastAsia="es-CO"/>
              </w:rPr>
            </w:pPr>
            <w:r w:rsidRPr="008837D4">
              <w:rPr>
                <w:rFonts w:ascii="Verdana" w:eastAsia="Times New Roman" w:hAnsi="Verdana" w:cs="Times New Roman"/>
                <w:color w:val="000000"/>
                <w:sz w:val="20"/>
                <w:szCs w:val="20"/>
                <w:lang w:eastAsia="es-CO"/>
              </w:rPr>
              <w:t>1</w:t>
            </w:r>
          </w:p>
        </w:tc>
      </w:tr>
      <w:tr w:rsidR="00090E64" w:rsidRPr="008837D4" w:rsidTr="00090E64">
        <w:trPr>
          <w:trHeight w:val="510"/>
          <w:jc w:val="center"/>
        </w:trPr>
        <w:tc>
          <w:tcPr>
            <w:tcW w:w="1626" w:type="pct"/>
            <w:vMerge/>
            <w:tcBorders>
              <w:top w:val="single" w:sz="4" w:space="0" w:color="FFFFFF"/>
              <w:left w:val="nil"/>
              <w:bottom w:val="single" w:sz="4" w:space="0" w:color="FFFFFF"/>
              <w:right w:val="single" w:sz="4" w:space="0" w:color="FFFFFF"/>
            </w:tcBorders>
            <w:vAlign w:val="center"/>
            <w:hideMark/>
          </w:tcPr>
          <w:p w:rsidR="00090E64" w:rsidRPr="008837D4" w:rsidRDefault="00090E64" w:rsidP="00B46760">
            <w:pPr>
              <w:spacing w:after="0" w:line="240" w:lineRule="auto"/>
              <w:rPr>
                <w:rFonts w:ascii="Verdana" w:eastAsia="Times New Roman" w:hAnsi="Verdana" w:cs="Times New Roman"/>
                <w:color w:val="000000"/>
                <w:sz w:val="20"/>
                <w:szCs w:val="20"/>
                <w:lang w:eastAsia="es-CO"/>
              </w:rPr>
            </w:pPr>
          </w:p>
        </w:tc>
        <w:tc>
          <w:tcPr>
            <w:tcW w:w="2282" w:type="pct"/>
            <w:tcBorders>
              <w:top w:val="single" w:sz="4" w:space="0" w:color="FFFFFF"/>
              <w:left w:val="single" w:sz="4" w:space="0" w:color="FFFFFF"/>
              <w:bottom w:val="single" w:sz="4" w:space="0" w:color="FFFFFF"/>
              <w:right w:val="single" w:sz="4" w:space="0" w:color="FFFFFF"/>
            </w:tcBorders>
            <w:shd w:val="clear" w:color="DCE6F1" w:fill="DCE6F1"/>
            <w:vAlign w:val="center"/>
            <w:hideMark/>
          </w:tcPr>
          <w:p w:rsidR="00090E64" w:rsidRPr="008837D4" w:rsidRDefault="00090E64" w:rsidP="00B46760">
            <w:pPr>
              <w:spacing w:after="0" w:line="240" w:lineRule="auto"/>
              <w:jc w:val="both"/>
              <w:rPr>
                <w:rFonts w:ascii="Verdana" w:eastAsia="Times New Roman" w:hAnsi="Verdana" w:cs="Times New Roman"/>
                <w:color w:val="000000"/>
                <w:sz w:val="20"/>
                <w:szCs w:val="20"/>
                <w:lang w:eastAsia="es-CO"/>
              </w:rPr>
            </w:pPr>
            <w:r w:rsidRPr="008837D4">
              <w:rPr>
                <w:rFonts w:ascii="Verdana" w:eastAsia="Times New Roman" w:hAnsi="Verdana" w:cs="Times New Roman"/>
                <w:color w:val="000000"/>
                <w:sz w:val="20"/>
                <w:szCs w:val="20"/>
                <w:lang w:eastAsia="es-CO"/>
              </w:rPr>
              <w:t>Convenio Interadministrativo de Cooperación</w:t>
            </w:r>
          </w:p>
        </w:tc>
        <w:tc>
          <w:tcPr>
            <w:tcW w:w="1092" w:type="pct"/>
            <w:tcBorders>
              <w:top w:val="single" w:sz="4" w:space="0" w:color="FFFFFF"/>
              <w:left w:val="single" w:sz="4" w:space="0" w:color="FFFFFF"/>
              <w:bottom w:val="single" w:sz="4" w:space="0" w:color="FFFFFF"/>
              <w:right w:val="single" w:sz="4" w:space="0" w:color="FFFFFF"/>
            </w:tcBorders>
            <w:shd w:val="clear" w:color="DCE6F1" w:fill="DCE6F1"/>
            <w:vAlign w:val="center"/>
            <w:hideMark/>
          </w:tcPr>
          <w:p w:rsidR="00090E64" w:rsidRPr="008837D4" w:rsidRDefault="00090E64" w:rsidP="00B46760">
            <w:pPr>
              <w:spacing w:after="0" w:line="240" w:lineRule="auto"/>
              <w:jc w:val="center"/>
              <w:rPr>
                <w:rFonts w:ascii="Verdana" w:eastAsia="Times New Roman" w:hAnsi="Verdana" w:cs="Times New Roman"/>
                <w:color w:val="000000"/>
                <w:sz w:val="20"/>
                <w:szCs w:val="20"/>
                <w:lang w:eastAsia="es-CO"/>
              </w:rPr>
            </w:pPr>
            <w:r w:rsidRPr="008837D4">
              <w:rPr>
                <w:rFonts w:ascii="Verdana" w:eastAsia="Times New Roman" w:hAnsi="Verdana" w:cs="Times New Roman"/>
                <w:color w:val="000000"/>
                <w:sz w:val="20"/>
                <w:szCs w:val="20"/>
                <w:lang w:eastAsia="es-CO"/>
              </w:rPr>
              <w:t>1</w:t>
            </w:r>
          </w:p>
        </w:tc>
      </w:tr>
      <w:tr w:rsidR="00090E64" w:rsidRPr="008837D4" w:rsidTr="00090E64">
        <w:trPr>
          <w:trHeight w:val="300"/>
          <w:jc w:val="center"/>
        </w:trPr>
        <w:tc>
          <w:tcPr>
            <w:tcW w:w="1626" w:type="pct"/>
            <w:vMerge/>
            <w:tcBorders>
              <w:top w:val="single" w:sz="4" w:space="0" w:color="FFFFFF"/>
              <w:left w:val="nil"/>
              <w:bottom w:val="single" w:sz="4" w:space="0" w:color="FFFFFF"/>
              <w:right w:val="single" w:sz="4" w:space="0" w:color="FFFFFF"/>
            </w:tcBorders>
            <w:vAlign w:val="center"/>
            <w:hideMark/>
          </w:tcPr>
          <w:p w:rsidR="00090E64" w:rsidRPr="008837D4" w:rsidRDefault="00090E64" w:rsidP="00B46760">
            <w:pPr>
              <w:spacing w:after="0" w:line="240" w:lineRule="auto"/>
              <w:rPr>
                <w:rFonts w:ascii="Verdana" w:eastAsia="Times New Roman" w:hAnsi="Verdana" w:cs="Times New Roman"/>
                <w:color w:val="000000"/>
                <w:sz w:val="20"/>
                <w:szCs w:val="20"/>
                <w:lang w:eastAsia="es-CO"/>
              </w:rPr>
            </w:pPr>
          </w:p>
        </w:tc>
        <w:tc>
          <w:tcPr>
            <w:tcW w:w="2282" w:type="pct"/>
            <w:tcBorders>
              <w:top w:val="single" w:sz="4" w:space="0" w:color="FFFFFF"/>
              <w:left w:val="single" w:sz="4" w:space="0" w:color="FFFFFF"/>
              <w:bottom w:val="single" w:sz="4" w:space="0" w:color="FFFFFF"/>
              <w:right w:val="single" w:sz="4" w:space="0" w:color="FFFFFF"/>
            </w:tcBorders>
            <w:shd w:val="clear" w:color="B8CCE4" w:fill="B8CCE4"/>
            <w:vAlign w:val="center"/>
            <w:hideMark/>
          </w:tcPr>
          <w:p w:rsidR="00090E64" w:rsidRPr="008837D4" w:rsidRDefault="00090E64" w:rsidP="00B46760">
            <w:pPr>
              <w:spacing w:after="0" w:line="240" w:lineRule="auto"/>
              <w:jc w:val="both"/>
              <w:rPr>
                <w:rFonts w:ascii="Verdana" w:eastAsia="Times New Roman" w:hAnsi="Verdana" w:cs="Times New Roman"/>
                <w:color w:val="000000"/>
                <w:sz w:val="20"/>
                <w:szCs w:val="20"/>
                <w:lang w:eastAsia="es-CO"/>
              </w:rPr>
            </w:pPr>
            <w:r w:rsidRPr="008837D4">
              <w:rPr>
                <w:rFonts w:ascii="Verdana" w:eastAsia="Times New Roman" w:hAnsi="Verdana" w:cs="Times New Roman"/>
                <w:color w:val="000000"/>
                <w:sz w:val="20"/>
                <w:szCs w:val="20"/>
                <w:lang w:eastAsia="es-CO"/>
              </w:rPr>
              <w:t>Convenio Marco</w:t>
            </w:r>
          </w:p>
        </w:tc>
        <w:tc>
          <w:tcPr>
            <w:tcW w:w="1092" w:type="pct"/>
            <w:tcBorders>
              <w:top w:val="single" w:sz="4" w:space="0" w:color="FFFFFF"/>
              <w:left w:val="single" w:sz="4" w:space="0" w:color="FFFFFF"/>
              <w:bottom w:val="single" w:sz="4" w:space="0" w:color="FFFFFF"/>
              <w:right w:val="single" w:sz="4" w:space="0" w:color="FFFFFF"/>
            </w:tcBorders>
            <w:shd w:val="clear" w:color="B8CCE4" w:fill="B8CCE4"/>
            <w:vAlign w:val="center"/>
            <w:hideMark/>
          </w:tcPr>
          <w:p w:rsidR="00090E64" w:rsidRPr="008837D4" w:rsidRDefault="00090E64" w:rsidP="00B46760">
            <w:pPr>
              <w:spacing w:after="0" w:line="240" w:lineRule="auto"/>
              <w:jc w:val="center"/>
              <w:rPr>
                <w:rFonts w:ascii="Verdana" w:eastAsia="Times New Roman" w:hAnsi="Verdana" w:cs="Times New Roman"/>
                <w:color w:val="000000"/>
                <w:sz w:val="20"/>
                <w:szCs w:val="20"/>
                <w:lang w:eastAsia="es-CO"/>
              </w:rPr>
            </w:pPr>
            <w:r w:rsidRPr="008837D4">
              <w:rPr>
                <w:rFonts w:ascii="Verdana" w:eastAsia="Times New Roman" w:hAnsi="Verdana" w:cs="Times New Roman"/>
                <w:color w:val="000000"/>
                <w:sz w:val="20"/>
                <w:szCs w:val="20"/>
                <w:lang w:eastAsia="es-CO"/>
              </w:rPr>
              <w:t>1</w:t>
            </w:r>
          </w:p>
        </w:tc>
      </w:tr>
      <w:tr w:rsidR="00090E64" w:rsidRPr="008837D4" w:rsidTr="00090E64">
        <w:trPr>
          <w:trHeight w:val="300"/>
          <w:jc w:val="center"/>
        </w:trPr>
        <w:tc>
          <w:tcPr>
            <w:tcW w:w="1626" w:type="pct"/>
            <w:vMerge/>
            <w:tcBorders>
              <w:top w:val="single" w:sz="4" w:space="0" w:color="FFFFFF"/>
              <w:left w:val="nil"/>
              <w:bottom w:val="single" w:sz="4" w:space="0" w:color="FFFFFF"/>
              <w:right w:val="single" w:sz="4" w:space="0" w:color="FFFFFF"/>
            </w:tcBorders>
            <w:vAlign w:val="center"/>
            <w:hideMark/>
          </w:tcPr>
          <w:p w:rsidR="00090E64" w:rsidRPr="008837D4" w:rsidRDefault="00090E64" w:rsidP="00B46760">
            <w:pPr>
              <w:spacing w:after="0" w:line="240" w:lineRule="auto"/>
              <w:rPr>
                <w:rFonts w:ascii="Verdana" w:eastAsia="Times New Roman" w:hAnsi="Verdana" w:cs="Times New Roman"/>
                <w:color w:val="000000"/>
                <w:sz w:val="20"/>
                <w:szCs w:val="20"/>
                <w:lang w:eastAsia="es-CO"/>
              </w:rPr>
            </w:pPr>
          </w:p>
        </w:tc>
        <w:tc>
          <w:tcPr>
            <w:tcW w:w="2282" w:type="pct"/>
            <w:tcBorders>
              <w:top w:val="single" w:sz="4" w:space="0" w:color="FFFFFF"/>
              <w:left w:val="single" w:sz="4" w:space="0" w:color="FFFFFF"/>
              <w:bottom w:val="single" w:sz="4" w:space="0" w:color="FFFFFF"/>
              <w:right w:val="single" w:sz="4" w:space="0" w:color="FFFFFF"/>
            </w:tcBorders>
            <w:shd w:val="clear" w:color="DCE6F1" w:fill="DCE6F1"/>
            <w:vAlign w:val="center"/>
            <w:hideMark/>
          </w:tcPr>
          <w:p w:rsidR="00090E64" w:rsidRPr="008837D4" w:rsidRDefault="00090E64" w:rsidP="00B46760">
            <w:pPr>
              <w:spacing w:after="0" w:line="240" w:lineRule="auto"/>
              <w:jc w:val="both"/>
              <w:rPr>
                <w:rFonts w:ascii="Verdana" w:eastAsia="Times New Roman" w:hAnsi="Verdana" w:cs="Times New Roman"/>
                <w:color w:val="000000"/>
                <w:sz w:val="20"/>
                <w:szCs w:val="20"/>
                <w:lang w:eastAsia="es-CO"/>
              </w:rPr>
            </w:pPr>
            <w:r w:rsidRPr="008837D4">
              <w:rPr>
                <w:rFonts w:ascii="Verdana" w:eastAsia="Times New Roman" w:hAnsi="Verdana" w:cs="Times New Roman"/>
                <w:color w:val="000000"/>
                <w:sz w:val="20"/>
                <w:szCs w:val="20"/>
                <w:lang w:eastAsia="es-CO"/>
              </w:rPr>
              <w:t>Contrato de Prestación de Servicios</w:t>
            </w:r>
          </w:p>
        </w:tc>
        <w:tc>
          <w:tcPr>
            <w:tcW w:w="1092" w:type="pct"/>
            <w:tcBorders>
              <w:top w:val="single" w:sz="4" w:space="0" w:color="FFFFFF"/>
              <w:left w:val="single" w:sz="4" w:space="0" w:color="FFFFFF"/>
              <w:bottom w:val="single" w:sz="4" w:space="0" w:color="FFFFFF"/>
              <w:right w:val="single" w:sz="4" w:space="0" w:color="FFFFFF"/>
            </w:tcBorders>
            <w:shd w:val="clear" w:color="DCE6F1" w:fill="DCE6F1"/>
            <w:vAlign w:val="center"/>
            <w:hideMark/>
          </w:tcPr>
          <w:p w:rsidR="00090E64" w:rsidRPr="008837D4" w:rsidRDefault="00090E64" w:rsidP="00B46760">
            <w:pPr>
              <w:spacing w:after="0" w:line="240" w:lineRule="auto"/>
              <w:jc w:val="center"/>
              <w:rPr>
                <w:rFonts w:ascii="Verdana" w:eastAsia="Times New Roman" w:hAnsi="Verdana" w:cs="Times New Roman"/>
                <w:color w:val="000000"/>
                <w:sz w:val="20"/>
                <w:szCs w:val="20"/>
                <w:lang w:eastAsia="es-CO"/>
              </w:rPr>
            </w:pPr>
            <w:r w:rsidRPr="008837D4">
              <w:rPr>
                <w:rFonts w:ascii="Verdana" w:eastAsia="Times New Roman" w:hAnsi="Verdana" w:cs="Times New Roman"/>
                <w:color w:val="000000"/>
                <w:sz w:val="20"/>
                <w:szCs w:val="20"/>
                <w:lang w:eastAsia="es-CO"/>
              </w:rPr>
              <w:t>366</w:t>
            </w:r>
          </w:p>
        </w:tc>
      </w:tr>
      <w:tr w:rsidR="00090E64" w:rsidRPr="008837D4" w:rsidTr="00090E64">
        <w:trPr>
          <w:trHeight w:val="300"/>
          <w:jc w:val="center"/>
        </w:trPr>
        <w:tc>
          <w:tcPr>
            <w:tcW w:w="1626" w:type="pct"/>
            <w:vMerge w:val="restart"/>
            <w:tcBorders>
              <w:top w:val="single" w:sz="4" w:space="0" w:color="FFFFFF"/>
              <w:left w:val="nil"/>
              <w:bottom w:val="single" w:sz="4" w:space="0" w:color="FFFFFF"/>
              <w:right w:val="single" w:sz="4" w:space="0" w:color="FFFFFF"/>
            </w:tcBorders>
            <w:shd w:val="clear" w:color="B8CCE4" w:fill="B8CCE4"/>
            <w:vAlign w:val="center"/>
            <w:hideMark/>
          </w:tcPr>
          <w:p w:rsidR="00090E64" w:rsidRPr="008837D4" w:rsidRDefault="00090E64" w:rsidP="00B46760">
            <w:pPr>
              <w:spacing w:after="0" w:line="240" w:lineRule="auto"/>
              <w:jc w:val="center"/>
              <w:rPr>
                <w:rFonts w:ascii="Verdana" w:eastAsia="Times New Roman" w:hAnsi="Verdana" w:cs="Times New Roman"/>
                <w:color w:val="000000"/>
                <w:sz w:val="20"/>
                <w:szCs w:val="20"/>
                <w:lang w:eastAsia="es-CO"/>
              </w:rPr>
            </w:pPr>
            <w:r w:rsidRPr="008837D4">
              <w:rPr>
                <w:rFonts w:ascii="Verdana" w:eastAsia="Times New Roman" w:hAnsi="Verdana" w:cs="Times New Roman"/>
                <w:color w:val="000000"/>
                <w:sz w:val="20"/>
                <w:szCs w:val="20"/>
                <w:lang w:eastAsia="es-CO"/>
              </w:rPr>
              <w:t xml:space="preserve">SELECCIÓN ABREVIADA </w:t>
            </w:r>
          </w:p>
        </w:tc>
        <w:tc>
          <w:tcPr>
            <w:tcW w:w="2282" w:type="pct"/>
            <w:tcBorders>
              <w:top w:val="single" w:sz="4" w:space="0" w:color="FFFFFF"/>
              <w:left w:val="single" w:sz="4" w:space="0" w:color="FFFFFF"/>
              <w:bottom w:val="single" w:sz="4" w:space="0" w:color="FFFFFF"/>
              <w:right w:val="single" w:sz="4" w:space="0" w:color="FFFFFF"/>
            </w:tcBorders>
            <w:shd w:val="clear" w:color="B8CCE4" w:fill="B8CCE4"/>
            <w:vAlign w:val="center"/>
            <w:hideMark/>
          </w:tcPr>
          <w:p w:rsidR="00090E64" w:rsidRPr="008837D4" w:rsidRDefault="00090E64" w:rsidP="00B46760">
            <w:pPr>
              <w:spacing w:after="0" w:line="240" w:lineRule="auto"/>
              <w:rPr>
                <w:rFonts w:ascii="Calibri" w:eastAsia="Times New Roman" w:hAnsi="Calibri" w:cs="Times New Roman"/>
                <w:color w:val="000000"/>
                <w:lang w:eastAsia="es-CO"/>
              </w:rPr>
            </w:pPr>
            <w:r w:rsidRPr="008837D4">
              <w:rPr>
                <w:rFonts w:ascii="Calibri" w:eastAsia="Times New Roman" w:hAnsi="Calibri" w:cs="Times New Roman"/>
                <w:color w:val="000000"/>
                <w:lang w:eastAsia="es-CO"/>
              </w:rPr>
              <w:t>Contrato de Prestación de Servicios</w:t>
            </w:r>
          </w:p>
        </w:tc>
        <w:tc>
          <w:tcPr>
            <w:tcW w:w="1092" w:type="pct"/>
            <w:tcBorders>
              <w:top w:val="single" w:sz="4" w:space="0" w:color="FFFFFF"/>
              <w:left w:val="single" w:sz="4" w:space="0" w:color="FFFFFF"/>
              <w:bottom w:val="single" w:sz="4" w:space="0" w:color="FFFFFF"/>
              <w:right w:val="single" w:sz="4" w:space="0" w:color="FFFFFF"/>
            </w:tcBorders>
            <w:shd w:val="clear" w:color="B8CCE4" w:fill="B8CCE4"/>
            <w:vAlign w:val="center"/>
            <w:hideMark/>
          </w:tcPr>
          <w:p w:rsidR="00090E64" w:rsidRPr="008837D4" w:rsidRDefault="00090E64" w:rsidP="00B46760">
            <w:pPr>
              <w:spacing w:after="0" w:line="240" w:lineRule="auto"/>
              <w:jc w:val="center"/>
              <w:rPr>
                <w:rFonts w:ascii="Verdana" w:eastAsia="Times New Roman" w:hAnsi="Verdana" w:cs="Times New Roman"/>
                <w:color w:val="000000"/>
                <w:sz w:val="20"/>
                <w:szCs w:val="20"/>
                <w:lang w:eastAsia="es-CO"/>
              </w:rPr>
            </w:pPr>
            <w:r w:rsidRPr="008837D4">
              <w:rPr>
                <w:rFonts w:ascii="Verdana" w:eastAsia="Times New Roman" w:hAnsi="Verdana" w:cs="Times New Roman"/>
                <w:color w:val="000000"/>
                <w:sz w:val="20"/>
                <w:szCs w:val="20"/>
                <w:lang w:eastAsia="es-CO"/>
              </w:rPr>
              <w:t>5</w:t>
            </w:r>
          </w:p>
        </w:tc>
      </w:tr>
      <w:tr w:rsidR="00090E64" w:rsidRPr="008837D4" w:rsidTr="00090E64">
        <w:trPr>
          <w:trHeight w:val="300"/>
          <w:jc w:val="center"/>
        </w:trPr>
        <w:tc>
          <w:tcPr>
            <w:tcW w:w="1626" w:type="pct"/>
            <w:vMerge/>
            <w:tcBorders>
              <w:top w:val="single" w:sz="4" w:space="0" w:color="FFFFFF"/>
              <w:left w:val="nil"/>
              <w:bottom w:val="single" w:sz="4" w:space="0" w:color="FFFFFF"/>
              <w:right w:val="single" w:sz="4" w:space="0" w:color="FFFFFF"/>
            </w:tcBorders>
            <w:vAlign w:val="center"/>
            <w:hideMark/>
          </w:tcPr>
          <w:p w:rsidR="00090E64" w:rsidRPr="008837D4" w:rsidRDefault="00090E64" w:rsidP="00B46760">
            <w:pPr>
              <w:spacing w:after="0" w:line="240" w:lineRule="auto"/>
              <w:rPr>
                <w:rFonts w:ascii="Verdana" w:eastAsia="Times New Roman" w:hAnsi="Verdana" w:cs="Times New Roman"/>
                <w:color w:val="000000"/>
                <w:sz w:val="20"/>
                <w:szCs w:val="20"/>
                <w:lang w:eastAsia="es-CO"/>
              </w:rPr>
            </w:pPr>
          </w:p>
        </w:tc>
        <w:tc>
          <w:tcPr>
            <w:tcW w:w="2282" w:type="pct"/>
            <w:tcBorders>
              <w:top w:val="single" w:sz="4" w:space="0" w:color="FFFFFF"/>
              <w:left w:val="single" w:sz="4" w:space="0" w:color="FFFFFF"/>
              <w:bottom w:val="single" w:sz="4" w:space="0" w:color="FFFFFF"/>
              <w:right w:val="single" w:sz="4" w:space="0" w:color="FFFFFF"/>
            </w:tcBorders>
            <w:shd w:val="clear" w:color="DCE6F1" w:fill="DCE6F1"/>
            <w:vAlign w:val="center"/>
            <w:hideMark/>
          </w:tcPr>
          <w:p w:rsidR="00090E64" w:rsidRPr="008837D4" w:rsidRDefault="00090E64" w:rsidP="00B46760">
            <w:pPr>
              <w:spacing w:after="0" w:line="240" w:lineRule="auto"/>
              <w:rPr>
                <w:rFonts w:ascii="Calibri" w:eastAsia="Times New Roman" w:hAnsi="Calibri" w:cs="Times New Roman"/>
                <w:color w:val="000000"/>
                <w:lang w:eastAsia="es-CO"/>
              </w:rPr>
            </w:pPr>
            <w:r w:rsidRPr="008837D4">
              <w:rPr>
                <w:rFonts w:ascii="Calibri" w:eastAsia="Times New Roman" w:hAnsi="Calibri" w:cs="Times New Roman"/>
                <w:color w:val="000000"/>
                <w:lang w:eastAsia="es-CO"/>
              </w:rPr>
              <w:t>Acuerdo Marco de Precios</w:t>
            </w:r>
          </w:p>
        </w:tc>
        <w:tc>
          <w:tcPr>
            <w:tcW w:w="1092" w:type="pct"/>
            <w:tcBorders>
              <w:top w:val="single" w:sz="4" w:space="0" w:color="FFFFFF"/>
              <w:left w:val="single" w:sz="4" w:space="0" w:color="FFFFFF"/>
              <w:bottom w:val="single" w:sz="4" w:space="0" w:color="FFFFFF"/>
              <w:right w:val="single" w:sz="4" w:space="0" w:color="FFFFFF"/>
            </w:tcBorders>
            <w:shd w:val="clear" w:color="DCE6F1" w:fill="DCE6F1"/>
            <w:vAlign w:val="center"/>
            <w:hideMark/>
          </w:tcPr>
          <w:p w:rsidR="00090E64" w:rsidRPr="008837D4" w:rsidRDefault="00090E64" w:rsidP="00B46760">
            <w:pPr>
              <w:spacing w:after="0" w:line="240" w:lineRule="auto"/>
              <w:jc w:val="center"/>
              <w:rPr>
                <w:rFonts w:ascii="Verdana" w:eastAsia="Times New Roman" w:hAnsi="Verdana" w:cs="Times New Roman"/>
                <w:color w:val="000000"/>
                <w:sz w:val="20"/>
                <w:szCs w:val="20"/>
                <w:lang w:eastAsia="es-CO"/>
              </w:rPr>
            </w:pPr>
            <w:r w:rsidRPr="008837D4">
              <w:rPr>
                <w:rFonts w:ascii="Verdana" w:eastAsia="Times New Roman" w:hAnsi="Verdana" w:cs="Times New Roman"/>
                <w:color w:val="000000"/>
                <w:sz w:val="20"/>
                <w:szCs w:val="20"/>
                <w:lang w:eastAsia="es-CO"/>
              </w:rPr>
              <w:t>3</w:t>
            </w:r>
          </w:p>
        </w:tc>
      </w:tr>
      <w:tr w:rsidR="00090E64" w:rsidRPr="008837D4" w:rsidTr="00090E64">
        <w:trPr>
          <w:trHeight w:val="300"/>
          <w:jc w:val="center"/>
        </w:trPr>
        <w:tc>
          <w:tcPr>
            <w:tcW w:w="1626" w:type="pct"/>
            <w:vMerge/>
            <w:tcBorders>
              <w:top w:val="single" w:sz="4" w:space="0" w:color="FFFFFF"/>
              <w:left w:val="nil"/>
              <w:bottom w:val="single" w:sz="4" w:space="0" w:color="FFFFFF"/>
              <w:right w:val="single" w:sz="4" w:space="0" w:color="FFFFFF"/>
            </w:tcBorders>
            <w:vAlign w:val="center"/>
            <w:hideMark/>
          </w:tcPr>
          <w:p w:rsidR="00090E64" w:rsidRPr="008837D4" w:rsidRDefault="00090E64" w:rsidP="00B46760">
            <w:pPr>
              <w:spacing w:after="0" w:line="240" w:lineRule="auto"/>
              <w:rPr>
                <w:rFonts w:ascii="Verdana" w:eastAsia="Times New Roman" w:hAnsi="Verdana" w:cs="Times New Roman"/>
                <w:color w:val="000000"/>
                <w:sz w:val="20"/>
                <w:szCs w:val="20"/>
                <w:lang w:eastAsia="es-CO"/>
              </w:rPr>
            </w:pPr>
          </w:p>
        </w:tc>
        <w:tc>
          <w:tcPr>
            <w:tcW w:w="2282" w:type="pct"/>
            <w:tcBorders>
              <w:top w:val="single" w:sz="4" w:space="0" w:color="FFFFFF"/>
              <w:left w:val="single" w:sz="4" w:space="0" w:color="FFFFFF"/>
              <w:bottom w:val="single" w:sz="4" w:space="0" w:color="FFFFFF"/>
              <w:right w:val="single" w:sz="4" w:space="0" w:color="FFFFFF"/>
            </w:tcBorders>
            <w:shd w:val="clear" w:color="B8CCE4" w:fill="B8CCE4"/>
            <w:vAlign w:val="center"/>
            <w:hideMark/>
          </w:tcPr>
          <w:p w:rsidR="00090E64" w:rsidRPr="008837D4" w:rsidRDefault="00090E64" w:rsidP="00B46760">
            <w:pPr>
              <w:spacing w:after="0" w:line="240" w:lineRule="auto"/>
              <w:rPr>
                <w:rFonts w:ascii="Calibri" w:eastAsia="Times New Roman" w:hAnsi="Calibri" w:cs="Times New Roman"/>
                <w:color w:val="000000"/>
                <w:lang w:eastAsia="es-CO"/>
              </w:rPr>
            </w:pPr>
            <w:r w:rsidRPr="008837D4">
              <w:rPr>
                <w:rFonts w:ascii="Calibri" w:eastAsia="Times New Roman" w:hAnsi="Calibri" w:cs="Times New Roman"/>
                <w:color w:val="000000"/>
                <w:lang w:eastAsia="es-CO"/>
              </w:rPr>
              <w:t>Contrato de Suministro</w:t>
            </w:r>
          </w:p>
        </w:tc>
        <w:tc>
          <w:tcPr>
            <w:tcW w:w="1092" w:type="pct"/>
            <w:tcBorders>
              <w:top w:val="single" w:sz="4" w:space="0" w:color="FFFFFF"/>
              <w:left w:val="single" w:sz="4" w:space="0" w:color="FFFFFF"/>
              <w:bottom w:val="single" w:sz="4" w:space="0" w:color="FFFFFF"/>
              <w:right w:val="single" w:sz="4" w:space="0" w:color="FFFFFF"/>
            </w:tcBorders>
            <w:shd w:val="clear" w:color="B8CCE4" w:fill="B8CCE4"/>
            <w:vAlign w:val="center"/>
            <w:hideMark/>
          </w:tcPr>
          <w:p w:rsidR="00090E64" w:rsidRPr="008837D4" w:rsidRDefault="00090E64" w:rsidP="00B46760">
            <w:pPr>
              <w:spacing w:after="0" w:line="240" w:lineRule="auto"/>
              <w:jc w:val="center"/>
              <w:rPr>
                <w:rFonts w:ascii="Verdana" w:eastAsia="Times New Roman" w:hAnsi="Verdana" w:cs="Times New Roman"/>
                <w:color w:val="000000"/>
                <w:sz w:val="20"/>
                <w:szCs w:val="20"/>
                <w:lang w:eastAsia="es-CO"/>
              </w:rPr>
            </w:pPr>
            <w:r w:rsidRPr="008837D4">
              <w:rPr>
                <w:rFonts w:ascii="Verdana" w:eastAsia="Times New Roman" w:hAnsi="Verdana" w:cs="Times New Roman"/>
                <w:color w:val="000000"/>
                <w:sz w:val="20"/>
                <w:szCs w:val="20"/>
                <w:lang w:eastAsia="es-CO"/>
              </w:rPr>
              <w:t>2</w:t>
            </w:r>
          </w:p>
        </w:tc>
      </w:tr>
      <w:tr w:rsidR="00090E64" w:rsidRPr="008837D4" w:rsidTr="00090E64">
        <w:trPr>
          <w:trHeight w:val="300"/>
          <w:jc w:val="center"/>
        </w:trPr>
        <w:tc>
          <w:tcPr>
            <w:tcW w:w="1626" w:type="pct"/>
            <w:vMerge w:val="restart"/>
            <w:tcBorders>
              <w:top w:val="single" w:sz="4" w:space="0" w:color="FFFFFF"/>
              <w:left w:val="nil"/>
              <w:bottom w:val="single" w:sz="4" w:space="0" w:color="FFFFFF"/>
              <w:right w:val="single" w:sz="4" w:space="0" w:color="FFFFFF"/>
            </w:tcBorders>
            <w:shd w:val="clear" w:color="DCE6F1" w:fill="DCE6F1"/>
            <w:vAlign w:val="center"/>
            <w:hideMark/>
          </w:tcPr>
          <w:p w:rsidR="00090E64" w:rsidRPr="008837D4" w:rsidRDefault="00090E64" w:rsidP="00B46760">
            <w:pPr>
              <w:spacing w:after="0" w:line="240" w:lineRule="auto"/>
              <w:jc w:val="center"/>
              <w:rPr>
                <w:rFonts w:ascii="Verdana" w:eastAsia="Times New Roman" w:hAnsi="Verdana" w:cs="Times New Roman"/>
                <w:color w:val="000000"/>
                <w:sz w:val="20"/>
                <w:szCs w:val="20"/>
                <w:lang w:eastAsia="es-CO"/>
              </w:rPr>
            </w:pPr>
            <w:r w:rsidRPr="008837D4">
              <w:rPr>
                <w:rFonts w:ascii="Verdana" w:eastAsia="Times New Roman" w:hAnsi="Verdana" w:cs="Times New Roman"/>
                <w:color w:val="000000"/>
                <w:sz w:val="20"/>
                <w:szCs w:val="20"/>
                <w:lang w:eastAsia="es-CO"/>
              </w:rPr>
              <w:t>PROCESO DE MINIMA CUANTIA</w:t>
            </w:r>
          </w:p>
        </w:tc>
        <w:tc>
          <w:tcPr>
            <w:tcW w:w="2282" w:type="pct"/>
            <w:vMerge w:val="restart"/>
            <w:tcBorders>
              <w:top w:val="single" w:sz="4" w:space="0" w:color="FFFFFF"/>
              <w:left w:val="single" w:sz="4" w:space="0" w:color="FFFFFF"/>
              <w:bottom w:val="single" w:sz="4" w:space="0" w:color="FFFFFF"/>
              <w:right w:val="single" w:sz="4" w:space="0" w:color="FFFFFF"/>
            </w:tcBorders>
            <w:shd w:val="clear" w:color="DCE6F1" w:fill="DCE6F1"/>
            <w:vAlign w:val="center"/>
            <w:hideMark/>
          </w:tcPr>
          <w:p w:rsidR="00090E64" w:rsidRPr="008837D4" w:rsidRDefault="00090E64" w:rsidP="00B46760">
            <w:pPr>
              <w:spacing w:after="0" w:line="240" w:lineRule="auto"/>
              <w:rPr>
                <w:rFonts w:ascii="Verdana" w:eastAsia="Times New Roman" w:hAnsi="Verdana" w:cs="Times New Roman"/>
                <w:color w:val="000000"/>
                <w:sz w:val="20"/>
                <w:szCs w:val="20"/>
                <w:lang w:eastAsia="es-CO"/>
              </w:rPr>
            </w:pPr>
            <w:r w:rsidRPr="008837D4">
              <w:rPr>
                <w:rFonts w:ascii="Verdana" w:eastAsia="Times New Roman" w:hAnsi="Verdana" w:cs="Times New Roman"/>
                <w:color w:val="000000"/>
                <w:sz w:val="20"/>
                <w:szCs w:val="20"/>
                <w:lang w:eastAsia="es-CO"/>
              </w:rPr>
              <w:t>Aceptación a la Oferta</w:t>
            </w:r>
          </w:p>
        </w:tc>
        <w:tc>
          <w:tcPr>
            <w:tcW w:w="1092" w:type="pct"/>
            <w:vMerge w:val="restart"/>
            <w:tcBorders>
              <w:top w:val="single" w:sz="4" w:space="0" w:color="FFFFFF"/>
              <w:left w:val="single" w:sz="4" w:space="0" w:color="FFFFFF"/>
              <w:bottom w:val="single" w:sz="4" w:space="0" w:color="FFFFFF"/>
              <w:right w:val="single" w:sz="4" w:space="0" w:color="FFFFFF"/>
            </w:tcBorders>
            <w:shd w:val="clear" w:color="DCE6F1" w:fill="DCE6F1"/>
            <w:vAlign w:val="center"/>
            <w:hideMark/>
          </w:tcPr>
          <w:p w:rsidR="00090E64" w:rsidRPr="008837D4" w:rsidRDefault="00090E64" w:rsidP="00B46760">
            <w:pPr>
              <w:spacing w:after="0" w:line="240" w:lineRule="auto"/>
              <w:jc w:val="center"/>
              <w:rPr>
                <w:rFonts w:ascii="Verdana" w:eastAsia="Times New Roman" w:hAnsi="Verdana" w:cs="Times New Roman"/>
                <w:color w:val="000000"/>
                <w:sz w:val="20"/>
                <w:szCs w:val="20"/>
                <w:lang w:eastAsia="es-CO"/>
              </w:rPr>
            </w:pPr>
            <w:r w:rsidRPr="008837D4">
              <w:rPr>
                <w:rFonts w:ascii="Verdana" w:eastAsia="Times New Roman" w:hAnsi="Verdana" w:cs="Times New Roman"/>
                <w:color w:val="000000"/>
                <w:sz w:val="20"/>
                <w:szCs w:val="20"/>
                <w:lang w:eastAsia="es-CO"/>
              </w:rPr>
              <w:t>16</w:t>
            </w:r>
          </w:p>
        </w:tc>
      </w:tr>
      <w:tr w:rsidR="00090E64" w:rsidRPr="008837D4" w:rsidTr="00090E64">
        <w:trPr>
          <w:trHeight w:val="300"/>
          <w:jc w:val="center"/>
        </w:trPr>
        <w:tc>
          <w:tcPr>
            <w:tcW w:w="1626" w:type="pct"/>
            <w:vMerge/>
            <w:tcBorders>
              <w:top w:val="single" w:sz="4" w:space="0" w:color="FFFFFF"/>
              <w:left w:val="nil"/>
              <w:bottom w:val="single" w:sz="4" w:space="0" w:color="FFFFFF"/>
              <w:right w:val="single" w:sz="4" w:space="0" w:color="FFFFFF"/>
            </w:tcBorders>
            <w:vAlign w:val="center"/>
            <w:hideMark/>
          </w:tcPr>
          <w:p w:rsidR="00090E64" w:rsidRPr="008837D4" w:rsidRDefault="00090E64" w:rsidP="00B46760">
            <w:pPr>
              <w:spacing w:after="0" w:line="240" w:lineRule="auto"/>
              <w:rPr>
                <w:rFonts w:ascii="Verdana" w:eastAsia="Times New Roman" w:hAnsi="Verdana" w:cs="Times New Roman"/>
                <w:color w:val="000000"/>
                <w:sz w:val="20"/>
                <w:szCs w:val="20"/>
                <w:lang w:eastAsia="es-CO"/>
              </w:rPr>
            </w:pPr>
          </w:p>
        </w:tc>
        <w:tc>
          <w:tcPr>
            <w:tcW w:w="2282" w:type="pct"/>
            <w:vMerge/>
            <w:tcBorders>
              <w:top w:val="single" w:sz="4" w:space="0" w:color="FFFFFF"/>
              <w:left w:val="single" w:sz="4" w:space="0" w:color="FFFFFF"/>
              <w:bottom w:val="single" w:sz="4" w:space="0" w:color="FFFFFF"/>
              <w:right w:val="single" w:sz="4" w:space="0" w:color="FFFFFF"/>
            </w:tcBorders>
            <w:vAlign w:val="center"/>
            <w:hideMark/>
          </w:tcPr>
          <w:p w:rsidR="00090E64" w:rsidRPr="008837D4" w:rsidRDefault="00090E64" w:rsidP="00B46760">
            <w:pPr>
              <w:spacing w:after="0" w:line="240" w:lineRule="auto"/>
              <w:rPr>
                <w:rFonts w:ascii="Verdana" w:eastAsia="Times New Roman" w:hAnsi="Verdana" w:cs="Times New Roman"/>
                <w:color w:val="000000"/>
                <w:sz w:val="20"/>
                <w:szCs w:val="20"/>
                <w:lang w:eastAsia="es-CO"/>
              </w:rPr>
            </w:pPr>
          </w:p>
        </w:tc>
        <w:tc>
          <w:tcPr>
            <w:tcW w:w="1092" w:type="pct"/>
            <w:vMerge/>
            <w:tcBorders>
              <w:top w:val="single" w:sz="4" w:space="0" w:color="FFFFFF"/>
              <w:left w:val="single" w:sz="4" w:space="0" w:color="FFFFFF"/>
              <w:bottom w:val="single" w:sz="4" w:space="0" w:color="FFFFFF"/>
              <w:right w:val="single" w:sz="4" w:space="0" w:color="FFFFFF"/>
            </w:tcBorders>
            <w:vAlign w:val="center"/>
            <w:hideMark/>
          </w:tcPr>
          <w:p w:rsidR="00090E64" w:rsidRPr="008837D4" w:rsidRDefault="00090E64" w:rsidP="00B46760">
            <w:pPr>
              <w:spacing w:after="0" w:line="240" w:lineRule="auto"/>
              <w:rPr>
                <w:rFonts w:ascii="Verdana" w:eastAsia="Times New Roman" w:hAnsi="Verdana" w:cs="Times New Roman"/>
                <w:color w:val="000000"/>
                <w:sz w:val="20"/>
                <w:szCs w:val="20"/>
                <w:lang w:eastAsia="es-CO"/>
              </w:rPr>
            </w:pPr>
          </w:p>
        </w:tc>
      </w:tr>
      <w:tr w:rsidR="00090E64" w:rsidRPr="008837D4" w:rsidTr="00090E64">
        <w:trPr>
          <w:trHeight w:val="300"/>
          <w:jc w:val="center"/>
        </w:trPr>
        <w:tc>
          <w:tcPr>
            <w:tcW w:w="1626" w:type="pct"/>
            <w:vMerge/>
            <w:tcBorders>
              <w:top w:val="single" w:sz="4" w:space="0" w:color="FFFFFF"/>
              <w:left w:val="nil"/>
              <w:bottom w:val="single" w:sz="4" w:space="0" w:color="FFFFFF"/>
              <w:right w:val="single" w:sz="4" w:space="0" w:color="FFFFFF"/>
            </w:tcBorders>
            <w:vAlign w:val="center"/>
            <w:hideMark/>
          </w:tcPr>
          <w:p w:rsidR="00090E64" w:rsidRPr="008837D4" w:rsidRDefault="00090E64" w:rsidP="00B46760">
            <w:pPr>
              <w:spacing w:after="0" w:line="240" w:lineRule="auto"/>
              <w:rPr>
                <w:rFonts w:ascii="Verdana" w:eastAsia="Times New Roman" w:hAnsi="Verdana" w:cs="Times New Roman"/>
                <w:color w:val="000000"/>
                <w:sz w:val="20"/>
                <w:szCs w:val="20"/>
                <w:lang w:eastAsia="es-CO"/>
              </w:rPr>
            </w:pPr>
          </w:p>
        </w:tc>
        <w:tc>
          <w:tcPr>
            <w:tcW w:w="2282" w:type="pct"/>
            <w:vMerge/>
            <w:tcBorders>
              <w:top w:val="single" w:sz="4" w:space="0" w:color="FFFFFF"/>
              <w:left w:val="single" w:sz="4" w:space="0" w:color="FFFFFF"/>
              <w:bottom w:val="single" w:sz="4" w:space="0" w:color="FFFFFF"/>
              <w:right w:val="single" w:sz="4" w:space="0" w:color="FFFFFF"/>
            </w:tcBorders>
            <w:vAlign w:val="center"/>
            <w:hideMark/>
          </w:tcPr>
          <w:p w:rsidR="00090E64" w:rsidRPr="008837D4" w:rsidRDefault="00090E64" w:rsidP="00B46760">
            <w:pPr>
              <w:spacing w:after="0" w:line="240" w:lineRule="auto"/>
              <w:rPr>
                <w:rFonts w:ascii="Verdana" w:eastAsia="Times New Roman" w:hAnsi="Verdana" w:cs="Times New Roman"/>
                <w:color w:val="000000"/>
                <w:sz w:val="20"/>
                <w:szCs w:val="20"/>
                <w:lang w:eastAsia="es-CO"/>
              </w:rPr>
            </w:pPr>
          </w:p>
        </w:tc>
        <w:tc>
          <w:tcPr>
            <w:tcW w:w="1092" w:type="pct"/>
            <w:vMerge/>
            <w:tcBorders>
              <w:top w:val="single" w:sz="4" w:space="0" w:color="FFFFFF"/>
              <w:left w:val="single" w:sz="4" w:space="0" w:color="FFFFFF"/>
              <w:bottom w:val="single" w:sz="4" w:space="0" w:color="FFFFFF"/>
              <w:right w:val="single" w:sz="4" w:space="0" w:color="FFFFFF"/>
            </w:tcBorders>
            <w:vAlign w:val="center"/>
            <w:hideMark/>
          </w:tcPr>
          <w:p w:rsidR="00090E64" w:rsidRPr="008837D4" w:rsidRDefault="00090E64" w:rsidP="00B46760">
            <w:pPr>
              <w:spacing w:after="0" w:line="240" w:lineRule="auto"/>
              <w:rPr>
                <w:rFonts w:ascii="Verdana" w:eastAsia="Times New Roman" w:hAnsi="Verdana" w:cs="Times New Roman"/>
                <w:color w:val="000000"/>
                <w:sz w:val="20"/>
                <w:szCs w:val="20"/>
                <w:lang w:eastAsia="es-CO"/>
              </w:rPr>
            </w:pPr>
          </w:p>
        </w:tc>
      </w:tr>
      <w:tr w:rsidR="00090E64" w:rsidRPr="008837D4" w:rsidTr="00090E64">
        <w:trPr>
          <w:trHeight w:val="765"/>
          <w:jc w:val="center"/>
        </w:trPr>
        <w:tc>
          <w:tcPr>
            <w:tcW w:w="1626" w:type="pct"/>
            <w:vMerge w:val="restart"/>
            <w:tcBorders>
              <w:top w:val="single" w:sz="4" w:space="0" w:color="FFFFFF"/>
              <w:left w:val="nil"/>
              <w:bottom w:val="single" w:sz="4" w:space="0" w:color="FFFFFF"/>
              <w:right w:val="single" w:sz="4" w:space="0" w:color="FFFFFF"/>
            </w:tcBorders>
            <w:shd w:val="clear" w:color="B8CCE4" w:fill="B8CCE4"/>
            <w:vAlign w:val="center"/>
            <w:hideMark/>
          </w:tcPr>
          <w:p w:rsidR="00090E64" w:rsidRPr="008837D4" w:rsidRDefault="00090E64" w:rsidP="00B46760">
            <w:pPr>
              <w:spacing w:after="0" w:line="240" w:lineRule="auto"/>
              <w:jc w:val="center"/>
              <w:rPr>
                <w:rFonts w:ascii="Verdana" w:eastAsia="Times New Roman" w:hAnsi="Verdana" w:cs="Times New Roman"/>
                <w:color w:val="000000"/>
                <w:sz w:val="20"/>
                <w:szCs w:val="20"/>
                <w:lang w:eastAsia="es-CO"/>
              </w:rPr>
            </w:pPr>
            <w:r w:rsidRPr="008837D4">
              <w:rPr>
                <w:rFonts w:ascii="Verdana" w:eastAsia="Times New Roman" w:hAnsi="Verdana" w:cs="Times New Roman"/>
                <w:color w:val="000000"/>
                <w:sz w:val="20"/>
                <w:szCs w:val="20"/>
                <w:lang w:eastAsia="es-CO"/>
              </w:rPr>
              <w:t>LICITACIÓN PUBLICA</w:t>
            </w:r>
          </w:p>
        </w:tc>
        <w:tc>
          <w:tcPr>
            <w:tcW w:w="2282" w:type="pct"/>
            <w:tcBorders>
              <w:top w:val="single" w:sz="4" w:space="0" w:color="FFFFFF"/>
              <w:left w:val="single" w:sz="4" w:space="0" w:color="FFFFFF"/>
              <w:bottom w:val="single" w:sz="4" w:space="0" w:color="FFFFFF"/>
              <w:right w:val="single" w:sz="4" w:space="0" w:color="FFFFFF"/>
            </w:tcBorders>
            <w:shd w:val="clear" w:color="B8CCE4" w:fill="B8CCE4"/>
            <w:vAlign w:val="center"/>
            <w:hideMark/>
          </w:tcPr>
          <w:p w:rsidR="00090E64" w:rsidRPr="008837D4" w:rsidRDefault="00090E64" w:rsidP="00B46760">
            <w:pPr>
              <w:spacing w:after="0" w:line="240" w:lineRule="auto"/>
              <w:jc w:val="both"/>
              <w:rPr>
                <w:rFonts w:ascii="Verdana" w:eastAsia="Times New Roman" w:hAnsi="Verdana" w:cs="Times New Roman"/>
                <w:color w:val="000000"/>
                <w:sz w:val="20"/>
                <w:szCs w:val="20"/>
                <w:lang w:eastAsia="es-CO"/>
              </w:rPr>
            </w:pPr>
            <w:r w:rsidRPr="008837D4">
              <w:rPr>
                <w:rFonts w:ascii="Verdana" w:eastAsia="Times New Roman" w:hAnsi="Verdana" w:cs="Times New Roman"/>
                <w:color w:val="000000"/>
                <w:sz w:val="20"/>
                <w:szCs w:val="20"/>
                <w:lang w:eastAsia="es-CO"/>
              </w:rPr>
              <w:t>Contrato de Prestación de Servicios</w:t>
            </w:r>
          </w:p>
        </w:tc>
        <w:tc>
          <w:tcPr>
            <w:tcW w:w="1092" w:type="pct"/>
            <w:tcBorders>
              <w:top w:val="single" w:sz="4" w:space="0" w:color="FFFFFF"/>
              <w:left w:val="single" w:sz="4" w:space="0" w:color="FFFFFF"/>
              <w:bottom w:val="single" w:sz="4" w:space="0" w:color="FFFFFF"/>
              <w:right w:val="single" w:sz="4" w:space="0" w:color="FFFFFF"/>
            </w:tcBorders>
            <w:shd w:val="clear" w:color="B8CCE4" w:fill="B8CCE4"/>
            <w:vAlign w:val="center"/>
            <w:hideMark/>
          </w:tcPr>
          <w:p w:rsidR="00090E64" w:rsidRPr="008837D4" w:rsidRDefault="00090E64" w:rsidP="00B46760">
            <w:pPr>
              <w:spacing w:after="0" w:line="240" w:lineRule="auto"/>
              <w:jc w:val="center"/>
              <w:rPr>
                <w:rFonts w:ascii="Verdana" w:eastAsia="Times New Roman" w:hAnsi="Verdana" w:cs="Times New Roman"/>
                <w:color w:val="000000"/>
                <w:sz w:val="20"/>
                <w:szCs w:val="20"/>
                <w:lang w:eastAsia="es-CO"/>
              </w:rPr>
            </w:pPr>
            <w:r w:rsidRPr="008837D4">
              <w:rPr>
                <w:rFonts w:ascii="Verdana" w:eastAsia="Times New Roman" w:hAnsi="Verdana" w:cs="Times New Roman"/>
                <w:color w:val="000000"/>
                <w:sz w:val="20"/>
                <w:szCs w:val="20"/>
                <w:lang w:eastAsia="es-CO"/>
              </w:rPr>
              <w:t>1</w:t>
            </w:r>
          </w:p>
        </w:tc>
      </w:tr>
      <w:tr w:rsidR="00090E64" w:rsidRPr="008837D4" w:rsidTr="00090E64">
        <w:trPr>
          <w:trHeight w:val="300"/>
          <w:jc w:val="center"/>
        </w:trPr>
        <w:tc>
          <w:tcPr>
            <w:tcW w:w="1626" w:type="pct"/>
            <w:vMerge/>
            <w:tcBorders>
              <w:top w:val="single" w:sz="4" w:space="0" w:color="FFFFFF"/>
              <w:left w:val="nil"/>
              <w:bottom w:val="single" w:sz="4" w:space="0" w:color="FFFFFF"/>
              <w:right w:val="single" w:sz="4" w:space="0" w:color="FFFFFF"/>
            </w:tcBorders>
            <w:vAlign w:val="center"/>
            <w:hideMark/>
          </w:tcPr>
          <w:p w:rsidR="00090E64" w:rsidRPr="008837D4" w:rsidRDefault="00090E64" w:rsidP="00B46760">
            <w:pPr>
              <w:spacing w:after="0" w:line="240" w:lineRule="auto"/>
              <w:rPr>
                <w:rFonts w:ascii="Verdana" w:eastAsia="Times New Roman" w:hAnsi="Verdana" w:cs="Times New Roman"/>
                <w:color w:val="000000"/>
                <w:sz w:val="20"/>
                <w:szCs w:val="20"/>
                <w:lang w:eastAsia="es-CO"/>
              </w:rPr>
            </w:pPr>
          </w:p>
        </w:tc>
        <w:tc>
          <w:tcPr>
            <w:tcW w:w="2282" w:type="pct"/>
            <w:tcBorders>
              <w:top w:val="single" w:sz="4" w:space="0" w:color="FFFFFF"/>
              <w:left w:val="single" w:sz="4" w:space="0" w:color="FFFFFF"/>
              <w:bottom w:val="single" w:sz="4" w:space="0" w:color="FFFFFF"/>
              <w:right w:val="single" w:sz="4" w:space="0" w:color="FFFFFF"/>
            </w:tcBorders>
            <w:shd w:val="clear" w:color="DCE6F1" w:fill="DCE6F1"/>
            <w:vAlign w:val="center"/>
            <w:hideMark/>
          </w:tcPr>
          <w:p w:rsidR="00090E64" w:rsidRPr="008837D4" w:rsidRDefault="00090E64" w:rsidP="00B46760">
            <w:pPr>
              <w:spacing w:after="0" w:line="240" w:lineRule="auto"/>
              <w:jc w:val="both"/>
              <w:rPr>
                <w:rFonts w:ascii="Verdana" w:eastAsia="Times New Roman" w:hAnsi="Verdana" w:cs="Times New Roman"/>
                <w:color w:val="000000"/>
                <w:sz w:val="20"/>
                <w:szCs w:val="20"/>
                <w:lang w:eastAsia="es-CO"/>
              </w:rPr>
            </w:pPr>
            <w:r w:rsidRPr="008837D4">
              <w:rPr>
                <w:rFonts w:ascii="Verdana" w:eastAsia="Times New Roman" w:hAnsi="Verdana" w:cs="Times New Roman"/>
                <w:color w:val="000000"/>
                <w:sz w:val="20"/>
                <w:szCs w:val="20"/>
                <w:lang w:eastAsia="es-CO"/>
              </w:rPr>
              <w:t>Contrato de Seguros</w:t>
            </w:r>
          </w:p>
        </w:tc>
        <w:tc>
          <w:tcPr>
            <w:tcW w:w="1092" w:type="pct"/>
            <w:tcBorders>
              <w:top w:val="single" w:sz="4" w:space="0" w:color="FFFFFF"/>
              <w:left w:val="single" w:sz="4" w:space="0" w:color="FFFFFF"/>
              <w:bottom w:val="single" w:sz="4" w:space="0" w:color="FFFFFF"/>
              <w:right w:val="single" w:sz="4" w:space="0" w:color="FFFFFF"/>
            </w:tcBorders>
            <w:shd w:val="clear" w:color="DCE6F1" w:fill="DCE6F1"/>
            <w:vAlign w:val="center"/>
            <w:hideMark/>
          </w:tcPr>
          <w:p w:rsidR="00090E64" w:rsidRPr="008837D4" w:rsidRDefault="00090E64" w:rsidP="00B46760">
            <w:pPr>
              <w:spacing w:after="0" w:line="240" w:lineRule="auto"/>
              <w:jc w:val="center"/>
              <w:rPr>
                <w:rFonts w:ascii="Verdana" w:eastAsia="Times New Roman" w:hAnsi="Verdana" w:cs="Times New Roman"/>
                <w:color w:val="000000"/>
                <w:sz w:val="20"/>
                <w:szCs w:val="20"/>
                <w:lang w:eastAsia="es-CO"/>
              </w:rPr>
            </w:pPr>
            <w:r w:rsidRPr="008837D4">
              <w:rPr>
                <w:rFonts w:ascii="Verdana" w:eastAsia="Times New Roman" w:hAnsi="Verdana" w:cs="Times New Roman"/>
                <w:color w:val="000000"/>
                <w:sz w:val="20"/>
                <w:szCs w:val="20"/>
                <w:lang w:eastAsia="es-CO"/>
              </w:rPr>
              <w:t>1</w:t>
            </w:r>
          </w:p>
        </w:tc>
      </w:tr>
      <w:tr w:rsidR="00090E64" w:rsidRPr="008837D4" w:rsidTr="00090E64">
        <w:trPr>
          <w:trHeight w:val="300"/>
          <w:jc w:val="center"/>
        </w:trPr>
        <w:tc>
          <w:tcPr>
            <w:tcW w:w="3908" w:type="pct"/>
            <w:gridSpan w:val="2"/>
            <w:tcBorders>
              <w:top w:val="single" w:sz="4" w:space="0" w:color="FFFFFF"/>
              <w:left w:val="nil"/>
              <w:bottom w:val="nil"/>
              <w:right w:val="single" w:sz="4" w:space="0" w:color="FFFFFF"/>
            </w:tcBorders>
            <w:shd w:val="clear" w:color="B8CCE4" w:fill="B8CCE4"/>
            <w:vAlign w:val="center"/>
            <w:hideMark/>
          </w:tcPr>
          <w:p w:rsidR="00090E64" w:rsidRPr="008837D4" w:rsidRDefault="00090E64" w:rsidP="00B46760">
            <w:pPr>
              <w:spacing w:after="0" w:line="240" w:lineRule="auto"/>
              <w:jc w:val="center"/>
              <w:rPr>
                <w:rFonts w:ascii="Verdana" w:eastAsia="Times New Roman" w:hAnsi="Verdana" w:cs="Times New Roman"/>
                <w:b/>
                <w:bCs/>
                <w:color w:val="000000"/>
                <w:sz w:val="20"/>
                <w:szCs w:val="20"/>
                <w:lang w:eastAsia="es-CO"/>
              </w:rPr>
            </w:pPr>
            <w:r w:rsidRPr="008837D4">
              <w:rPr>
                <w:rFonts w:ascii="Verdana" w:eastAsia="Times New Roman" w:hAnsi="Verdana" w:cs="Times New Roman"/>
                <w:b/>
                <w:bCs/>
                <w:color w:val="000000"/>
                <w:sz w:val="20"/>
                <w:szCs w:val="20"/>
                <w:lang w:eastAsia="es-CO"/>
              </w:rPr>
              <w:t>TOTAL</w:t>
            </w:r>
          </w:p>
        </w:tc>
        <w:tc>
          <w:tcPr>
            <w:tcW w:w="1092" w:type="pct"/>
            <w:tcBorders>
              <w:top w:val="single" w:sz="4" w:space="0" w:color="FFFFFF"/>
              <w:left w:val="single" w:sz="4" w:space="0" w:color="FFFFFF"/>
              <w:bottom w:val="nil"/>
              <w:right w:val="single" w:sz="4" w:space="0" w:color="FFFFFF"/>
            </w:tcBorders>
            <w:shd w:val="clear" w:color="B8CCE4" w:fill="B8CCE4"/>
            <w:vAlign w:val="center"/>
            <w:hideMark/>
          </w:tcPr>
          <w:p w:rsidR="00090E64" w:rsidRPr="008837D4" w:rsidRDefault="00090E64" w:rsidP="00B46760">
            <w:pPr>
              <w:spacing w:after="0" w:line="240" w:lineRule="auto"/>
              <w:jc w:val="center"/>
              <w:rPr>
                <w:rFonts w:ascii="Verdana" w:eastAsia="Times New Roman" w:hAnsi="Verdana" w:cs="Times New Roman"/>
                <w:b/>
                <w:bCs/>
                <w:color w:val="000000"/>
                <w:sz w:val="20"/>
                <w:szCs w:val="20"/>
                <w:lang w:eastAsia="es-CO"/>
              </w:rPr>
            </w:pPr>
            <w:r w:rsidRPr="008837D4">
              <w:rPr>
                <w:rFonts w:ascii="Verdana" w:eastAsia="Times New Roman" w:hAnsi="Verdana" w:cs="Times New Roman"/>
                <w:b/>
                <w:bCs/>
                <w:color w:val="000000"/>
                <w:sz w:val="20"/>
                <w:szCs w:val="20"/>
                <w:lang w:eastAsia="es-CO"/>
              </w:rPr>
              <w:t>422</w:t>
            </w:r>
          </w:p>
        </w:tc>
      </w:tr>
    </w:tbl>
    <w:p w:rsidR="00FC7F0E" w:rsidRDefault="001F35BA" w:rsidP="00090E64">
      <w:pPr>
        <w:spacing w:after="0" w:line="240" w:lineRule="auto"/>
        <w:jc w:val="right"/>
        <w:rPr>
          <w:rFonts w:ascii="Verdana" w:hAnsi="Verdana"/>
          <w:b/>
          <w:color w:val="4F81BD" w:themeColor="accent1"/>
          <w:sz w:val="24"/>
          <w:szCs w:val="24"/>
        </w:rPr>
      </w:pPr>
      <w:r>
        <w:rPr>
          <w:rFonts w:ascii="Verdana" w:hAnsi="Verdana"/>
          <w:b/>
          <w:color w:val="4F81BD" w:themeColor="accent1"/>
          <w:sz w:val="24"/>
          <w:szCs w:val="24"/>
        </w:rPr>
        <w:fldChar w:fldCharType="end"/>
      </w:r>
      <w:r w:rsidR="00090E64" w:rsidRPr="004D0734">
        <w:rPr>
          <w:rFonts w:ascii="Verdana" w:hAnsi="Verdana"/>
          <w:b/>
          <w:sz w:val="20"/>
          <w:szCs w:val="20"/>
        </w:rPr>
        <w:t xml:space="preserve">Tabla 6. </w:t>
      </w:r>
      <w:r w:rsidR="00090E64">
        <w:rPr>
          <w:rFonts w:ascii="Verdana" w:hAnsi="Verdana"/>
          <w:b/>
          <w:sz w:val="20"/>
          <w:szCs w:val="20"/>
        </w:rPr>
        <w:t>Contratación vigencia 2014</w:t>
      </w:r>
    </w:p>
    <w:p w:rsidR="00C206A3" w:rsidRDefault="00C206A3" w:rsidP="00FC7F0E">
      <w:pPr>
        <w:spacing w:after="0" w:line="240" w:lineRule="auto"/>
        <w:jc w:val="both"/>
        <w:rPr>
          <w:rFonts w:ascii="Verdana" w:hAnsi="Verdana"/>
          <w:b/>
          <w:color w:val="4F81BD" w:themeColor="accent1"/>
          <w:sz w:val="24"/>
          <w:szCs w:val="24"/>
        </w:rPr>
      </w:pPr>
    </w:p>
    <w:p w:rsidR="00090E64" w:rsidRDefault="00090E64" w:rsidP="00FC7F0E">
      <w:pPr>
        <w:spacing w:after="0" w:line="240" w:lineRule="auto"/>
        <w:jc w:val="both"/>
        <w:rPr>
          <w:rFonts w:ascii="Verdana" w:hAnsi="Verdana"/>
          <w:b/>
          <w:color w:val="4F81BD" w:themeColor="accent1"/>
          <w:sz w:val="32"/>
          <w:szCs w:val="24"/>
        </w:rPr>
      </w:pPr>
    </w:p>
    <w:p w:rsidR="00FC7F0E" w:rsidRPr="00C16A2F" w:rsidRDefault="00C16A2F" w:rsidP="00FC7F0E">
      <w:pPr>
        <w:spacing w:after="0" w:line="240" w:lineRule="auto"/>
        <w:jc w:val="both"/>
        <w:rPr>
          <w:rFonts w:ascii="Verdana" w:hAnsi="Verdana"/>
          <w:b/>
          <w:color w:val="4F81BD" w:themeColor="accent1"/>
          <w:sz w:val="24"/>
          <w:szCs w:val="24"/>
        </w:rPr>
      </w:pPr>
      <w:r w:rsidRPr="00C16A2F">
        <w:rPr>
          <w:rFonts w:ascii="Verdana" w:hAnsi="Verdana"/>
          <w:b/>
          <w:noProof/>
          <w:color w:val="4F81BD" w:themeColor="accent1"/>
          <w:sz w:val="32"/>
          <w:szCs w:val="24"/>
          <w:lang w:eastAsia="es-CO"/>
        </w:rPr>
        <w:drawing>
          <wp:inline distT="0" distB="0" distL="0" distR="0">
            <wp:extent cx="216024" cy="216024"/>
            <wp:effectExtent l="19050" t="0" r="0" b="0"/>
            <wp:docPr id="473"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5868144" y="2852936"/>
                      <a:chExt cx="216024" cy="216024"/>
                    </a:xfrm>
                  </a:grpSpPr>
                  <a:sp>
                    <a:nvSpPr>
                      <a:cNvPr id="37" name="36 Rectángulo redondeado"/>
                      <a:cNvSpPr/>
                    </a:nvSpPr>
                    <a:spPr>
                      <a:xfrm>
                        <a:off x="5868144" y="2852936"/>
                        <a:ext cx="216024" cy="216024"/>
                      </a:xfrm>
                      <a:prstGeom prst="roundRect">
                        <a:avLst/>
                      </a:prstGeom>
                      <a:gradFill flip="none" rotWithShape="1">
                        <a:gsLst>
                          <a:gs pos="0">
                            <a:srgbClr val="CCECFF">
                              <a:shade val="30000"/>
                              <a:satMod val="115000"/>
                            </a:srgbClr>
                          </a:gs>
                          <a:gs pos="50000">
                            <a:srgbClr val="CCECFF">
                              <a:shade val="67500"/>
                              <a:satMod val="115000"/>
                            </a:srgbClr>
                          </a:gs>
                          <a:gs pos="100000">
                            <a:srgbClr val="CCECFF">
                              <a:shade val="100000"/>
                              <a:satMod val="115000"/>
                            </a:srgb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hAnsi="Verdana"/>
          <w:b/>
          <w:color w:val="4F81BD" w:themeColor="accent1"/>
          <w:sz w:val="32"/>
          <w:szCs w:val="24"/>
        </w:rPr>
        <w:t xml:space="preserve"> </w:t>
      </w:r>
      <w:r w:rsidR="00FC7F0E" w:rsidRPr="00C16A2F">
        <w:rPr>
          <w:rFonts w:ascii="Verdana" w:hAnsi="Verdana"/>
          <w:b/>
          <w:color w:val="4F81BD" w:themeColor="accent1"/>
          <w:sz w:val="24"/>
          <w:szCs w:val="24"/>
        </w:rPr>
        <w:t>IMPACTO DE LA GESTIÓN</w:t>
      </w:r>
      <w:r w:rsidR="00C206A3" w:rsidRPr="00C16A2F">
        <w:rPr>
          <w:rFonts w:ascii="Verdana" w:hAnsi="Verdana"/>
          <w:b/>
          <w:color w:val="4F81BD" w:themeColor="accent1"/>
          <w:sz w:val="24"/>
          <w:szCs w:val="24"/>
        </w:rPr>
        <w:t xml:space="preserve"> EN LA POBLACION</w:t>
      </w:r>
    </w:p>
    <w:p w:rsidR="00C206A3" w:rsidRDefault="00C206A3" w:rsidP="00FC7F0E">
      <w:pPr>
        <w:spacing w:after="0" w:line="240" w:lineRule="auto"/>
        <w:jc w:val="both"/>
        <w:rPr>
          <w:rFonts w:ascii="Verdana" w:hAnsi="Verdana"/>
          <w:sz w:val="24"/>
          <w:szCs w:val="24"/>
        </w:rPr>
      </w:pPr>
    </w:p>
    <w:p w:rsidR="00C206A3" w:rsidRDefault="00C206A3" w:rsidP="00FC7F0E">
      <w:pPr>
        <w:spacing w:after="0" w:line="240" w:lineRule="auto"/>
        <w:jc w:val="both"/>
        <w:rPr>
          <w:rFonts w:ascii="Verdana" w:hAnsi="Verdana"/>
          <w:sz w:val="24"/>
          <w:szCs w:val="24"/>
        </w:rPr>
      </w:pPr>
    </w:p>
    <w:p w:rsidR="00FC7F0E" w:rsidRPr="00021B2F" w:rsidRDefault="00FC7F0E" w:rsidP="00FC7F0E">
      <w:pPr>
        <w:spacing w:after="0" w:line="240" w:lineRule="auto"/>
        <w:jc w:val="both"/>
        <w:rPr>
          <w:rFonts w:ascii="Verdana" w:hAnsi="Verdana"/>
          <w:sz w:val="24"/>
          <w:szCs w:val="24"/>
        </w:rPr>
      </w:pPr>
      <w:r w:rsidRPr="00021B2F">
        <w:rPr>
          <w:rFonts w:ascii="Verdana" w:hAnsi="Verdana"/>
          <w:sz w:val="24"/>
          <w:szCs w:val="24"/>
        </w:rPr>
        <w:t>Durante la vigencia 2014 la Agencia no adelantó evaluaciones que permitieran dar cuenta de los cambios en la población acompañada por la Estrategia UNIDOS, sea por el propio acompañamiento, por la gestión de oferta realizada, o de alguna de las intervenciones particulares (proyectos, estrategias territoriales).</w:t>
      </w:r>
    </w:p>
    <w:p w:rsidR="00FC7F0E" w:rsidRPr="00021B2F" w:rsidRDefault="00FC7F0E" w:rsidP="00FC7F0E">
      <w:pPr>
        <w:spacing w:after="0" w:line="240" w:lineRule="auto"/>
        <w:jc w:val="both"/>
        <w:rPr>
          <w:rFonts w:ascii="Verdana" w:hAnsi="Verdana"/>
          <w:sz w:val="24"/>
          <w:szCs w:val="24"/>
        </w:rPr>
      </w:pPr>
    </w:p>
    <w:p w:rsidR="00FC7F0E" w:rsidRPr="00021B2F" w:rsidRDefault="00FC7F0E" w:rsidP="00FC7F0E">
      <w:pPr>
        <w:spacing w:after="0" w:line="240" w:lineRule="auto"/>
        <w:jc w:val="both"/>
        <w:rPr>
          <w:rFonts w:ascii="Verdana" w:hAnsi="Verdana"/>
          <w:sz w:val="24"/>
          <w:szCs w:val="24"/>
        </w:rPr>
      </w:pPr>
      <w:r w:rsidRPr="00021B2F">
        <w:rPr>
          <w:rFonts w:ascii="Verdana" w:hAnsi="Verdana"/>
          <w:sz w:val="24"/>
          <w:szCs w:val="24"/>
        </w:rPr>
        <w:t>No obstante es posible inferir dichos cambios, toda vez que durante 2014</w:t>
      </w:r>
      <w:r w:rsidR="00C206A3">
        <w:rPr>
          <w:rFonts w:ascii="Verdana" w:hAnsi="Verdana"/>
          <w:sz w:val="24"/>
          <w:szCs w:val="24"/>
        </w:rPr>
        <w:t xml:space="preserve">, </w:t>
      </w:r>
      <w:r w:rsidRPr="00021B2F">
        <w:rPr>
          <w:rFonts w:ascii="Verdana" w:hAnsi="Verdana"/>
          <w:sz w:val="24"/>
          <w:szCs w:val="24"/>
        </w:rPr>
        <w:t xml:space="preserve"> 132.712 familias superaron su situación de pobreza extrema tanto monetariamente como multidimensionalmente y fueron promovidas de la Estrategia.</w:t>
      </w:r>
      <w:r w:rsidR="00C206A3">
        <w:rPr>
          <w:rFonts w:ascii="Verdana" w:hAnsi="Verdana"/>
          <w:sz w:val="24"/>
          <w:szCs w:val="24"/>
        </w:rPr>
        <w:t xml:space="preserve"> </w:t>
      </w:r>
      <w:r w:rsidRPr="00021B2F">
        <w:rPr>
          <w:rFonts w:ascii="Verdana" w:hAnsi="Verdana"/>
          <w:sz w:val="24"/>
          <w:szCs w:val="24"/>
        </w:rPr>
        <w:t xml:space="preserve"> Lo anterior le permitirá a la Agencia mover sus esfuerzos a los hogares en pobreza extrema que aún no cuentan con acompañamiento.</w:t>
      </w:r>
    </w:p>
    <w:p w:rsidR="00FC7F0E" w:rsidRPr="00021B2F" w:rsidRDefault="00FC7F0E" w:rsidP="00FC7F0E">
      <w:pPr>
        <w:spacing w:after="0" w:line="240" w:lineRule="auto"/>
        <w:jc w:val="both"/>
        <w:rPr>
          <w:rFonts w:ascii="Verdana" w:hAnsi="Verdana"/>
          <w:sz w:val="24"/>
          <w:szCs w:val="24"/>
        </w:rPr>
      </w:pPr>
    </w:p>
    <w:p w:rsidR="00FC7F0E" w:rsidRPr="00021B2F" w:rsidRDefault="00FC7F0E" w:rsidP="00FC7F0E">
      <w:pPr>
        <w:spacing w:after="0" w:line="240" w:lineRule="auto"/>
        <w:jc w:val="both"/>
        <w:rPr>
          <w:rFonts w:ascii="Verdana" w:hAnsi="Verdana"/>
          <w:sz w:val="24"/>
          <w:szCs w:val="24"/>
        </w:rPr>
      </w:pPr>
      <w:r w:rsidRPr="00021B2F">
        <w:rPr>
          <w:rFonts w:ascii="Verdana" w:hAnsi="Verdana"/>
          <w:sz w:val="24"/>
          <w:szCs w:val="24"/>
        </w:rPr>
        <w:t>Así mismo, 179.626 familias gestionaron los logros requeridos por la Estrategia para iniciar el proceso de promoción y 140.978 familias no son pobres monetariamente. En total, la ANSPE gestionó 3.388.206 logros básicos familiares durante 2014, lo cual representa un promedio de 2.3 logros por familia, mejorando paulatinamente sus condiciones de vida.</w:t>
      </w:r>
    </w:p>
    <w:p w:rsidR="00FC7F0E" w:rsidRPr="00021B2F" w:rsidRDefault="00FC7F0E" w:rsidP="00FC7F0E">
      <w:pPr>
        <w:spacing w:after="0" w:line="240" w:lineRule="auto"/>
        <w:jc w:val="both"/>
        <w:rPr>
          <w:rFonts w:ascii="Verdana" w:hAnsi="Verdana"/>
          <w:sz w:val="24"/>
          <w:szCs w:val="24"/>
        </w:rPr>
      </w:pPr>
      <w:r w:rsidRPr="00021B2F">
        <w:rPr>
          <w:rFonts w:ascii="Verdana" w:hAnsi="Verdana"/>
          <w:sz w:val="24"/>
          <w:szCs w:val="24"/>
        </w:rPr>
        <w:t xml:space="preserve"> </w:t>
      </w:r>
    </w:p>
    <w:p w:rsidR="00FC7F0E" w:rsidRPr="00021B2F" w:rsidRDefault="00FC7F0E" w:rsidP="00FC7F0E">
      <w:pPr>
        <w:spacing w:after="0" w:line="240" w:lineRule="auto"/>
        <w:jc w:val="both"/>
        <w:rPr>
          <w:rFonts w:ascii="Verdana" w:hAnsi="Verdana"/>
          <w:sz w:val="24"/>
          <w:szCs w:val="24"/>
        </w:rPr>
      </w:pPr>
    </w:p>
    <w:p w:rsidR="00FC7F0E" w:rsidRPr="00C16A2F" w:rsidRDefault="00C16A2F" w:rsidP="00FC7F0E">
      <w:pPr>
        <w:spacing w:after="0" w:line="240" w:lineRule="auto"/>
        <w:jc w:val="both"/>
        <w:rPr>
          <w:rFonts w:ascii="Verdana" w:hAnsi="Verdana"/>
          <w:sz w:val="28"/>
          <w:szCs w:val="24"/>
        </w:rPr>
      </w:pPr>
      <w:r w:rsidRPr="00C16A2F">
        <w:rPr>
          <w:rFonts w:ascii="Verdana" w:hAnsi="Verdana"/>
          <w:b/>
          <w:noProof/>
          <w:color w:val="4F81BD" w:themeColor="accent1"/>
          <w:sz w:val="28"/>
          <w:szCs w:val="24"/>
          <w:lang w:eastAsia="es-CO"/>
        </w:rPr>
        <w:drawing>
          <wp:inline distT="0" distB="0" distL="0" distR="0">
            <wp:extent cx="216024" cy="216024"/>
            <wp:effectExtent l="19050" t="0" r="0" b="0"/>
            <wp:docPr id="474"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5868144" y="2852936"/>
                      <a:chExt cx="216024" cy="216024"/>
                    </a:xfrm>
                  </a:grpSpPr>
                  <a:sp>
                    <a:nvSpPr>
                      <a:cNvPr id="37" name="36 Rectángulo redondeado"/>
                      <a:cNvSpPr/>
                    </a:nvSpPr>
                    <a:spPr>
                      <a:xfrm>
                        <a:off x="5868144" y="2852936"/>
                        <a:ext cx="216024" cy="216024"/>
                      </a:xfrm>
                      <a:prstGeom prst="roundRect">
                        <a:avLst/>
                      </a:prstGeom>
                      <a:gradFill flip="none" rotWithShape="1">
                        <a:gsLst>
                          <a:gs pos="0">
                            <a:srgbClr val="CCECFF">
                              <a:shade val="30000"/>
                              <a:satMod val="115000"/>
                            </a:srgbClr>
                          </a:gs>
                          <a:gs pos="50000">
                            <a:srgbClr val="CCECFF">
                              <a:shade val="67500"/>
                              <a:satMod val="115000"/>
                            </a:srgbClr>
                          </a:gs>
                          <a:gs pos="100000">
                            <a:srgbClr val="CCECFF">
                              <a:shade val="100000"/>
                              <a:satMod val="115000"/>
                            </a:srgb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hAnsi="Verdana"/>
          <w:b/>
          <w:color w:val="4F81BD" w:themeColor="accent1"/>
          <w:sz w:val="28"/>
          <w:szCs w:val="24"/>
        </w:rPr>
        <w:t xml:space="preserve"> </w:t>
      </w:r>
      <w:r w:rsidR="00FC7F0E" w:rsidRPr="00C16A2F">
        <w:rPr>
          <w:rFonts w:ascii="Verdana" w:hAnsi="Verdana"/>
          <w:b/>
          <w:color w:val="4F81BD" w:themeColor="accent1"/>
          <w:sz w:val="28"/>
          <w:szCs w:val="24"/>
        </w:rPr>
        <w:t>ACCIONES DE MEJORAMIENTO DE LA ENTIDAD</w:t>
      </w:r>
      <w:r w:rsidR="00FC7F0E" w:rsidRPr="00C16A2F">
        <w:rPr>
          <w:rFonts w:ascii="Verdana" w:hAnsi="Verdana"/>
          <w:sz w:val="28"/>
          <w:szCs w:val="24"/>
        </w:rPr>
        <w:tab/>
      </w:r>
    </w:p>
    <w:p w:rsidR="00FC7F0E" w:rsidRPr="00021B2F" w:rsidRDefault="00FC7F0E" w:rsidP="00FC7F0E">
      <w:pPr>
        <w:spacing w:after="0" w:line="240" w:lineRule="auto"/>
        <w:jc w:val="both"/>
        <w:rPr>
          <w:rFonts w:ascii="Verdana" w:hAnsi="Verdana"/>
          <w:sz w:val="24"/>
          <w:szCs w:val="24"/>
        </w:rPr>
      </w:pPr>
    </w:p>
    <w:p w:rsidR="00FC7F0E" w:rsidRPr="00021B2F" w:rsidRDefault="00FC7F0E" w:rsidP="00FC7F0E">
      <w:pPr>
        <w:spacing w:after="0" w:line="240" w:lineRule="auto"/>
        <w:jc w:val="both"/>
        <w:rPr>
          <w:rFonts w:ascii="Verdana" w:hAnsi="Verdana"/>
          <w:sz w:val="24"/>
          <w:szCs w:val="24"/>
          <w:highlight w:val="yellow"/>
        </w:rPr>
      </w:pPr>
    </w:p>
    <w:p w:rsidR="00FC7F0E" w:rsidRPr="00021B2F" w:rsidRDefault="00FC7F0E" w:rsidP="00FC7F0E">
      <w:pPr>
        <w:spacing w:after="0" w:line="240" w:lineRule="auto"/>
        <w:jc w:val="both"/>
        <w:rPr>
          <w:rFonts w:ascii="Verdana" w:hAnsi="Verdana"/>
          <w:sz w:val="24"/>
          <w:szCs w:val="24"/>
        </w:rPr>
      </w:pPr>
      <w:r w:rsidRPr="00021B2F">
        <w:rPr>
          <w:rFonts w:ascii="Verdana" w:hAnsi="Verdana"/>
          <w:sz w:val="24"/>
          <w:szCs w:val="24"/>
        </w:rPr>
        <w:t xml:space="preserve">Producto de la Auditoria de Calidad, realizada a los 18 procesos, la entidad formuló  su Plan de Mejoramiento para subsanar 16 no conformidades  y 14 observaciones, de las cuales a 31 de diciembre de 2014 se subsanaron 12 no conformidades 12 observaciones. </w:t>
      </w:r>
    </w:p>
    <w:p w:rsidR="00FC7F0E" w:rsidRPr="00021B2F" w:rsidRDefault="00FC7F0E" w:rsidP="00FC7F0E">
      <w:pPr>
        <w:spacing w:after="0" w:line="240" w:lineRule="auto"/>
        <w:jc w:val="both"/>
        <w:rPr>
          <w:rFonts w:ascii="Verdana" w:hAnsi="Verdana"/>
          <w:sz w:val="24"/>
          <w:szCs w:val="24"/>
        </w:rPr>
      </w:pPr>
    </w:p>
    <w:p w:rsidR="00FC7F0E" w:rsidRPr="00021B2F" w:rsidRDefault="00FC7F0E" w:rsidP="00FC7F0E">
      <w:pPr>
        <w:spacing w:after="0" w:line="240" w:lineRule="auto"/>
        <w:jc w:val="both"/>
        <w:rPr>
          <w:rFonts w:ascii="Verdana" w:hAnsi="Verdana"/>
          <w:sz w:val="24"/>
          <w:szCs w:val="24"/>
        </w:rPr>
      </w:pPr>
      <w:r w:rsidRPr="00021B2F">
        <w:rPr>
          <w:rFonts w:ascii="Verdana" w:hAnsi="Verdana"/>
          <w:sz w:val="24"/>
          <w:szCs w:val="24"/>
        </w:rPr>
        <w:t xml:space="preserve">Plan de Mejoramiento Auditoría de Gestión del Talento Humano, tomando como criterio de la Auditoría el cumplimiento de las normas sobre Selección y vinculación de personal, Comisión de servicios, reconocimiento y pago de viáticos, gastos de viaje, manutención y desplazamiento y Comisión de servicios  al exterior, reconocimiento y pago de viáticos y gastos de viaje. Se identificaron  ocho (8) hallazgos y nueve oportunidades de mejora. El Grupo de Gestión del Talento Humano  suscribió el Plan de mejoramiento el cual será objeto de seguimiento y evaluación durante el 2015 por parte del Grupo de Control Interno. </w:t>
      </w:r>
    </w:p>
    <w:p w:rsidR="00FC7F0E" w:rsidRPr="00021B2F" w:rsidRDefault="00FC7F0E" w:rsidP="00FC7F0E">
      <w:pPr>
        <w:spacing w:after="0" w:line="240" w:lineRule="auto"/>
        <w:jc w:val="both"/>
        <w:rPr>
          <w:rFonts w:ascii="Verdana" w:hAnsi="Verdana"/>
          <w:sz w:val="24"/>
          <w:szCs w:val="24"/>
        </w:rPr>
      </w:pPr>
    </w:p>
    <w:p w:rsidR="00FC7F0E" w:rsidRPr="00021B2F" w:rsidRDefault="00FC7F0E" w:rsidP="00FC7F0E">
      <w:pPr>
        <w:spacing w:after="0" w:line="240" w:lineRule="auto"/>
        <w:jc w:val="both"/>
        <w:rPr>
          <w:rFonts w:ascii="Verdana" w:hAnsi="Verdana"/>
          <w:sz w:val="24"/>
          <w:szCs w:val="24"/>
        </w:rPr>
      </w:pPr>
      <w:r w:rsidRPr="00021B2F">
        <w:rPr>
          <w:rFonts w:ascii="Verdana" w:hAnsi="Verdana"/>
          <w:sz w:val="24"/>
          <w:szCs w:val="24"/>
        </w:rPr>
        <w:t>La Agencia de manera oportuna formuló el Plan de mejoramiento producto de la auditoria adelantada por la Contraloría General de la República a la Política Pública Red para la Superación de la Pobreza Extrema 2008-2014, que arrojó 7 hallazgos de carácter administrativo, cuyas acciones de mejora se están desarrollando y son objeto de seguimiento por parte del Grupo de Control Interno de la ANSPE</w:t>
      </w:r>
    </w:p>
    <w:p w:rsidR="00FC7F0E" w:rsidRPr="00021B2F" w:rsidRDefault="00FC7F0E" w:rsidP="00FC7F0E">
      <w:pPr>
        <w:spacing w:after="0" w:line="240" w:lineRule="auto"/>
        <w:jc w:val="both"/>
        <w:rPr>
          <w:rFonts w:ascii="Verdana" w:hAnsi="Verdana"/>
          <w:sz w:val="24"/>
          <w:szCs w:val="24"/>
        </w:rPr>
      </w:pPr>
    </w:p>
    <w:p w:rsidR="00FC7F0E" w:rsidRPr="00021B2F" w:rsidRDefault="00FC7F0E" w:rsidP="00FC7F0E">
      <w:pPr>
        <w:spacing w:after="0" w:line="240" w:lineRule="auto"/>
        <w:jc w:val="both"/>
        <w:rPr>
          <w:rFonts w:ascii="Verdana" w:hAnsi="Verdana"/>
          <w:sz w:val="24"/>
          <w:szCs w:val="24"/>
          <w:highlight w:val="yellow"/>
        </w:rPr>
      </w:pPr>
      <w:r w:rsidRPr="00021B2F">
        <w:rPr>
          <w:rFonts w:ascii="Verdana" w:hAnsi="Verdana"/>
          <w:sz w:val="24"/>
          <w:szCs w:val="24"/>
        </w:rPr>
        <w:t>La Contraloría General de la Republica adelantó Auditoría de Gestión  de la Agencia y cuyo informe final no había sido reportado a 31 de diciembre de 2014, para la formulación del respectivo Plan de Mejoramiento.</w:t>
      </w:r>
    </w:p>
    <w:p w:rsidR="00FC7F0E" w:rsidRPr="00021B2F" w:rsidRDefault="00FC7F0E" w:rsidP="00FC7F0E">
      <w:pPr>
        <w:spacing w:after="0" w:line="240" w:lineRule="auto"/>
        <w:rPr>
          <w:rFonts w:ascii="Verdana" w:hAnsi="Verdana"/>
          <w:b/>
          <w:sz w:val="24"/>
          <w:szCs w:val="24"/>
          <w:highlight w:val="yellow"/>
        </w:rPr>
      </w:pPr>
    </w:p>
    <w:p w:rsidR="00FC7F0E" w:rsidRPr="00021B2F" w:rsidRDefault="00FC7F0E" w:rsidP="00FC7F0E">
      <w:pPr>
        <w:spacing w:after="0" w:line="240" w:lineRule="auto"/>
        <w:jc w:val="both"/>
        <w:rPr>
          <w:rFonts w:ascii="Verdana" w:hAnsi="Verdana"/>
          <w:sz w:val="24"/>
          <w:szCs w:val="24"/>
        </w:rPr>
      </w:pPr>
    </w:p>
    <w:p w:rsidR="00FC7F0E" w:rsidRDefault="00FC7F0E" w:rsidP="00FC7F0E">
      <w:pPr>
        <w:pStyle w:val="Prrafodelista"/>
        <w:spacing w:after="0" w:line="240" w:lineRule="auto"/>
        <w:ind w:left="0"/>
        <w:jc w:val="both"/>
        <w:rPr>
          <w:rFonts w:ascii="Verdana" w:hAnsi="Verdana" w:cs="Futura Bk BT"/>
          <w:color w:val="548DD4" w:themeColor="text2" w:themeTint="99"/>
          <w:sz w:val="28"/>
        </w:rPr>
      </w:pPr>
    </w:p>
    <w:p w:rsidR="007D5E94" w:rsidRDefault="00BD4C94">
      <w:pPr>
        <w:rPr>
          <w:rFonts w:ascii="Verdana" w:hAnsi="Verdana" w:cs="Futura Bk BT"/>
          <w:color w:val="548DD4" w:themeColor="text2" w:themeTint="99"/>
          <w:sz w:val="28"/>
        </w:rPr>
      </w:pPr>
      <w:r w:rsidRPr="00BD4C94">
        <w:rPr>
          <w:rFonts w:ascii="Verdana" w:hAnsi="Verdana" w:cs="Futura Bk BT"/>
          <w:noProof/>
          <w:color w:val="548DD4" w:themeColor="text2" w:themeTint="99"/>
          <w:sz w:val="28"/>
          <w:lang w:eastAsia="es-CO"/>
        </w:rPr>
        <w:drawing>
          <wp:anchor distT="0" distB="0" distL="114300" distR="114300" simplePos="0" relativeHeight="251729920" behindDoc="0" locked="0" layoutInCell="1" allowOverlap="1">
            <wp:simplePos x="0" y="0"/>
            <wp:positionH relativeFrom="column">
              <wp:posOffset>6433185</wp:posOffset>
            </wp:positionH>
            <wp:positionV relativeFrom="paragraph">
              <wp:posOffset>480060</wp:posOffset>
            </wp:positionV>
            <wp:extent cx="504825" cy="361950"/>
            <wp:effectExtent l="19050" t="0" r="0" b="0"/>
            <wp:wrapThrough wrapText="bothSides">
              <wp:wrapPolygon edited="0">
                <wp:start x="-815" y="0"/>
                <wp:lineTo x="-815" y="20463"/>
                <wp:lineTo x="21192" y="20463"/>
                <wp:lineTo x="21192" y="0"/>
                <wp:lineTo x="-815" y="0"/>
              </wp:wrapPolygon>
            </wp:wrapThrough>
            <wp:docPr id="75" name="Objeto 10">
              <a:hlinkClick xmlns:a="http://schemas.openxmlformats.org/drawingml/2006/main" r:id="rId38" tooltip="Ir a la pagina de CONTENIDO."/>
            </wp:docPr>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4056" cy="360040"/>
                      <a:chOff x="683568" y="5517232"/>
                      <a:chExt cx="504056" cy="360040"/>
                    </a:xfrm>
                  </a:grpSpPr>
                  <a:sp>
                    <a:nvSpPr>
                      <a:cNvPr id="36" name="35 Botón de acción: Inicio"/>
                      <a:cNvSpPr/>
                    </a:nvSpPr>
                    <a:spPr>
                      <a:xfrm>
                        <a:off x="683568" y="5517232"/>
                        <a:ext cx="504056" cy="360040"/>
                      </a:xfrm>
                      <a:prstGeom prst="actionButtonHome">
                        <a:avLst/>
                      </a:prstGeom>
                      <a:solidFill>
                        <a:schemeClr val="accent5">
                          <a:lumMod val="60000"/>
                          <a:lumOff val="40000"/>
                        </a:schemeClr>
                      </a:soli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007D5E94">
        <w:rPr>
          <w:rFonts w:ascii="Verdana" w:hAnsi="Verdana" w:cs="Futura Bk BT"/>
          <w:color w:val="548DD4" w:themeColor="text2" w:themeTint="99"/>
          <w:sz w:val="28"/>
        </w:rPr>
        <w:br w:type="page"/>
      </w: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4A4C17" w:rsidRPr="004A4C17" w:rsidRDefault="00126BC7" w:rsidP="004A4C17">
      <w:pPr>
        <w:spacing w:after="0" w:line="240" w:lineRule="auto"/>
        <w:jc w:val="both"/>
        <w:rPr>
          <w:rFonts w:ascii="Verdana" w:hAnsi="Verdana" w:cs="Futura Bk BT"/>
          <w:color w:val="548DD4" w:themeColor="text2" w:themeTint="99"/>
          <w:sz w:val="28"/>
        </w:rPr>
      </w:pPr>
      <w:r>
        <w:rPr>
          <w:rFonts w:ascii="Verdana" w:hAnsi="Verdana"/>
          <w:b/>
          <w:bCs/>
          <w:color w:val="548DD4" w:themeColor="text2" w:themeTint="99"/>
          <w:sz w:val="40"/>
          <w:szCs w:val="40"/>
        </w:rPr>
        <w:t>II</w:t>
      </w:r>
      <w:r w:rsidR="004A4C17" w:rsidRPr="004A4C17">
        <w:rPr>
          <w:rFonts w:ascii="Verdana" w:hAnsi="Verdana"/>
          <w:b/>
          <w:bCs/>
          <w:color w:val="548DD4" w:themeColor="text2" w:themeTint="99"/>
          <w:sz w:val="40"/>
          <w:szCs w:val="40"/>
        </w:rPr>
        <w:t xml:space="preserve">I. </w:t>
      </w:r>
      <w:bookmarkStart w:id="91" w:name="UARIV"/>
      <w:r>
        <w:rPr>
          <w:rFonts w:ascii="Verdana" w:hAnsi="Verdana"/>
          <w:b/>
          <w:bCs/>
          <w:color w:val="548DD4" w:themeColor="text2" w:themeTint="99"/>
          <w:sz w:val="40"/>
          <w:szCs w:val="40"/>
        </w:rPr>
        <w:t>UNIDAD   PARA LA ATENCIÓN Y REPARACION INTEGRAL A LAS VICTIMAS - UARIV</w:t>
      </w:r>
      <w:bookmarkEnd w:id="91"/>
    </w:p>
    <w:p w:rsidR="004A4C17" w:rsidRDefault="004A4C17" w:rsidP="004A4C17">
      <w:pPr>
        <w:pStyle w:val="Prrafodelista"/>
        <w:spacing w:after="0" w:line="240" w:lineRule="auto"/>
        <w:ind w:left="1710"/>
        <w:jc w:val="both"/>
        <w:rPr>
          <w:rFonts w:ascii="Verdana" w:hAnsi="Verdana" w:cs="Futura Bk BT"/>
          <w:color w:val="548DD4" w:themeColor="text2" w:themeTint="99"/>
          <w:sz w:val="28"/>
        </w:rPr>
      </w:pPr>
    </w:p>
    <w:p w:rsidR="007D5E94" w:rsidRDefault="00C272DA" w:rsidP="004A4C17">
      <w:pPr>
        <w:pStyle w:val="Prrafodelista"/>
        <w:spacing w:after="0" w:line="240" w:lineRule="auto"/>
        <w:ind w:left="1710"/>
        <w:jc w:val="both"/>
        <w:rPr>
          <w:rFonts w:ascii="Verdana" w:hAnsi="Verdana" w:cs="Futura Bk BT"/>
          <w:color w:val="548DD4" w:themeColor="text2" w:themeTint="99"/>
          <w:sz w:val="28"/>
        </w:rPr>
      </w:pPr>
      <w:r>
        <w:rPr>
          <w:rFonts w:ascii="Verdana" w:hAnsi="Verdana" w:cs="Futura Bk BT"/>
          <w:noProof/>
          <w:color w:val="548DD4" w:themeColor="text2" w:themeTint="99"/>
          <w:sz w:val="28"/>
          <w:lang w:eastAsia="es-CO"/>
        </w:rPr>
        <w:drawing>
          <wp:anchor distT="0" distB="0" distL="114300" distR="114300" simplePos="0" relativeHeight="251703296" behindDoc="0" locked="0" layoutInCell="1" allowOverlap="1">
            <wp:simplePos x="0" y="0"/>
            <wp:positionH relativeFrom="column">
              <wp:posOffset>1365250</wp:posOffset>
            </wp:positionH>
            <wp:positionV relativeFrom="paragraph">
              <wp:posOffset>158115</wp:posOffset>
            </wp:positionV>
            <wp:extent cx="3778250" cy="1155700"/>
            <wp:effectExtent l="19050" t="0" r="0" b="0"/>
            <wp:wrapThrough wrapText="bothSides">
              <wp:wrapPolygon edited="0">
                <wp:start x="-109" y="0"/>
                <wp:lineTo x="-109" y="21363"/>
                <wp:lineTo x="21564" y="21363"/>
                <wp:lineTo x="21564" y="0"/>
                <wp:lineTo x="-109" y="0"/>
              </wp:wrapPolygon>
            </wp:wrapThrough>
            <wp:docPr id="4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778250" cy="1155700"/>
                    </a:xfrm>
                    <a:prstGeom prst="rect">
                      <a:avLst/>
                    </a:prstGeom>
                    <a:noFill/>
                    <a:ln w="9525">
                      <a:noFill/>
                      <a:miter lim="800000"/>
                      <a:headEnd/>
                      <a:tailEnd/>
                    </a:ln>
                  </pic:spPr>
                </pic:pic>
              </a:graphicData>
            </a:graphic>
          </wp:anchor>
        </w:drawing>
      </w: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9B12B6" w:rsidRDefault="009B12B6" w:rsidP="004A4C17">
      <w:pPr>
        <w:pStyle w:val="Prrafodelista"/>
        <w:spacing w:after="0" w:line="240" w:lineRule="auto"/>
        <w:ind w:left="1710"/>
        <w:jc w:val="both"/>
        <w:rPr>
          <w:rFonts w:ascii="Verdana" w:hAnsi="Verdana" w:cs="Futura Bk BT"/>
          <w:color w:val="548DD4" w:themeColor="text2" w:themeTint="99"/>
          <w:sz w:val="28"/>
        </w:rPr>
      </w:pPr>
    </w:p>
    <w:p w:rsidR="009B12B6" w:rsidRDefault="009B12B6" w:rsidP="004A4C17">
      <w:pPr>
        <w:pStyle w:val="Prrafodelista"/>
        <w:spacing w:after="0" w:line="240" w:lineRule="auto"/>
        <w:ind w:left="1710"/>
        <w:jc w:val="both"/>
        <w:rPr>
          <w:rFonts w:ascii="Verdana" w:hAnsi="Verdana" w:cs="Futura Bk BT"/>
          <w:color w:val="548DD4" w:themeColor="text2" w:themeTint="99"/>
          <w:sz w:val="28"/>
        </w:rPr>
      </w:pPr>
    </w:p>
    <w:p w:rsidR="009B12B6" w:rsidRDefault="009B12B6" w:rsidP="004A4C17">
      <w:pPr>
        <w:pStyle w:val="Prrafodelista"/>
        <w:spacing w:after="0" w:line="240" w:lineRule="auto"/>
        <w:ind w:left="1710"/>
        <w:jc w:val="both"/>
        <w:rPr>
          <w:rFonts w:ascii="Verdana" w:hAnsi="Verdana" w:cs="Futura Bk BT"/>
          <w:color w:val="548DD4" w:themeColor="text2" w:themeTint="99"/>
          <w:sz w:val="28"/>
        </w:rPr>
      </w:pPr>
    </w:p>
    <w:p w:rsidR="009B12B6" w:rsidRDefault="009B12B6" w:rsidP="004A4C17">
      <w:pPr>
        <w:pStyle w:val="Prrafodelista"/>
        <w:spacing w:after="0" w:line="240" w:lineRule="auto"/>
        <w:ind w:left="1710"/>
        <w:jc w:val="both"/>
        <w:rPr>
          <w:rFonts w:ascii="Verdana" w:hAnsi="Verdana" w:cs="Futura Bk BT"/>
          <w:color w:val="548DD4" w:themeColor="text2" w:themeTint="99"/>
          <w:sz w:val="28"/>
        </w:rPr>
      </w:pPr>
    </w:p>
    <w:p w:rsidR="000F075B" w:rsidRDefault="000F075B" w:rsidP="004A4C17">
      <w:pPr>
        <w:pStyle w:val="Prrafodelista"/>
        <w:spacing w:after="0" w:line="240" w:lineRule="auto"/>
        <w:ind w:left="1710"/>
        <w:jc w:val="both"/>
        <w:rPr>
          <w:rFonts w:ascii="Verdana" w:hAnsi="Verdana" w:cs="Futura Bk BT"/>
          <w:color w:val="548DD4" w:themeColor="text2" w:themeTint="99"/>
          <w:sz w:val="28"/>
        </w:rPr>
      </w:pPr>
    </w:p>
    <w:p w:rsidR="009B12B6" w:rsidRDefault="00D11249" w:rsidP="004A4C17">
      <w:pPr>
        <w:pStyle w:val="Prrafodelista"/>
        <w:spacing w:after="0" w:line="240" w:lineRule="auto"/>
        <w:ind w:left="1710"/>
        <w:jc w:val="both"/>
        <w:rPr>
          <w:rFonts w:ascii="Verdana" w:hAnsi="Verdana" w:cs="Futura Bk BT"/>
          <w:color w:val="548DD4" w:themeColor="text2" w:themeTint="99"/>
          <w:sz w:val="28"/>
        </w:rPr>
      </w:pPr>
      <w:r>
        <w:rPr>
          <w:rFonts w:ascii="Verdana" w:hAnsi="Verdana" w:cs="Futura Bk BT"/>
          <w:noProof/>
          <w:color w:val="548DD4" w:themeColor="text2" w:themeTint="99"/>
          <w:sz w:val="28"/>
          <w:lang w:eastAsia="es-CO"/>
        </w:rPr>
        <w:drawing>
          <wp:anchor distT="0" distB="0" distL="114300" distR="114300" simplePos="0" relativeHeight="251731968" behindDoc="0" locked="0" layoutInCell="1" allowOverlap="1">
            <wp:simplePos x="0" y="0"/>
            <wp:positionH relativeFrom="column">
              <wp:posOffset>6455410</wp:posOffset>
            </wp:positionH>
            <wp:positionV relativeFrom="paragraph">
              <wp:posOffset>128270</wp:posOffset>
            </wp:positionV>
            <wp:extent cx="501650" cy="355600"/>
            <wp:effectExtent l="19050" t="0" r="0" b="0"/>
            <wp:wrapThrough wrapText="bothSides">
              <wp:wrapPolygon edited="0">
                <wp:start x="-820" y="0"/>
                <wp:lineTo x="-820" y="20829"/>
                <wp:lineTo x="21327" y="20829"/>
                <wp:lineTo x="21327" y="0"/>
                <wp:lineTo x="-820" y="0"/>
              </wp:wrapPolygon>
            </wp:wrapThrough>
            <wp:docPr id="76" name="Objeto 10">
              <a:hlinkClick xmlns:a="http://schemas.openxmlformats.org/drawingml/2006/main" r:id="rId39" tooltip="Ir a la pagina de CONTENIDO."/>
            </wp:docPr>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4056" cy="360040"/>
                      <a:chOff x="683568" y="5517232"/>
                      <a:chExt cx="504056" cy="360040"/>
                    </a:xfrm>
                  </a:grpSpPr>
                  <a:sp>
                    <a:nvSpPr>
                      <a:cNvPr id="36" name="35 Botón de acción: Inicio"/>
                      <a:cNvSpPr/>
                    </a:nvSpPr>
                    <a:spPr>
                      <a:xfrm>
                        <a:off x="683568" y="5517232"/>
                        <a:ext cx="504056" cy="360040"/>
                      </a:xfrm>
                      <a:prstGeom prst="actionButtonHome">
                        <a:avLst/>
                      </a:prstGeom>
                      <a:solidFill>
                        <a:schemeClr val="accent5">
                          <a:lumMod val="60000"/>
                          <a:lumOff val="40000"/>
                        </a:schemeClr>
                      </a:soli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BF7A04" w:rsidRDefault="00BF7A04" w:rsidP="004A4C17">
      <w:pPr>
        <w:pStyle w:val="Prrafodelista"/>
        <w:spacing w:after="0" w:line="240" w:lineRule="auto"/>
        <w:ind w:left="1710"/>
        <w:jc w:val="both"/>
        <w:rPr>
          <w:rFonts w:ascii="Verdana" w:hAnsi="Verdana" w:cs="Futura Bk BT"/>
          <w:color w:val="548DD4" w:themeColor="text2" w:themeTint="99"/>
          <w:sz w:val="28"/>
        </w:rPr>
      </w:pPr>
    </w:p>
    <w:p w:rsidR="00BF7A04" w:rsidRDefault="00BF7A04" w:rsidP="004A4C17">
      <w:pPr>
        <w:pStyle w:val="Prrafodelista"/>
        <w:spacing w:after="0" w:line="240" w:lineRule="auto"/>
        <w:ind w:left="1710"/>
        <w:jc w:val="both"/>
        <w:rPr>
          <w:rFonts w:ascii="Verdana" w:hAnsi="Verdana" w:cs="Futura Bk BT"/>
          <w:color w:val="548DD4" w:themeColor="text2" w:themeTint="99"/>
          <w:sz w:val="28"/>
        </w:rPr>
      </w:pPr>
    </w:p>
    <w:p w:rsidR="00BF7A04" w:rsidRDefault="00BF7A04" w:rsidP="004A4C17">
      <w:pPr>
        <w:pStyle w:val="Prrafodelista"/>
        <w:spacing w:after="0" w:line="240" w:lineRule="auto"/>
        <w:ind w:left="1710"/>
        <w:jc w:val="both"/>
        <w:rPr>
          <w:rFonts w:ascii="Verdana" w:hAnsi="Verdana" w:cs="Futura Bk BT"/>
          <w:color w:val="548DD4" w:themeColor="text2" w:themeTint="99"/>
          <w:sz w:val="28"/>
        </w:rPr>
      </w:pPr>
    </w:p>
    <w:p w:rsidR="009B12B6" w:rsidRDefault="009B12B6" w:rsidP="009B12B6">
      <w:pPr>
        <w:pStyle w:val="Prrafodelista"/>
        <w:spacing w:after="0" w:line="240" w:lineRule="auto"/>
        <w:ind w:left="0"/>
        <w:jc w:val="both"/>
        <w:rPr>
          <w:rFonts w:ascii="Verdana" w:hAnsi="Verdana" w:cs="Futura Bk BT"/>
          <w:color w:val="548DD4" w:themeColor="text2" w:themeTint="99"/>
          <w:sz w:val="28"/>
        </w:rPr>
      </w:pPr>
    </w:p>
    <w:p w:rsidR="0088494C" w:rsidRDefault="00BF7A04" w:rsidP="0088494C">
      <w:pPr>
        <w:spacing w:after="0" w:line="240" w:lineRule="auto"/>
        <w:jc w:val="both"/>
        <w:rPr>
          <w:rFonts w:ascii="Verdana" w:hAnsi="Verdana"/>
          <w:b/>
          <w:bCs/>
          <w:color w:val="548DD4" w:themeColor="text2" w:themeTint="99"/>
          <w:sz w:val="32"/>
          <w:szCs w:val="40"/>
        </w:rPr>
      </w:pPr>
      <w:r w:rsidRPr="00BF7A04">
        <w:rPr>
          <w:rFonts w:ascii="Verdana" w:hAnsi="Verdana"/>
          <w:b/>
          <w:bCs/>
          <w:noProof/>
          <w:color w:val="548DD4" w:themeColor="text2" w:themeTint="99"/>
          <w:sz w:val="32"/>
          <w:szCs w:val="40"/>
          <w:lang w:eastAsia="es-CO"/>
        </w:rPr>
        <w:drawing>
          <wp:inline distT="0" distB="0" distL="0" distR="0">
            <wp:extent cx="6496050" cy="5829300"/>
            <wp:effectExtent l="19050" t="0" r="0" b="0"/>
            <wp:docPr id="456" name="Imagen 3" descr="apoyos AS (1361).JPG"/>
            <wp:cNvGraphicFramePr/>
            <a:graphic xmlns:a="http://schemas.openxmlformats.org/drawingml/2006/main">
              <a:graphicData uri="http://schemas.openxmlformats.org/drawingml/2006/picture">
                <pic:pic xmlns:pic="http://schemas.openxmlformats.org/drawingml/2006/picture">
                  <pic:nvPicPr>
                    <pic:cNvPr id="25601" name="Imagen 1" descr="apoyos AS (1361).JPG"/>
                    <pic:cNvPicPr>
                      <a:picLocks noChangeAspect="1"/>
                    </pic:cNvPicPr>
                  </pic:nvPicPr>
                  <pic:blipFill>
                    <a:blip r:embed="rId40" cstate="print"/>
                    <a:srcRect r="-21"/>
                    <a:stretch>
                      <a:fillRect/>
                    </a:stretch>
                  </pic:blipFill>
                  <pic:spPr bwMode="auto">
                    <a:xfrm>
                      <a:off x="0" y="0"/>
                      <a:ext cx="6496050" cy="5829300"/>
                    </a:xfrm>
                    <a:prstGeom prst="rect">
                      <a:avLst/>
                    </a:prstGeom>
                    <a:noFill/>
                    <a:ln w="9525">
                      <a:noFill/>
                      <a:miter lim="800000"/>
                      <a:headEnd/>
                      <a:tailEnd/>
                    </a:ln>
                  </pic:spPr>
                </pic:pic>
              </a:graphicData>
            </a:graphic>
          </wp:inline>
        </w:drawing>
      </w:r>
    </w:p>
    <w:p w:rsidR="0088494C" w:rsidRDefault="0088494C" w:rsidP="0088494C">
      <w:pPr>
        <w:spacing w:after="0" w:line="240" w:lineRule="auto"/>
        <w:jc w:val="both"/>
        <w:rPr>
          <w:rFonts w:ascii="Verdana" w:hAnsi="Verdana"/>
          <w:b/>
          <w:bCs/>
          <w:color w:val="548DD4" w:themeColor="text2" w:themeTint="99"/>
          <w:sz w:val="32"/>
          <w:szCs w:val="40"/>
        </w:rPr>
      </w:pPr>
    </w:p>
    <w:p w:rsidR="0088494C" w:rsidRDefault="0088494C" w:rsidP="0088494C">
      <w:pPr>
        <w:spacing w:after="0" w:line="240" w:lineRule="auto"/>
        <w:jc w:val="both"/>
        <w:rPr>
          <w:rFonts w:ascii="Verdana" w:hAnsi="Verdana"/>
          <w:b/>
          <w:bCs/>
          <w:color w:val="548DD4" w:themeColor="text2" w:themeTint="99"/>
          <w:sz w:val="32"/>
          <w:szCs w:val="40"/>
        </w:rPr>
      </w:pPr>
    </w:p>
    <w:p w:rsidR="00BF7A04" w:rsidRDefault="00BF7A04" w:rsidP="0088494C">
      <w:pPr>
        <w:spacing w:after="0" w:line="240" w:lineRule="auto"/>
        <w:jc w:val="both"/>
        <w:rPr>
          <w:rFonts w:ascii="Verdana" w:hAnsi="Verdana"/>
          <w:b/>
          <w:bCs/>
          <w:color w:val="548DD4" w:themeColor="text2" w:themeTint="99"/>
          <w:sz w:val="32"/>
          <w:szCs w:val="40"/>
        </w:rPr>
      </w:pPr>
    </w:p>
    <w:p w:rsidR="00BF7A04" w:rsidRDefault="00BF7A04" w:rsidP="0088494C">
      <w:pPr>
        <w:spacing w:after="0" w:line="240" w:lineRule="auto"/>
        <w:jc w:val="both"/>
        <w:rPr>
          <w:rFonts w:ascii="Verdana" w:hAnsi="Verdana"/>
          <w:b/>
          <w:bCs/>
          <w:color w:val="548DD4" w:themeColor="text2" w:themeTint="99"/>
          <w:sz w:val="32"/>
          <w:szCs w:val="40"/>
        </w:rPr>
      </w:pPr>
    </w:p>
    <w:p w:rsidR="00482241" w:rsidRPr="00880A32" w:rsidRDefault="00880A32" w:rsidP="0088494C">
      <w:pPr>
        <w:spacing w:after="0" w:line="240" w:lineRule="auto"/>
        <w:jc w:val="both"/>
        <w:rPr>
          <w:rFonts w:ascii="Verdana" w:hAnsi="Verdana" w:cs="Tahoma"/>
          <w:b/>
          <w:color w:val="365F91" w:themeColor="accent1" w:themeShade="BF"/>
          <w:sz w:val="24"/>
          <w:szCs w:val="24"/>
        </w:rPr>
      </w:pPr>
      <w:r w:rsidRPr="00880A32">
        <w:rPr>
          <w:rFonts w:ascii="Verdana" w:hAnsi="Verdana"/>
          <w:b/>
          <w:bCs/>
          <w:noProof/>
          <w:color w:val="548DD4" w:themeColor="text2" w:themeTint="99"/>
          <w:sz w:val="28"/>
          <w:szCs w:val="40"/>
          <w:lang w:eastAsia="es-CO"/>
        </w:rPr>
        <w:drawing>
          <wp:inline distT="0" distB="0" distL="0" distR="0">
            <wp:extent cx="216024" cy="216024"/>
            <wp:effectExtent l="19050" t="0" r="0" b="0"/>
            <wp:docPr id="475" name="Objet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6516216" y="2996952"/>
                      <a:chExt cx="216024" cy="216024"/>
                    </a:xfrm>
                  </a:grpSpPr>
                  <a:sp>
                    <a:nvSpPr>
                      <a:cNvPr id="38" name="37 Rectángulo redondeado"/>
                      <a:cNvSpPr/>
                    </a:nvSpPr>
                    <a:spPr>
                      <a:xfrm>
                        <a:off x="6516216" y="2996952"/>
                        <a:ext cx="216024" cy="216024"/>
                      </a:xfrm>
                      <a:prstGeom prst="roundRect">
                        <a:avLst/>
                      </a:prstGeom>
                      <a:gradFill flip="none" rotWithShape="1">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hAnsi="Verdana"/>
          <w:b/>
          <w:bCs/>
          <w:color w:val="548DD4" w:themeColor="text2" w:themeTint="99"/>
          <w:sz w:val="28"/>
          <w:szCs w:val="40"/>
        </w:rPr>
        <w:t xml:space="preserve">  </w:t>
      </w:r>
      <w:r w:rsidR="00482241" w:rsidRPr="00880A32">
        <w:rPr>
          <w:rFonts w:ascii="Verdana" w:hAnsi="Verdana"/>
          <w:b/>
          <w:bCs/>
          <w:color w:val="548DD4" w:themeColor="text2" w:themeTint="99"/>
          <w:sz w:val="28"/>
          <w:szCs w:val="40"/>
        </w:rPr>
        <w:t>PRESUPUESTO</w:t>
      </w:r>
      <w:r w:rsidR="00482241" w:rsidRPr="00880A32">
        <w:rPr>
          <w:rFonts w:ascii="Verdana" w:hAnsi="Verdana" w:cs="Tahoma"/>
          <w:b/>
          <w:color w:val="365F91" w:themeColor="accent1" w:themeShade="BF"/>
          <w:sz w:val="24"/>
          <w:szCs w:val="24"/>
        </w:rPr>
        <w:tab/>
      </w:r>
    </w:p>
    <w:p w:rsidR="00482241" w:rsidRPr="00144A07" w:rsidRDefault="00482241" w:rsidP="00482241">
      <w:pPr>
        <w:spacing w:after="0" w:line="240" w:lineRule="auto"/>
        <w:contextualSpacing/>
        <w:jc w:val="both"/>
        <w:rPr>
          <w:rFonts w:ascii="Verdana" w:hAnsi="Verdana" w:cs="Tahoma"/>
          <w:b/>
          <w:color w:val="365F91" w:themeColor="accent1" w:themeShade="BF"/>
          <w:sz w:val="24"/>
          <w:szCs w:val="24"/>
        </w:rPr>
      </w:pPr>
    </w:p>
    <w:p w:rsidR="00482241" w:rsidRDefault="00482241" w:rsidP="00482241">
      <w:pPr>
        <w:spacing w:after="0" w:line="240" w:lineRule="auto"/>
        <w:contextualSpacing/>
        <w:jc w:val="both"/>
        <w:rPr>
          <w:rFonts w:ascii="Verdana" w:hAnsi="Verdana" w:cs="Tahoma"/>
          <w:b/>
          <w:color w:val="365F91" w:themeColor="accent1" w:themeShade="BF"/>
          <w:sz w:val="28"/>
          <w:szCs w:val="24"/>
          <w:u w:val="single"/>
        </w:rPr>
      </w:pPr>
    </w:p>
    <w:p w:rsidR="00482241" w:rsidRPr="00880A32" w:rsidRDefault="00482241" w:rsidP="00482241">
      <w:pPr>
        <w:spacing w:after="0" w:line="240" w:lineRule="auto"/>
        <w:jc w:val="both"/>
        <w:rPr>
          <w:rFonts w:ascii="Verdana" w:hAnsi="Verdana"/>
          <w:b/>
          <w:bCs/>
          <w:color w:val="548DD4" w:themeColor="text2" w:themeTint="99"/>
          <w:sz w:val="24"/>
          <w:szCs w:val="40"/>
        </w:rPr>
      </w:pPr>
      <w:r w:rsidRPr="00880A32">
        <w:rPr>
          <w:rFonts w:ascii="Verdana" w:hAnsi="Verdana"/>
          <w:b/>
          <w:bCs/>
          <w:color w:val="548DD4" w:themeColor="text2" w:themeTint="99"/>
          <w:sz w:val="24"/>
          <w:szCs w:val="40"/>
        </w:rPr>
        <w:t>ASIGNACIÓN PRESUPUESTAL</w:t>
      </w:r>
    </w:p>
    <w:p w:rsidR="00482241" w:rsidRPr="00144A07" w:rsidRDefault="00482241" w:rsidP="00482241">
      <w:pPr>
        <w:spacing w:after="0" w:line="240" w:lineRule="auto"/>
        <w:contextualSpacing/>
        <w:jc w:val="both"/>
        <w:rPr>
          <w:rFonts w:ascii="Verdana" w:hAnsi="Verdana" w:cs="Tahoma"/>
          <w:sz w:val="24"/>
          <w:szCs w:val="24"/>
        </w:rPr>
      </w:pPr>
    </w:p>
    <w:p w:rsidR="00482241" w:rsidRPr="00144A07" w:rsidRDefault="00482241" w:rsidP="00482241">
      <w:pPr>
        <w:spacing w:after="0" w:line="240" w:lineRule="auto"/>
        <w:contextualSpacing/>
        <w:jc w:val="both"/>
        <w:rPr>
          <w:rFonts w:ascii="Verdana" w:hAnsi="Verdana" w:cs="Tahoma"/>
          <w:sz w:val="24"/>
          <w:szCs w:val="24"/>
        </w:rPr>
      </w:pPr>
      <w:r w:rsidRPr="00144A07">
        <w:rPr>
          <w:rFonts w:ascii="Verdana" w:hAnsi="Verdana" w:cs="Tahoma"/>
          <w:sz w:val="24"/>
          <w:szCs w:val="24"/>
        </w:rPr>
        <w:t>A la Unidad para la Atención y Reparación Integral a las Víctimas, durante las vigencias 2013 y 2014 le fueron asignados 1.631.734 millones y 1.506.775 millones respectivamente, la distribución de estos recursos fue:</w:t>
      </w:r>
    </w:p>
    <w:p w:rsidR="00482241" w:rsidRPr="00144A07" w:rsidRDefault="00482241" w:rsidP="00482241">
      <w:pPr>
        <w:spacing w:after="0" w:line="240" w:lineRule="auto"/>
        <w:contextualSpacing/>
        <w:jc w:val="both"/>
        <w:rPr>
          <w:rFonts w:ascii="Verdana" w:hAnsi="Verdana" w:cs="Tahoma"/>
          <w:sz w:val="24"/>
          <w:szCs w:val="24"/>
        </w:rPr>
      </w:pPr>
    </w:p>
    <w:p w:rsidR="00482241" w:rsidRPr="00144A07" w:rsidRDefault="00482241" w:rsidP="00482241">
      <w:pPr>
        <w:spacing w:after="0" w:line="240" w:lineRule="auto"/>
        <w:contextualSpacing/>
        <w:jc w:val="both"/>
        <w:rPr>
          <w:rFonts w:ascii="Verdana" w:hAnsi="Verdana"/>
          <w:b/>
          <w:bCs/>
          <w:color w:val="548DD4" w:themeColor="text2" w:themeTint="99"/>
          <w:sz w:val="24"/>
          <w:szCs w:val="40"/>
        </w:rPr>
      </w:pPr>
      <w:r w:rsidRPr="00144A07">
        <w:rPr>
          <w:rFonts w:ascii="Verdana" w:hAnsi="Verdana"/>
          <w:b/>
          <w:bCs/>
          <w:color w:val="548DD4" w:themeColor="text2" w:themeTint="99"/>
          <w:sz w:val="24"/>
          <w:szCs w:val="40"/>
        </w:rPr>
        <w:t>Año 2013</w:t>
      </w:r>
    </w:p>
    <w:p w:rsidR="00482241" w:rsidRPr="00144A07" w:rsidRDefault="00482241" w:rsidP="00482241">
      <w:pPr>
        <w:spacing w:after="0" w:line="240" w:lineRule="auto"/>
        <w:contextualSpacing/>
        <w:jc w:val="both"/>
        <w:rPr>
          <w:rFonts w:ascii="Verdana" w:hAnsi="Verdana" w:cs="Tahoma"/>
          <w:sz w:val="24"/>
          <w:szCs w:val="24"/>
        </w:rPr>
      </w:pPr>
    </w:p>
    <w:p w:rsidR="00482241" w:rsidRPr="00144A07" w:rsidRDefault="00482241" w:rsidP="00482241">
      <w:pPr>
        <w:spacing w:after="0" w:line="240" w:lineRule="auto"/>
        <w:contextualSpacing/>
        <w:jc w:val="right"/>
        <w:rPr>
          <w:rFonts w:ascii="Verdana" w:hAnsi="Verdana" w:cs="Tahoma"/>
          <w:sz w:val="24"/>
          <w:szCs w:val="24"/>
          <w:lang w:val="es-ES"/>
        </w:rPr>
      </w:pPr>
      <w:r w:rsidRPr="00144A07">
        <w:rPr>
          <w:rFonts w:ascii="Verdana" w:hAnsi="Verdana" w:cs="Tahoma"/>
          <w:noProof/>
          <w:sz w:val="24"/>
          <w:szCs w:val="24"/>
          <w:lang w:eastAsia="es-CO"/>
        </w:rPr>
        <w:drawing>
          <wp:inline distT="0" distB="0" distL="0" distR="0">
            <wp:extent cx="6435587" cy="2724150"/>
            <wp:effectExtent l="19050" t="0" r="3313" b="0"/>
            <wp:docPr id="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44303" cy="2727839"/>
                    </a:xfrm>
                    <a:prstGeom prst="rect">
                      <a:avLst/>
                    </a:prstGeom>
                    <a:noFill/>
                    <a:ln>
                      <a:noFill/>
                    </a:ln>
                  </pic:spPr>
                </pic:pic>
              </a:graphicData>
            </a:graphic>
          </wp:inline>
        </w:drawing>
      </w:r>
    </w:p>
    <w:p w:rsidR="00482241" w:rsidRPr="00144A07" w:rsidRDefault="00482241" w:rsidP="00482241">
      <w:pPr>
        <w:spacing w:after="0" w:line="240" w:lineRule="auto"/>
        <w:contextualSpacing/>
        <w:jc w:val="both"/>
        <w:rPr>
          <w:rFonts w:ascii="Verdana" w:hAnsi="Verdana" w:cs="Tahoma"/>
          <w:sz w:val="24"/>
          <w:szCs w:val="24"/>
        </w:rPr>
      </w:pPr>
    </w:p>
    <w:p w:rsidR="00482241" w:rsidRPr="00144A07" w:rsidRDefault="00482241" w:rsidP="00482241">
      <w:pPr>
        <w:spacing w:after="0" w:line="240" w:lineRule="auto"/>
        <w:contextualSpacing/>
        <w:rPr>
          <w:rFonts w:ascii="Verdana" w:hAnsi="Verdana" w:cs="Tahoma"/>
          <w:sz w:val="24"/>
          <w:szCs w:val="24"/>
        </w:rPr>
      </w:pPr>
      <w:r w:rsidRPr="00144A07">
        <w:rPr>
          <w:rFonts w:ascii="Verdana" w:hAnsi="Verdana" w:cs="Tahoma"/>
          <w:sz w:val="24"/>
          <w:szCs w:val="24"/>
        </w:rPr>
        <w:t>Durante la vigencia 2013 se adicionaron $147.541 millones debido a:</w:t>
      </w:r>
    </w:p>
    <w:p w:rsidR="00482241" w:rsidRPr="00144A07" w:rsidRDefault="00482241" w:rsidP="00482241">
      <w:pPr>
        <w:spacing w:after="0" w:line="240" w:lineRule="auto"/>
        <w:contextualSpacing/>
        <w:rPr>
          <w:rFonts w:ascii="Verdana" w:hAnsi="Verdana" w:cs="Tahoma"/>
          <w:sz w:val="24"/>
          <w:szCs w:val="24"/>
        </w:rPr>
      </w:pPr>
    </w:p>
    <w:p w:rsidR="00482241" w:rsidRPr="00C42779" w:rsidRDefault="00482241" w:rsidP="00905C49">
      <w:pPr>
        <w:pStyle w:val="Prrafodelista"/>
        <w:numPr>
          <w:ilvl w:val="0"/>
          <w:numId w:val="80"/>
        </w:numPr>
        <w:spacing w:after="0" w:line="240" w:lineRule="auto"/>
        <w:jc w:val="both"/>
        <w:rPr>
          <w:rFonts w:ascii="Verdana" w:hAnsi="Verdana" w:cs="Tahoma"/>
          <w:sz w:val="24"/>
          <w:szCs w:val="24"/>
        </w:rPr>
      </w:pPr>
      <w:r w:rsidRPr="00C42779">
        <w:rPr>
          <w:rFonts w:ascii="Verdana" w:hAnsi="Verdana" w:cs="Tahoma"/>
          <w:sz w:val="24"/>
          <w:szCs w:val="24"/>
        </w:rPr>
        <w:t>Recursos provenientes del convenio firmado con la Agencia Española de Cooperación Internacional para el Desarrollo– AECID por un valor de $1.201 millones.</w:t>
      </w:r>
    </w:p>
    <w:p w:rsidR="00482241" w:rsidRPr="00144A07" w:rsidRDefault="00482241" w:rsidP="00482241">
      <w:pPr>
        <w:pStyle w:val="Prrafodelista"/>
        <w:spacing w:after="0" w:line="240" w:lineRule="auto"/>
        <w:ind w:left="0"/>
        <w:jc w:val="both"/>
        <w:rPr>
          <w:rFonts w:ascii="Verdana" w:hAnsi="Verdana" w:cs="Tahoma"/>
          <w:sz w:val="24"/>
          <w:szCs w:val="24"/>
        </w:rPr>
      </w:pPr>
    </w:p>
    <w:p w:rsidR="00482241" w:rsidRPr="00C42779" w:rsidRDefault="00482241" w:rsidP="00905C49">
      <w:pPr>
        <w:pStyle w:val="Prrafodelista"/>
        <w:numPr>
          <w:ilvl w:val="0"/>
          <w:numId w:val="80"/>
        </w:numPr>
        <w:spacing w:after="0" w:line="240" w:lineRule="auto"/>
        <w:jc w:val="both"/>
        <w:rPr>
          <w:rFonts w:ascii="Verdana" w:hAnsi="Verdana" w:cs="Tahoma"/>
          <w:sz w:val="24"/>
          <w:szCs w:val="24"/>
        </w:rPr>
      </w:pPr>
      <w:r w:rsidRPr="00C42779">
        <w:rPr>
          <w:rFonts w:ascii="Verdana" w:hAnsi="Verdana" w:cs="Tahoma"/>
          <w:sz w:val="24"/>
          <w:szCs w:val="24"/>
        </w:rPr>
        <w:t>Recursos de otras entidades para el pago de Atención Humanitaria en etapa de emergencia, en el marco del Auto 099 de 2013 de la Corte Constitucional por un total de $146.339 millones.</w:t>
      </w:r>
    </w:p>
    <w:p w:rsidR="00482241" w:rsidRPr="00144A07" w:rsidRDefault="00482241" w:rsidP="00880A32">
      <w:pPr>
        <w:spacing w:after="0" w:line="240" w:lineRule="auto"/>
        <w:rPr>
          <w:rFonts w:ascii="Verdana" w:hAnsi="Verdana"/>
          <w:b/>
          <w:bCs/>
          <w:color w:val="548DD4" w:themeColor="text2" w:themeTint="99"/>
          <w:sz w:val="24"/>
          <w:szCs w:val="40"/>
        </w:rPr>
      </w:pPr>
      <w:r w:rsidRPr="00144A07">
        <w:rPr>
          <w:rFonts w:ascii="Verdana" w:hAnsi="Verdana" w:cs="Tahoma"/>
          <w:b/>
          <w:color w:val="365F91" w:themeColor="accent1" w:themeShade="BF"/>
          <w:sz w:val="24"/>
          <w:szCs w:val="24"/>
        </w:rPr>
        <w:br w:type="page"/>
      </w:r>
      <w:r w:rsidRPr="00144A07">
        <w:rPr>
          <w:rFonts w:ascii="Verdana" w:hAnsi="Verdana"/>
          <w:b/>
          <w:bCs/>
          <w:color w:val="548DD4" w:themeColor="text2" w:themeTint="99"/>
          <w:sz w:val="24"/>
          <w:szCs w:val="40"/>
        </w:rPr>
        <w:lastRenderedPageBreak/>
        <w:t>Año 2014</w:t>
      </w:r>
    </w:p>
    <w:p w:rsidR="00482241" w:rsidRPr="00144A07" w:rsidRDefault="00482241" w:rsidP="00482241">
      <w:pPr>
        <w:spacing w:after="0" w:line="240" w:lineRule="auto"/>
        <w:contextualSpacing/>
        <w:jc w:val="both"/>
        <w:rPr>
          <w:rFonts w:ascii="Verdana" w:hAnsi="Verdana" w:cs="Tahoma"/>
          <w:sz w:val="24"/>
          <w:szCs w:val="24"/>
        </w:rPr>
      </w:pPr>
    </w:p>
    <w:p w:rsidR="00482241" w:rsidRPr="00144A07" w:rsidRDefault="00482241" w:rsidP="00482241">
      <w:pPr>
        <w:spacing w:after="0" w:line="240" w:lineRule="auto"/>
        <w:contextualSpacing/>
        <w:jc w:val="right"/>
        <w:rPr>
          <w:rFonts w:ascii="Verdana" w:hAnsi="Verdana" w:cs="Tahoma"/>
          <w:sz w:val="24"/>
          <w:szCs w:val="24"/>
        </w:rPr>
      </w:pPr>
      <w:r w:rsidRPr="00144A07">
        <w:rPr>
          <w:rFonts w:ascii="Verdana" w:hAnsi="Verdana" w:cs="Tahoma"/>
          <w:noProof/>
          <w:sz w:val="24"/>
          <w:szCs w:val="24"/>
          <w:lang w:eastAsia="es-CO"/>
        </w:rPr>
        <w:drawing>
          <wp:inline distT="0" distB="0" distL="0" distR="0">
            <wp:extent cx="6538961" cy="2619375"/>
            <wp:effectExtent l="19050" t="0" r="0" b="0"/>
            <wp:docPr id="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36994" cy="2618587"/>
                    </a:xfrm>
                    <a:prstGeom prst="rect">
                      <a:avLst/>
                    </a:prstGeom>
                    <a:noFill/>
                    <a:ln>
                      <a:noFill/>
                    </a:ln>
                  </pic:spPr>
                </pic:pic>
              </a:graphicData>
            </a:graphic>
          </wp:inline>
        </w:drawing>
      </w:r>
    </w:p>
    <w:p w:rsidR="00482241" w:rsidRPr="00144A07" w:rsidRDefault="00482241" w:rsidP="00482241">
      <w:pPr>
        <w:spacing w:after="0" w:line="240" w:lineRule="auto"/>
        <w:contextualSpacing/>
        <w:jc w:val="both"/>
        <w:rPr>
          <w:rFonts w:ascii="Verdana" w:hAnsi="Verdana" w:cs="Tahoma"/>
          <w:sz w:val="24"/>
          <w:szCs w:val="24"/>
        </w:rPr>
      </w:pPr>
      <w:r w:rsidRPr="00144A07">
        <w:rPr>
          <w:rFonts w:ascii="Verdana" w:hAnsi="Verdana" w:cs="Tahoma"/>
          <w:sz w:val="24"/>
          <w:szCs w:val="24"/>
        </w:rPr>
        <w:tab/>
      </w:r>
    </w:p>
    <w:p w:rsidR="00482241" w:rsidRPr="00144A07" w:rsidRDefault="00482241" w:rsidP="00482241">
      <w:pPr>
        <w:spacing w:after="0" w:line="240" w:lineRule="auto"/>
        <w:contextualSpacing/>
        <w:jc w:val="both"/>
        <w:rPr>
          <w:rFonts w:ascii="Verdana" w:hAnsi="Verdana" w:cs="Tahoma"/>
          <w:sz w:val="24"/>
          <w:szCs w:val="24"/>
        </w:rPr>
      </w:pPr>
      <w:r w:rsidRPr="00144A07">
        <w:rPr>
          <w:rFonts w:ascii="Verdana" w:hAnsi="Verdana" w:cs="Tahoma"/>
          <w:sz w:val="24"/>
          <w:szCs w:val="24"/>
        </w:rPr>
        <w:t>Durante la vigencia 2014 se adicionaron $97.781 millones correspondiente a adiciones por concepto de:</w:t>
      </w:r>
    </w:p>
    <w:p w:rsidR="00482241" w:rsidRPr="00144A07" w:rsidRDefault="00482241" w:rsidP="00482241">
      <w:pPr>
        <w:spacing w:after="0" w:line="240" w:lineRule="auto"/>
        <w:contextualSpacing/>
        <w:jc w:val="both"/>
        <w:rPr>
          <w:rFonts w:ascii="Verdana" w:hAnsi="Verdana" w:cs="Tahoma"/>
          <w:sz w:val="24"/>
          <w:szCs w:val="24"/>
        </w:rPr>
      </w:pPr>
    </w:p>
    <w:p w:rsidR="00482241" w:rsidRPr="00144A07" w:rsidRDefault="00482241" w:rsidP="00905C49">
      <w:pPr>
        <w:pStyle w:val="Prrafodelista"/>
        <w:numPr>
          <w:ilvl w:val="0"/>
          <w:numId w:val="79"/>
        </w:numPr>
        <w:spacing w:after="0" w:line="240" w:lineRule="auto"/>
        <w:jc w:val="both"/>
        <w:rPr>
          <w:rFonts w:ascii="Verdana" w:hAnsi="Verdana" w:cs="Tahoma"/>
          <w:sz w:val="24"/>
          <w:szCs w:val="24"/>
        </w:rPr>
      </w:pPr>
      <w:r w:rsidRPr="00144A07">
        <w:rPr>
          <w:rFonts w:ascii="Verdana" w:hAnsi="Verdana" w:cs="Tahoma"/>
          <w:sz w:val="24"/>
          <w:szCs w:val="24"/>
        </w:rPr>
        <w:t>Recursos provenientes del convenio firmado con la Agencia Española de Cooperación Internacional para el Desarrollo– AECID por un valor de $1.115 millones.</w:t>
      </w:r>
    </w:p>
    <w:p w:rsidR="00482241" w:rsidRPr="00144A07" w:rsidRDefault="00482241" w:rsidP="00482241">
      <w:pPr>
        <w:pStyle w:val="Prrafodelista"/>
        <w:spacing w:after="0" w:line="240" w:lineRule="auto"/>
        <w:ind w:left="0"/>
        <w:jc w:val="both"/>
        <w:rPr>
          <w:rFonts w:ascii="Verdana" w:hAnsi="Verdana" w:cs="Tahoma"/>
          <w:sz w:val="24"/>
          <w:szCs w:val="24"/>
        </w:rPr>
      </w:pPr>
    </w:p>
    <w:p w:rsidR="00482241" w:rsidRPr="00144A07" w:rsidRDefault="00482241" w:rsidP="00905C49">
      <w:pPr>
        <w:pStyle w:val="Prrafodelista"/>
        <w:numPr>
          <w:ilvl w:val="0"/>
          <w:numId w:val="79"/>
        </w:numPr>
        <w:spacing w:after="0" w:line="240" w:lineRule="auto"/>
        <w:ind w:left="714" w:hanging="357"/>
        <w:jc w:val="both"/>
        <w:rPr>
          <w:rFonts w:ascii="Verdana" w:hAnsi="Verdana" w:cs="Tahoma"/>
          <w:sz w:val="24"/>
          <w:szCs w:val="24"/>
        </w:rPr>
      </w:pPr>
      <w:r w:rsidRPr="00144A07">
        <w:rPr>
          <w:rFonts w:ascii="Verdana" w:hAnsi="Verdana" w:cs="Tahoma"/>
          <w:sz w:val="24"/>
          <w:szCs w:val="24"/>
        </w:rPr>
        <w:t>Incorporación de recursos de la Dirección Nacional de Estupefacientes al Fondo Para la Rehabilitación, Inversión Social y Lucha Contra El Crimen Organizado por un monto de $4.608 millones.</w:t>
      </w:r>
    </w:p>
    <w:p w:rsidR="00482241" w:rsidRPr="00144A07" w:rsidRDefault="00482241" w:rsidP="00482241">
      <w:pPr>
        <w:spacing w:after="0" w:line="240" w:lineRule="auto"/>
        <w:jc w:val="both"/>
        <w:rPr>
          <w:rFonts w:ascii="Verdana" w:hAnsi="Verdana" w:cs="Tahoma"/>
          <w:sz w:val="24"/>
          <w:szCs w:val="24"/>
        </w:rPr>
      </w:pPr>
    </w:p>
    <w:p w:rsidR="00482241" w:rsidRPr="00144A07" w:rsidRDefault="00482241" w:rsidP="00905C49">
      <w:pPr>
        <w:pStyle w:val="Prrafodelista"/>
        <w:numPr>
          <w:ilvl w:val="0"/>
          <w:numId w:val="79"/>
        </w:numPr>
        <w:spacing w:after="0" w:line="240" w:lineRule="auto"/>
        <w:jc w:val="both"/>
        <w:rPr>
          <w:rFonts w:ascii="Verdana" w:hAnsi="Verdana" w:cs="Tahoma"/>
          <w:sz w:val="24"/>
          <w:szCs w:val="24"/>
        </w:rPr>
      </w:pPr>
      <w:r w:rsidRPr="00144A07">
        <w:rPr>
          <w:rFonts w:ascii="Verdana" w:hAnsi="Verdana" w:cs="Tahoma"/>
          <w:sz w:val="24"/>
          <w:szCs w:val="24"/>
        </w:rPr>
        <w:t>Recursos de otras entidades para el pago de Atención Humanitaria en etapa de emergencia, en el marco del Auto 099 de 2013 de la Corte Constitucional por un total de $92.057 millones.</w:t>
      </w:r>
    </w:p>
    <w:p w:rsidR="00482241" w:rsidRPr="00144A07" w:rsidRDefault="00482241" w:rsidP="00482241">
      <w:pPr>
        <w:spacing w:after="0" w:line="240" w:lineRule="auto"/>
        <w:contextualSpacing/>
        <w:jc w:val="both"/>
        <w:rPr>
          <w:rFonts w:ascii="Verdana" w:hAnsi="Verdana"/>
          <w:b/>
          <w:bCs/>
          <w:color w:val="548DD4" w:themeColor="text2" w:themeTint="99"/>
          <w:sz w:val="28"/>
          <w:szCs w:val="40"/>
        </w:rPr>
      </w:pPr>
    </w:p>
    <w:p w:rsidR="00482241" w:rsidRPr="00880A32" w:rsidRDefault="00482241" w:rsidP="00482241">
      <w:pPr>
        <w:spacing w:after="0" w:line="240" w:lineRule="auto"/>
        <w:contextualSpacing/>
        <w:jc w:val="both"/>
        <w:rPr>
          <w:rFonts w:ascii="Verdana" w:hAnsi="Verdana"/>
          <w:b/>
          <w:bCs/>
          <w:color w:val="548DD4" w:themeColor="text2" w:themeTint="99"/>
          <w:sz w:val="24"/>
          <w:szCs w:val="40"/>
        </w:rPr>
      </w:pPr>
      <w:r w:rsidRPr="00880A32">
        <w:rPr>
          <w:rFonts w:ascii="Verdana" w:hAnsi="Verdana"/>
          <w:b/>
          <w:bCs/>
          <w:color w:val="548DD4" w:themeColor="text2" w:themeTint="99"/>
          <w:sz w:val="24"/>
          <w:szCs w:val="40"/>
        </w:rPr>
        <w:t>EJECUCIÓN PRESUPUESTAL</w:t>
      </w:r>
    </w:p>
    <w:p w:rsidR="00482241" w:rsidRPr="00144A07" w:rsidRDefault="00482241" w:rsidP="00482241">
      <w:pPr>
        <w:spacing w:after="0" w:line="240" w:lineRule="auto"/>
        <w:contextualSpacing/>
        <w:jc w:val="both"/>
        <w:rPr>
          <w:rFonts w:ascii="Verdana" w:hAnsi="Verdana" w:cs="Tahoma"/>
          <w:b/>
          <w:color w:val="365F91" w:themeColor="accent1" w:themeShade="BF"/>
          <w:sz w:val="24"/>
          <w:szCs w:val="24"/>
        </w:rPr>
      </w:pPr>
    </w:p>
    <w:p w:rsidR="00482241" w:rsidRPr="00144A07" w:rsidRDefault="00482241" w:rsidP="00482241">
      <w:pPr>
        <w:spacing w:after="0" w:line="240" w:lineRule="auto"/>
        <w:contextualSpacing/>
        <w:jc w:val="both"/>
        <w:rPr>
          <w:rFonts w:ascii="Verdana" w:hAnsi="Verdana" w:cs="Tahoma"/>
          <w:b/>
          <w:color w:val="548DD4" w:themeColor="text2" w:themeTint="99"/>
          <w:sz w:val="24"/>
          <w:szCs w:val="24"/>
        </w:rPr>
      </w:pPr>
      <w:r w:rsidRPr="00144A07">
        <w:rPr>
          <w:rFonts w:ascii="Verdana" w:hAnsi="Verdana" w:cs="Tahoma"/>
          <w:b/>
          <w:color w:val="548DD4" w:themeColor="text2" w:themeTint="99"/>
          <w:sz w:val="24"/>
          <w:szCs w:val="24"/>
        </w:rPr>
        <w:t>Compromisos</w:t>
      </w:r>
    </w:p>
    <w:p w:rsidR="00482241" w:rsidRPr="00144A07" w:rsidRDefault="00482241" w:rsidP="00482241">
      <w:pPr>
        <w:spacing w:after="0" w:line="240" w:lineRule="auto"/>
        <w:contextualSpacing/>
        <w:jc w:val="both"/>
        <w:rPr>
          <w:rFonts w:ascii="Verdana" w:hAnsi="Verdana" w:cs="Tahoma"/>
          <w:sz w:val="24"/>
          <w:szCs w:val="24"/>
        </w:rPr>
      </w:pPr>
      <w:r w:rsidRPr="00144A07">
        <w:rPr>
          <w:rFonts w:ascii="Verdana" w:hAnsi="Verdana" w:cs="Tahoma"/>
          <w:sz w:val="24"/>
          <w:szCs w:val="24"/>
        </w:rPr>
        <w:tab/>
      </w:r>
    </w:p>
    <w:p w:rsidR="00482241" w:rsidRPr="00144A07" w:rsidRDefault="00482241" w:rsidP="00482241">
      <w:pPr>
        <w:spacing w:after="0" w:line="240" w:lineRule="auto"/>
        <w:contextualSpacing/>
        <w:jc w:val="both"/>
        <w:rPr>
          <w:rFonts w:ascii="Verdana" w:hAnsi="Verdana" w:cs="Tahoma"/>
          <w:sz w:val="24"/>
          <w:szCs w:val="24"/>
        </w:rPr>
      </w:pPr>
      <w:r w:rsidRPr="00144A07">
        <w:rPr>
          <w:rFonts w:ascii="Verdana" w:hAnsi="Verdana" w:cs="Tahoma"/>
          <w:sz w:val="24"/>
          <w:szCs w:val="24"/>
        </w:rPr>
        <w:t>La ejecución de los recursos contratados en el año 2013 y 2014 fue del 96%, discriminada de la siguiente manera:</w:t>
      </w:r>
    </w:p>
    <w:p w:rsidR="00482241" w:rsidRPr="00144A07" w:rsidRDefault="00482241" w:rsidP="00482241">
      <w:pPr>
        <w:spacing w:after="0" w:line="240" w:lineRule="auto"/>
        <w:contextualSpacing/>
        <w:jc w:val="both"/>
        <w:rPr>
          <w:rFonts w:ascii="Verdana" w:hAnsi="Verdana" w:cs="Tahoma"/>
          <w:sz w:val="24"/>
          <w:szCs w:val="24"/>
        </w:rPr>
      </w:pPr>
    </w:p>
    <w:p w:rsidR="00482241" w:rsidRPr="00144A07" w:rsidRDefault="00482241" w:rsidP="00482241">
      <w:pPr>
        <w:spacing w:after="0" w:line="240" w:lineRule="auto"/>
        <w:contextualSpacing/>
        <w:jc w:val="center"/>
        <w:rPr>
          <w:rFonts w:ascii="Verdana" w:hAnsi="Verdana" w:cs="Tahoma"/>
          <w:b/>
          <w:color w:val="4F81BD" w:themeColor="accent1"/>
          <w:sz w:val="24"/>
          <w:szCs w:val="24"/>
        </w:rPr>
      </w:pPr>
      <w:r w:rsidRPr="00144A07">
        <w:rPr>
          <w:rFonts w:ascii="Verdana" w:hAnsi="Verdana" w:cs="Tahoma"/>
          <w:noProof/>
          <w:sz w:val="24"/>
          <w:szCs w:val="24"/>
          <w:lang w:eastAsia="es-CO"/>
        </w:rPr>
        <w:lastRenderedPageBreak/>
        <w:drawing>
          <wp:inline distT="0" distB="0" distL="0" distR="0">
            <wp:extent cx="5657850" cy="3190875"/>
            <wp:effectExtent l="19050" t="0" r="19050" b="0"/>
            <wp:docPr id="41"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82241" w:rsidRPr="00144A07" w:rsidRDefault="00482241" w:rsidP="00482241">
      <w:pPr>
        <w:spacing w:after="0" w:line="240" w:lineRule="auto"/>
        <w:contextualSpacing/>
        <w:jc w:val="both"/>
        <w:rPr>
          <w:rFonts w:ascii="Verdana" w:hAnsi="Verdana" w:cs="Tahoma"/>
          <w:b/>
          <w:color w:val="4F81BD" w:themeColor="accent1"/>
          <w:sz w:val="24"/>
          <w:szCs w:val="24"/>
        </w:rPr>
      </w:pPr>
      <w:r w:rsidRPr="00144A07">
        <w:rPr>
          <w:rFonts w:ascii="Verdana" w:hAnsi="Verdana" w:cs="Tahoma"/>
          <w:b/>
          <w:color w:val="4F81BD" w:themeColor="accent1"/>
          <w:sz w:val="24"/>
          <w:szCs w:val="24"/>
        </w:rPr>
        <w:t xml:space="preserve">                                                                                        </w:t>
      </w:r>
    </w:p>
    <w:p w:rsidR="00482241" w:rsidRPr="00144A07" w:rsidRDefault="00482241" w:rsidP="00482241">
      <w:pPr>
        <w:spacing w:after="0" w:line="240" w:lineRule="auto"/>
        <w:contextualSpacing/>
        <w:jc w:val="both"/>
        <w:rPr>
          <w:rFonts w:ascii="Verdana" w:hAnsi="Verdana" w:cs="Tahoma"/>
          <w:b/>
          <w:color w:val="4F81BD" w:themeColor="accent1"/>
          <w:sz w:val="24"/>
          <w:szCs w:val="24"/>
        </w:rPr>
      </w:pPr>
    </w:p>
    <w:p w:rsidR="00482241" w:rsidRPr="00144A07" w:rsidRDefault="00482241" w:rsidP="00482241">
      <w:pPr>
        <w:spacing w:after="0" w:line="240" w:lineRule="auto"/>
        <w:contextualSpacing/>
        <w:jc w:val="both"/>
        <w:rPr>
          <w:rFonts w:ascii="Verdana" w:hAnsi="Verdana" w:cs="Tahoma"/>
          <w:sz w:val="24"/>
          <w:szCs w:val="24"/>
        </w:rPr>
      </w:pPr>
      <w:r w:rsidRPr="00144A07">
        <w:rPr>
          <w:rFonts w:ascii="Verdana" w:hAnsi="Verdana" w:cs="Tahoma"/>
          <w:sz w:val="24"/>
          <w:szCs w:val="24"/>
        </w:rPr>
        <w:t>En los años 2013 y 2014 no se ejecutaron el 4% debido principalmente a:</w:t>
      </w:r>
    </w:p>
    <w:p w:rsidR="00482241" w:rsidRPr="00144A07" w:rsidRDefault="00482241" w:rsidP="00482241">
      <w:pPr>
        <w:spacing w:after="0" w:line="240" w:lineRule="auto"/>
        <w:contextualSpacing/>
        <w:jc w:val="both"/>
        <w:rPr>
          <w:rFonts w:ascii="Verdana" w:hAnsi="Verdana" w:cs="Tahoma"/>
          <w:sz w:val="24"/>
          <w:szCs w:val="24"/>
        </w:rPr>
      </w:pPr>
    </w:p>
    <w:p w:rsidR="00482241" w:rsidRPr="00C42779" w:rsidRDefault="00482241" w:rsidP="00905C49">
      <w:pPr>
        <w:pStyle w:val="Prrafodelista"/>
        <w:numPr>
          <w:ilvl w:val="0"/>
          <w:numId w:val="81"/>
        </w:numPr>
        <w:spacing w:after="0" w:line="240" w:lineRule="auto"/>
        <w:jc w:val="both"/>
        <w:rPr>
          <w:rFonts w:ascii="Verdana" w:hAnsi="Verdana" w:cs="Tahoma"/>
          <w:sz w:val="24"/>
          <w:szCs w:val="24"/>
        </w:rPr>
      </w:pPr>
      <w:r w:rsidRPr="00C42779">
        <w:rPr>
          <w:rFonts w:ascii="Verdana" w:hAnsi="Verdana" w:cs="Tahoma"/>
          <w:sz w:val="24"/>
          <w:szCs w:val="24"/>
        </w:rPr>
        <w:t>Durante las dos vigencias, los recursos inicialmente previstos para gastos de personal no fueron usados en su totalidad por la no provisión de todas las vacantes. En el año 2013 se dejaron de ejecutar $4.897 millones, mientras que en el año 2014 no se ejecutaron $2.882 millones.</w:t>
      </w:r>
    </w:p>
    <w:p w:rsidR="00482241" w:rsidRPr="00144A07" w:rsidRDefault="00482241" w:rsidP="00482241">
      <w:pPr>
        <w:pStyle w:val="Prrafodelista"/>
        <w:spacing w:after="0" w:line="240" w:lineRule="auto"/>
        <w:ind w:left="0"/>
        <w:jc w:val="both"/>
        <w:rPr>
          <w:rFonts w:ascii="Verdana" w:hAnsi="Verdana" w:cs="Tahoma"/>
          <w:sz w:val="24"/>
          <w:szCs w:val="24"/>
        </w:rPr>
      </w:pPr>
    </w:p>
    <w:p w:rsidR="00482241" w:rsidRPr="00C42779" w:rsidRDefault="00482241" w:rsidP="00905C49">
      <w:pPr>
        <w:pStyle w:val="Prrafodelista"/>
        <w:numPr>
          <w:ilvl w:val="0"/>
          <w:numId w:val="81"/>
        </w:numPr>
        <w:spacing w:after="0" w:line="240" w:lineRule="auto"/>
        <w:jc w:val="both"/>
        <w:rPr>
          <w:rFonts w:ascii="Verdana" w:hAnsi="Verdana" w:cs="Tahoma"/>
          <w:sz w:val="24"/>
          <w:szCs w:val="24"/>
        </w:rPr>
      </w:pPr>
      <w:r w:rsidRPr="00C42779">
        <w:rPr>
          <w:rFonts w:ascii="Verdana" w:hAnsi="Verdana" w:cs="Tahoma"/>
          <w:sz w:val="24"/>
          <w:szCs w:val="24"/>
        </w:rPr>
        <w:t>La Unidad históricamente ha tenido una ejecución baja en los recursos propios</w:t>
      </w:r>
      <w:r w:rsidRPr="00144A07">
        <w:rPr>
          <w:rStyle w:val="Refdenotaalpie"/>
          <w:rFonts w:ascii="Verdana" w:hAnsi="Verdana" w:cs="Tahoma"/>
          <w:sz w:val="24"/>
          <w:szCs w:val="24"/>
        </w:rPr>
        <w:footnoteReference w:id="10"/>
      </w:r>
      <w:r w:rsidRPr="00C42779">
        <w:rPr>
          <w:rFonts w:ascii="Verdana" w:hAnsi="Verdana" w:cs="Tahoma"/>
          <w:sz w:val="24"/>
          <w:szCs w:val="24"/>
        </w:rPr>
        <w:t>, a pesar de solicitar al Ministerio de Hacienda una menor apropiación este nos siguen asignando recursos superiores a 40.000 millones, en el año 2013 $42.640 millones y en el año 2014 $43.919 millones, representando un 7% de baja ejecución en Transferencias. Es de resaltar que en el año 2015 solicitamos 14.767 millones y nos asignaron $45.237 millones.</w:t>
      </w:r>
    </w:p>
    <w:p w:rsidR="00482241" w:rsidRPr="00144A07" w:rsidRDefault="00482241" w:rsidP="00482241">
      <w:pPr>
        <w:pStyle w:val="Prrafodelista"/>
        <w:spacing w:after="0" w:line="240" w:lineRule="auto"/>
        <w:ind w:left="0" w:firstLine="90"/>
        <w:jc w:val="both"/>
        <w:rPr>
          <w:rFonts w:ascii="Verdana" w:hAnsi="Verdana" w:cs="Tahoma"/>
          <w:sz w:val="24"/>
          <w:szCs w:val="24"/>
        </w:rPr>
      </w:pPr>
    </w:p>
    <w:p w:rsidR="00482241" w:rsidRPr="00C42779" w:rsidRDefault="00482241" w:rsidP="00905C49">
      <w:pPr>
        <w:pStyle w:val="Prrafodelista"/>
        <w:numPr>
          <w:ilvl w:val="0"/>
          <w:numId w:val="81"/>
        </w:numPr>
        <w:spacing w:after="0" w:line="240" w:lineRule="auto"/>
        <w:jc w:val="both"/>
        <w:rPr>
          <w:rFonts w:ascii="Verdana" w:hAnsi="Verdana" w:cs="Tahoma"/>
          <w:sz w:val="24"/>
          <w:szCs w:val="24"/>
        </w:rPr>
      </w:pPr>
      <w:r w:rsidRPr="00C42779">
        <w:rPr>
          <w:rFonts w:ascii="Verdana" w:hAnsi="Verdana" w:cs="Tahoma"/>
          <w:sz w:val="24"/>
          <w:szCs w:val="24"/>
        </w:rPr>
        <w:lastRenderedPageBreak/>
        <w:t xml:space="preserve">El déficit de recursos de Atención Humanitaria, hace que la ejecución de los recursos de la Unidad no se realice de manera acelerada, puesto que se deben reservar los mismos para casos de extrema vulnerabilidad.    </w:t>
      </w:r>
    </w:p>
    <w:p w:rsidR="00482241" w:rsidRPr="00144A07" w:rsidRDefault="00482241" w:rsidP="00482241">
      <w:pPr>
        <w:spacing w:after="0" w:line="240" w:lineRule="auto"/>
        <w:contextualSpacing/>
        <w:jc w:val="both"/>
        <w:rPr>
          <w:rFonts w:ascii="Verdana" w:hAnsi="Verdana" w:cs="Tahoma"/>
          <w:b/>
          <w:color w:val="365F91" w:themeColor="accent1" w:themeShade="BF"/>
          <w:sz w:val="24"/>
          <w:szCs w:val="24"/>
        </w:rPr>
      </w:pPr>
    </w:p>
    <w:p w:rsidR="00482241" w:rsidRPr="00144A07" w:rsidRDefault="00482241" w:rsidP="00482241">
      <w:pPr>
        <w:spacing w:after="0" w:line="240" w:lineRule="auto"/>
        <w:contextualSpacing/>
        <w:jc w:val="both"/>
        <w:rPr>
          <w:rFonts w:ascii="Verdana" w:hAnsi="Verdana" w:cs="Tahoma"/>
          <w:b/>
          <w:color w:val="548DD4" w:themeColor="text2" w:themeTint="99"/>
          <w:sz w:val="24"/>
          <w:szCs w:val="24"/>
        </w:rPr>
      </w:pPr>
      <w:r w:rsidRPr="00144A07">
        <w:rPr>
          <w:rFonts w:ascii="Verdana" w:hAnsi="Verdana" w:cs="Tahoma"/>
          <w:b/>
          <w:color w:val="548DD4" w:themeColor="text2" w:themeTint="99"/>
          <w:sz w:val="24"/>
          <w:szCs w:val="24"/>
        </w:rPr>
        <w:t>Obligaciones</w:t>
      </w:r>
    </w:p>
    <w:p w:rsidR="00482241" w:rsidRPr="00144A07" w:rsidRDefault="00482241" w:rsidP="00482241">
      <w:pPr>
        <w:spacing w:after="0" w:line="240" w:lineRule="auto"/>
        <w:jc w:val="both"/>
        <w:rPr>
          <w:rFonts w:ascii="Verdana" w:hAnsi="Verdana" w:cs="Tahoma"/>
          <w:sz w:val="24"/>
          <w:szCs w:val="24"/>
        </w:rPr>
      </w:pPr>
    </w:p>
    <w:p w:rsidR="00482241" w:rsidRPr="00144A07" w:rsidRDefault="00482241" w:rsidP="00482241">
      <w:pPr>
        <w:spacing w:after="0" w:line="240" w:lineRule="auto"/>
        <w:contextualSpacing/>
        <w:jc w:val="center"/>
        <w:rPr>
          <w:rFonts w:ascii="Verdana" w:hAnsi="Verdana" w:cs="Tahoma"/>
          <w:sz w:val="24"/>
          <w:szCs w:val="24"/>
        </w:rPr>
      </w:pPr>
      <w:r w:rsidRPr="00144A07">
        <w:rPr>
          <w:rFonts w:ascii="Verdana" w:hAnsi="Verdana" w:cs="Tahoma"/>
          <w:noProof/>
          <w:sz w:val="24"/>
          <w:szCs w:val="24"/>
          <w:lang w:eastAsia="es-CO"/>
        </w:rPr>
        <w:drawing>
          <wp:inline distT="0" distB="0" distL="0" distR="0">
            <wp:extent cx="5095875" cy="3295650"/>
            <wp:effectExtent l="19050" t="0" r="9525" b="0"/>
            <wp:docPr id="42"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01A56" w:rsidRDefault="00482241" w:rsidP="00482241">
      <w:pPr>
        <w:spacing w:after="0" w:line="240" w:lineRule="auto"/>
        <w:contextualSpacing/>
        <w:jc w:val="both"/>
        <w:rPr>
          <w:rFonts w:ascii="Verdana" w:hAnsi="Verdana" w:cs="Tahoma"/>
          <w:b/>
          <w:color w:val="4F81BD" w:themeColor="accent1"/>
          <w:sz w:val="24"/>
          <w:szCs w:val="24"/>
        </w:rPr>
      </w:pPr>
      <w:r w:rsidRPr="00144A07">
        <w:rPr>
          <w:rFonts w:ascii="Verdana" w:hAnsi="Verdana" w:cs="Tahoma"/>
          <w:b/>
          <w:color w:val="4F81BD" w:themeColor="accent1"/>
          <w:sz w:val="24"/>
          <w:szCs w:val="24"/>
        </w:rPr>
        <w:t xml:space="preserve">  </w:t>
      </w:r>
    </w:p>
    <w:p w:rsidR="00201A56" w:rsidRPr="00201A56" w:rsidRDefault="00201A56" w:rsidP="00201A56">
      <w:pPr>
        <w:spacing w:after="0" w:line="240" w:lineRule="auto"/>
        <w:contextualSpacing/>
        <w:jc w:val="both"/>
        <w:rPr>
          <w:rFonts w:ascii="Tahoma" w:hAnsi="Tahoma" w:cs="Tahoma"/>
          <w:b/>
          <w:color w:val="4F81BD" w:themeColor="accent1"/>
          <w:sz w:val="24"/>
          <w:szCs w:val="24"/>
        </w:rPr>
      </w:pPr>
      <w:r w:rsidRPr="00201A56">
        <w:rPr>
          <w:rFonts w:ascii="Tahoma" w:hAnsi="Tahoma" w:cs="Tahoma"/>
          <w:b/>
          <w:color w:val="4F81BD" w:themeColor="accent1"/>
          <w:sz w:val="24"/>
          <w:szCs w:val="24"/>
        </w:rPr>
        <w:t>ESTADOS FINANCIEROS</w:t>
      </w:r>
    </w:p>
    <w:p w:rsidR="00201A56" w:rsidRDefault="00201A56" w:rsidP="00201A56">
      <w:pPr>
        <w:spacing w:after="0" w:line="240" w:lineRule="auto"/>
        <w:contextualSpacing/>
        <w:jc w:val="both"/>
        <w:rPr>
          <w:rFonts w:ascii="Tahoma" w:hAnsi="Tahoma" w:cs="Tahoma"/>
          <w:b/>
          <w:color w:val="4F81BD" w:themeColor="accent1"/>
          <w:sz w:val="24"/>
          <w:szCs w:val="24"/>
        </w:rPr>
      </w:pPr>
    </w:p>
    <w:p w:rsidR="00201A56" w:rsidRPr="00201A56" w:rsidRDefault="00201A56" w:rsidP="00201A56">
      <w:pPr>
        <w:spacing w:after="0" w:line="240" w:lineRule="auto"/>
        <w:contextualSpacing/>
        <w:jc w:val="both"/>
        <w:rPr>
          <w:rFonts w:ascii="Verdana" w:hAnsi="Verdana" w:cs="Tahoma"/>
          <w:sz w:val="24"/>
          <w:szCs w:val="24"/>
        </w:rPr>
      </w:pPr>
      <w:r w:rsidRPr="00201A56">
        <w:rPr>
          <w:rFonts w:ascii="Verdana" w:hAnsi="Verdana" w:cs="Tahoma"/>
          <w:sz w:val="24"/>
          <w:szCs w:val="24"/>
        </w:rPr>
        <w:t xml:space="preserve">La Unidad elabora y publica los estados financieros de acuerdo a la normatividad. Estos son informes por medio de los cuales se da a conocer la situación económica y financiera y los cambios que experimentó la Unidad. </w:t>
      </w:r>
    </w:p>
    <w:p w:rsidR="00201A56" w:rsidRPr="00201A56" w:rsidRDefault="00201A56" w:rsidP="00201A56">
      <w:pPr>
        <w:spacing w:after="0" w:line="240" w:lineRule="auto"/>
        <w:contextualSpacing/>
        <w:jc w:val="both"/>
        <w:rPr>
          <w:rFonts w:ascii="Verdana" w:hAnsi="Verdana" w:cs="Tahoma"/>
          <w:sz w:val="24"/>
          <w:szCs w:val="24"/>
        </w:rPr>
      </w:pPr>
    </w:p>
    <w:p w:rsidR="00201A56" w:rsidRPr="00201A56" w:rsidRDefault="00201A56" w:rsidP="00201A56">
      <w:pPr>
        <w:spacing w:after="0" w:line="240" w:lineRule="auto"/>
        <w:contextualSpacing/>
        <w:jc w:val="both"/>
        <w:rPr>
          <w:rFonts w:ascii="Verdana" w:hAnsi="Verdana" w:cs="Tahoma"/>
          <w:sz w:val="24"/>
          <w:szCs w:val="24"/>
        </w:rPr>
      </w:pPr>
      <w:r w:rsidRPr="00201A56">
        <w:rPr>
          <w:rFonts w:ascii="Verdana" w:hAnsi="Verdana" w:cs="Tahoma"/>
          <w:sz w:val="24"/>
          <w:szCs w:val="24"/>
        </w:rPr>
        <w:t xml:space="preserve">En el siguiente link se encuentran publicados los estados financieros del año 2014: </w:t>
      </w:r>
      <w:hyperlink r:id="rId45" w:history="1">
        <w:r w:rsidRPr="00201A56">
          <w:rPr>
            <w:rStyle w:val="Hipervnculo"/>
            <w:rFonts w:ascii="Verdana" w:hAnsi="Verdana" w:cs="Tahoma"/>
            <w:sz w:val="24"/>
            <w:szCs w:val="24"/>
          </w:rPr>
          <w:t>http://www.unidadvictimas.gov.co/index.php/indicadores-de-gestion/2013</w:t>
        </w:r>
      </w:hyperlink>
      <w:r w:rsidRPr="00201A56">
        <w:rPr>
          <w:rFonts w:ascii="Verdana" w:hAnsi="Verdana" w:cs="Tahoma"/>
          <w:sz w:val="24"/>
          <w:szCs w:val="24"/>
        </w:rPr>
        <w:t>.</w:t>
      </w:r>
    </w:p>
    <w:p w:rsidR="00482241" w:rsidRPr="00144A07" w:rsidRDefault="00482241" w:rsidP="00482241">
      <w:pPr>
        <w:spacing w:after="0" w:line="240" w:lineRule="auto"/>
        <w:contextualSpacing/>
        <w:jc w:val="both"/>
        <w:rPr>
          <w:rFonts w:ascii="Verdana" w:hAnsi="Verdana" w:cs="Tahoma"/>
          <w:b/>
          <w:color w:val="4F81BD" w:themeColor="accent1"/>
          <w:sz w:val="24"/>
          <w:szCs w:val="24"/>
        </w:rPr>
      </w:pPr>
      <w:r w:rsidRPr="00144A07">
        <w:rPr>
          <w:rFonts w:ascii="Verdana" w:hAnsi="Verdana" w:cs="Tahoma"/>
          <w:b/>
          <w:color w:val="4F81BD" w:themeColor="accent1"/>
          <w:sz w:val="24"/>
          <w:szCs w:val="24"/>
        </w:rPr>
        <w:t xml:space="preserve">                                                                                  </w:t>
      </w:r>
    </w:p>
    <w:p w:rsidR="00482241" w:rsidRPr="00FB4B77" w:rsidRDefault="00FB4B77" w:rsidP="00FB4B77">
      <w:pPr>
        <w:pStyle w:val="Prrafodelista"/>
        <w:spacing w:after="0" w:line="240" w:lineRule="auto"/>
        <w:ind w:left="0"/>
        <w:rPr>
          <w:rFonts w:ascii="Verdana" w:hAnsi="Verdana" w:cs="Tahoma"/>
          <w:b/>
          <w:color w:val="365F91" w:themeColor="accent1" w:themeShade="BF"/>
          <w:sz w:val="28"/>
          <w:szCs w:val="24"/>
        </w:rPr>
      </w:pPr>
      <w:r w:rsidRPr="00FB4B77">
        <w:rPr>
          <w:rFonts w:ascii="Verdana" w:hAnsi="Verdana" w:cs="Tahoma"/>
          <w:b/>
          <w:noProof/>
          <w:color w:val="548DD4" w:themeColor="text2" w:themeTint="99"/>
          <w:sz w:val="32"/>
          <w:szCs w:val="24"/>
          <w:lang w:eastAsia="es-CO"/>
        </w:rPr>
        <w:drawing>
          <wp:inline distT="0" distB="0" distL="0" distR="0">
            <wp:extent cx="216024" cy="216024"/>
            <wp:effectExtent l="19050" t="0" r="0" b="0"/>
            <wp:docPr id="476"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6516216" y="2996952"/>
                      <a:chExt cx="216024" cy="216024"/>
                    </a:xfrm>
                  </a:grpSpPr>
                  <a:sp>
                    <a:nvSpPr>
                      <a:cNvPr id="38" name="37 Rectángulo redondeado"/>
                      <a:cNvSpPr/>
                    </a:nvSpPr>
                    <a:spPr>
                      <a:xfrm>
                        <a:off x="6516216" y="2996952"/>
                        <a:ext cx="216024" cy="216024"/>
                      </a:xfrm>
                      <a:prstGeom prst="roundRect">
                        <a:avLst/>
                      </a:prstGeom>
                      <a:gradFill flip="none" rotWithShape="1">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hAnsi="Verdana" w:cs="Tahoma"/>
          <w:b/>
          <w:color w:val="548DD4" w:themeColor="text2" w:themeTint="99"/>
          <w:sz w:val="32"/>
          <w:szCs w:val="24"/>
        </w:rPr>
        <w:t xml:space="preserve"> </w:t>
      </w:r>
      <w:r w:rsidR="003B1BD8">
        <w:rPr>
          <w:rFonts w:ascii="Verdana" w:hAnsi="Verdana" w:cs="Tahoma"/>
          <w:b/>
          <w:color w:val="548DD4" w:themeColor="text2" w:themeTint="99"/>
          <w:sz w:val="32"/>
          <w:szCs w:val="24"/>
        </w:rPr>
        <w:t xml:space="preserve"> </w:t>
      </w:r>
      <w:r>
        <w:rPr>
          <w:rFonts w:ascii="Verdana" w:hAnsi="Verdana" w:cs="Tahoma"/>
          <w:b/>
          <w:color w:val="548DD4" w:themeColor="text2" w:themeTint="99"/>
          <w:sz w:val="32"/>
          <w:szCs w:val="24"/>
        </w:rPr>
        <w:t xml:space="preserve"> </w:t>
      </w:r>
      <w:r w:rsidR="00482241" w:rsidRPr="003B1BD8">
        <w:rPr>
          <w:rFonts w:ascii="Verdana" w:hAnsi="Verdana" w:cs="Tahoma"/>
          <w:b/>
          <w:color w:val="548DD4" w:themeColor="text2" w:themeTint="99"/>
          <w:sz w:val="28"/>
          <w:szCs w:val="24"/>
        </w:rPr>
        <w:t>CUMPLIMIENTO DE METAS</w:t>
      </w:r>
    </w:p>
    <w:p w:rsidR="00482241" w:rsidRPr="00144A07" w:rsidRDefault="00482241" w:rsidP="00482241">
      <w:pPr>
        <w:pStyle w:val="Prrafodelista"/>
        <w:spacing w:after="0" w:line="240" w:lineRule="auto"/>
        <w:ind w:left="0"/>
        <w:rPr>
          <w:rFonts w:ascii="Verdana" w:hAnsi="Verdana" w:cs="Tahoma"/>
          <w:b/>
          <w:sz w:val="24"/>
          <w:szCs w:val="24"/>
        </w:rPr>
      </w:pPr>
      <w:r w:rsidRPr="00144A07">
        <w:rPr>
          <w:rFonts w:ascii="Verdana" w:hAnsi="Verdana" w:cs="Tahoma"/>
          <w:b/>
          <w:sz w:val="24"/>
          <w:szCs w:val="24"/>
        </w:rPr>
        <w:tab/>
      </w:r>
    </w:p>
    <w:p w:rsidR="00482241" w:rsidRPr="00144A07" w:rsidRDefault="00482241" w:rsidP="00482241">
      <w:pPr>
        <w:spacing w:after="0" w:line="240" w:lineRule="auto"/>
        <w:jc w:val="both"/>
        <w:rPr>
          <w:rFonts w:ascii="Verdana" w:hAnsi="Verdana" w:cs="Tahoma"/>
          <w:sz w:val="24"/>
          <w:szCs w:val="24"/>
        </w:rPr>
      </w:pPr>
      <w:r w:rsidRPr="00144A07">
        <w:rPr>
          <w:rFonts w:ascii="Verdana" w:hAnsi="Verdana" w:cs="Tahoma"/>
          <w:sz w:val="24"/>
          <w:szCs w:val="24"/>
        </w:rPr>
        <w:t>Con el propósito de restituir el goce efectivo de derechos de las víctimas y de acuerdo al plan estratégico de la entidad, las siguientes actividades corresponden a actividades estratégicas del plan de acción vigencia 2014:</w:t>
      </w:r>
    </w:p>
    <w:p w:rsidR="00482241" w:rsidRPr="00144A07" w:rsidRDefault="00482241" w:rsidP="00482241">
      <w:pPr>
        <w:spacing w:after="0" w:line="240" w:lineRule="auto"/>
        <w:jc w:val="both"/>
        <w:rPr>
          <w:rFonts w:ascii="Verdana" w:hAnsi="Verdana" w:cs="Tahoma"/>
          <w:sz w:val="24"/>
          <w:szCs w:val="24"/>
        </w:rPr>
        <w:sectPr w:rsidR="00482241" w:rsidRPr="00144A07" w:rsidSect="00D509E5">
          <w:headerReference w:type="default" r:id="rId46"/>
          <w:pgSz w:w="12240" w:h="15840"/>
          <w:pgMar w:top="1985" w:right="1134" w:bottom="1418" w:left="1134" w:header="1134" w:footer="709" w:gutter="0"/>
          <w:cols w:space="708"/>
          <w:titlePg/>
          <w:docGrid w:linePitch="360"/>
        </w:sectPr>
      </w:pPr>
    </w:p>
    <w:p w:rsidR="00482241" w:rsidRPr="00144A07" w:rsidRDefault="00482241" w:rsidP="00482241">
      <w:pPr>
        <w:spacing w:after="0" w:line="240" w:lineRule="auto"/>
        <w:jc w:val="center"/>
        <w:rPr>
          <w:rFonts w:ascii="Verdana" w:hAnsi="Verdana" w:cs="Tahoma"/>
          <w:sz w:val="24"/>
          <w:szCs w:val="24"/>
        </w:rPr>
      </w:pPr>
      <w:r w:rsidRPr="00E75244">
        <w:rPr>
          <w:rFonts w:ascii="Verdana" w:hAnsi="Verdana"/>
          <w:noProof/>
          <w:szCs w:val="24"/>
          <w:lang w:eastAsia="es-CO"/>
        </w:rPr>
        <w:lastRenderedPageBreak/>
        <w:drawing>
          <wp:anchor distT="0" distB="0" distL="114300" distR="114300" simplePos="0" relativeHeight="251711488" behindDoc="0" locked="0" layoutInCell="1" allowOverlap="1">
            <wp:simplePos x="0" y="0"/>
            <wp:positionH relativeFrom="column">
              <wp:posOffset>3810</wp:posOffset>
            </wp:positionH>
            <wp:positionV relativeFrom="paragraph">
              <wp:posOffset>1063625</wp:posOffset>
            </wp:positionV>
            <wp:extent cx="8143875" cy="5984875"/>
            <wp:effectExtent l="0" t="1066800" r="0" b="1082675"/>
            <wp:wrapTopAndBottom/>
            <wp:docPr id="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rot="16200000">
                      <a:off x="0" y="0"/>
                      <a:ext cx="8143875" cy="5984875"/>
                    </a:xfrm>
                    <a:prstGeom prst="rect">
                      <a:avLst/>
                    </a:prstGeom>
                    <a:noFill/>
                    <a:ln w="9525">
                      <a:noFill/>
                      <a:miter lim="800000"/>
                      <a:headEnd/>
                      <a:tailEnd/>
                    </a:ln>
                  </pic:spPr>
                </pic:pic>
              </a:graphicData>
            </a:graphic>
          </wp:anchor>
        </w:drawing>
      </w:r>
      <w:r w:rsidRPr="00144A07">
        <w:rPr>
          <w:rFonts w:ascii="Verdana" w:hAnsi="Verdana" w:cs="Tahoma"/>
          <w:sz w:val="24"/>
          <w:szCs w:val="24"/>
        </w:rPr>
        <w:br w:type="page"/>
      </w:r>
    </w:p>
    <w:p w:rsidR="00482241" w:rsidRPr="00144A07" w:rsidRDefault="00482241" w:rsidP="00482241">
      <w:pPr>
        <w:spacing w:after="0" w:line="240" w:lineRule="auto"/>
        <w:ind w:right="246"/>
        <w:jc w:val="center"/>
        <w:rPr>
          <w:rFonts w:ascii="Verdana" w:hAnsi="Verdana" w:cs="Tahoma"/>
          <w:sz w:val="24"/>
          <w:szCs w:val="24"/>
        </w:rPr>
      </w:pPr>
      <w:r w:rsidRPr="00144A07">
        <w:rPr>
          <w:rFonts w:ascii="Verdana" w:hAnsi="Verdana"/>
          <w:noProof/>
          <w:szCs w:val="24"/>
          <w:lang w:eastAsia="es-CO"/>
        </w:rPr>
        <w:lastRenderedPageBreak/>
        <w:drawing>
          <wp:anchor distT="0" distB="0" distL="114300" distR="114300" simplePos="0" relativeHeight="251712512" behindDoc="0" locked="0" layoutInCell="1" allowOverlap="1">
            <wp:simplePos x="0" y="0"/>
            <wp:positionH relativeFrom="column">
              <wp:posOffset>-558165</wp:posOffset>
            </wp:positionH>
            <wp:positionV relativeFrom="paragraph">
              <wp:posOffset>1377315</wp:posOffset>
            </wp:positionV>
            <wp:extent cx="8204835" cy="4976495"/>
            <wp:effectExtent l="0" t="1600200" r="0" b="1595755"/>
            <wp:wrapTopAndBottom/>
            <wp:docPr id="4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rot="16200000">
                      <a:off x="0" y="0"/>
                      <a:ext cx="8204835" cy="4976495"/>
                    </a:xfrm>
                    <a:prstGeom prst="rect">
                      <a:avLst/>
                    </a:prstGeom>
                    <a:noFill/>
                    <a:ln w="9525">
                      <a:noFill/>
                      <a:miter lim="800000"/>
                      <a:headEnd/>
                      <a:tailEnd/>
                    </a:ln>
                  </pic:spPr>
                </pic:pic>
              </a:graphicData>
            </a:graphic>
          </wp:anchor>
        </w:drawing>
      </w:r>
    </w:p>
    <w:p w:rsidR="00482241" w:rsidRPr="00144A07" w:rsidRDefault="00482241" w:rsidP="00482241">
      <w:pPr>
        <w:spacing w:after="0" w:line="240" w:lineRule="auto"/>
        <w:rPr>
          <w:rFonts w:ascii="Verdana" w:hAnsi="Verdana" w:cs="Tahoma"/>
          <w:sz w:val="24"/>
          <w:szCs w:val="24"/>
        </w:rPr>
      </w:pPr>
      <w:r w:rsidRPr="00144A07">
        <w:rPr>
          <w:rFonts w:ascii="Verdana" w:hAnsi="Verdana"/>
          <w:noProof/>
          <w:szCs w:val="24"/>
          <w:lang w:eastAsia="es-CO"/>
        </w:rPr>
        <w:lastRenderedPageBreak/>
        <w:drawing>
          <wp:anchor distT="0" distB="0" distL="114300" distR="114300" simplePos="0" relativeHeight="251713536" behindDoc="0" locked="0" layoutInCell="1" allowOverlap="1">
            <wp:simplePos x="0" y="0"/>
            <wp:positionH relativeFrom="column">
              <wp:posOffset>3810</wp:posOffset>
            </wp:positionH>
            <wp:positionV relativeFrom="paragraph">
              <wp:posOffset>2016125</wp:posOffset>
            </wp:positionV>
            <wp:extent cx="7877175" cy="3800475"/>
            <wp:effectExtent l="0" t="2019300" r="0" b="2028825"/>
            <wp:wrapTopAndBottom/>
            <wp:docPr id="4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a:stretch>
                      <a:fillRect/>
                    </a:stretch>
                  </pic:blipFill>
                  <pic:spPr bwMode="auto">
                    <a:xfrm rot="16200000">
                      <a:off x="0" y="0"/>
                      <a:ext cx="7877175" cy="3800475"/>
                    </a:xfrm>
                    <a:prstGeom prst="rect">
                      <a:avLst/>
                    </a:prstGeom>
                    <a:noFill/>
                    <a:ln w="9525">
                      <a:noFill/>
                      <a:miter lim="800000"/>
                      <a:headEnd/>
                      <a:tailEnd/>
                    </a:ln>
                  </pic:spPr>
                </pic:pic>
              </a:graphicData>
            </a:graphic>
          </wp:anchor>
        </w:drawing>
      </w:r>
    </w:p>
    <w:p w:rsidR="00482241" w:rsidRPr="00144A07" w:rsidRDefault="00482241" w:rsidP="00482241">
      <w:pPr>
        <w:spacing w:after="0" w:line="240" w:lineRule="auto"/>
        <w:rPr>
          <w:rFonts w:ascii="Verdana" w:hAnsi="Verdana" w:cs="Tahoma"/>
          <w:sz w:val="24"/>
          <w:szCs w:val="24"/>
        </w:rPr>
      </w:pPr>
      <w:r w:rsidRPr="00144A07">
        <w:rPr>
          <w:rFonts w:ascii="Verdana" w:hAnsi="Verdana"/>
          <w:noProof/>
          <w:szCs w:val="24"/>
          <w:lang w:eastAsia="es-CO"/>
        </w:rPr>
        <w:lastRenderedPageBreak/>
        <w:drawing>
          <wp:anchor distT="0" distB="0" distL="114300" distR="114300" simplePos="0" relativeHeight="251715584" behindDoc="0" locked="0" layoutInCell="1" allowOverlap="1">
            <wp:simplePos x="0" y="0"/>
            <wp:positionH relativeFrom="column">
              <wp:posOffset>3810</wp:posOffset>
            </wp:positionH>
            <wp:positionV relativeFrom="paragraph">
              <wp:posOffset>1025525</wp:posOffset>
            </wp:positionV>
            <wp:extent cx="7477125" cy="5396865"/>
            <wp:effectExtent l="0" t="1028700" r="0" b="1042035"/>
            <wp:wrapTopAndBottom/>
            <wp:docPr id="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a:stretch>
                      <a:fillRect/>
                    </a:stretch>
                  </pic:blipFill>
                  <pic:spPr bwMode="auto">
                    <a:xfrm rot="16200000">
                      <a:off x="0" y="0"/>
                      <a:ext cx="7477125" cy="5396865"/>
                    </a:xfrm>
                    <a:prstGeom prst="rect">
                      <a:avLst/>
                    </a:prstGeom>
                    <a:noFill/>
                    <a:ln w="9525">
                      <a:noFill/>
                      <a:miter lim="800000"/>
                      <a:headEnd/>
                      <a:tailEnd/>
                    </a:ln>
                  </pic:spPr>
                </pic:pic>
              </a:graphicData>
            </a:graphic>
          </wp:anchor>
        </w:drawing>
      </w:r>
    </w:p>
    <w:p w:rsidR="00482241" w:rsidRPr="00144A07" w:rsidRDefault="00482241" w:rsidP="00482241">
      <w:pPr>
        <w:spacing w:after="0" w:line="240" w:lineRule="auto"/>
        <w:rPr>
          <w:rFonts w:ascii="Verdana" w:hAnsi="Verdana" w:cs="Tahoma"/>
          <w:sz w:val="24"/>
          <w:szCs w:val="24"/>
        </w:rPr>
        <w:sectPr w:rsidR="00482241" w:rsidRPr="00144A07" w:rsidSect="00245DBC">
          <w:pgSz w:w="12240" w:h="15840"/>
          <w:pgMar w:top="1985" w:right="1134" w:bottom="1418" w:left="1134" w:header="1134" w:footer="709" w:gutter="0"/>
          <w:cols w:space="708"/>
          <w:docGrid w:linePitch="360"/>
        </w:sectPr>
      </w:pPr>
      <w:r w:rsidRPr="00144A07">
        <w:rPr>
          <w:rFonts w:ascii="Verdana" w:hAnsi="Verdana"/>
          <w:noProof/>
          <w:szCs w:val="24"/>
          <w:lang w:eastAsia="es-CO"/>
        </w:rPr>
        <w:lastRenderedPageBreak/>
        <w:drawing>
          <wp:anchor distT="0" distB="0" distL="114300" distR="114300" simplePos="0" relativeHeight="251714560" behindDoc="0" locked="0" layoutInCell="1" allowOverlap="1">
            <wp:simplePos x="0" y="0"/>
            <wp:positionH relativeFrom="column">
              <wp:posOffset>3810</wp:posOffset>
            </wp:positionH>
            <wp:positionV relativeFrom="paragraph">
              <wp:posOffset>2759075</wp:posOffset>
            </wp:positionV>
            <wp:extent cx="7629525" cy="2057400"/>
            <wp:effectExtent l="0" t="2762250" r="0" b="2781300"/>
            <wp:wrapTopAndBottom/>
            <wp:docPr id="4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rot="16200000">
                      <a:off x="0" y="0"/>
                      <a:ext cx="7629525" cy="2057400"/>
                    </a:xfrm>
                    <a:prstGeom prst="rect">
                      <a:avLst/>
                    </a:prstGeom>
                    <a:noFill/>
                    <a:ln w="9525">
                      <a:noFill/>
                      <a:miter lim="800000"/>
                      <a:headEnd/>
                      <a:tailEnd/>
                    </a:ln>
                  </pic:spPr>
                </pic:pic>
              </a:graphicData>
            </a:graphic>
          </wp:anchor>
        </w:drawing>
      </w:r>
    </w:p>
    <w:p w:rsidR="00482241" w:rsidRDefault="00482241" w:rsidP="00482241">
      <w:pPr>
        <w:spacing w:after="0" w:line="240" w:lineRule="auto"/>
        <w:rPr>
          <w:rFonts w:ascii="Verdana" w:hAnsi="Verdana" w:cs="Tahoma"/>
          <w:b/>
          <w:color w:val="548DD4" w:themeColor="text2" w:themeTint="99"/>
          <w:sz w:val="28"/>
          <w:szCs w:val="24"/>
        </w:rPr>
      </w:pPr>
    </w:p>
    <w:p w:rsidR="00482241" w:rsidRPr="00FB4B77" w:rsidRDefault="00482241" w:rsidP="00482241">
      <w:pPr>
        <w:spacing w:after="0" w:line="240" w:lineRule="auto"/>
        <w:rPr>
          <w:rFonts w:ascii="Verdana" w:hAnsi="Verdana" w:cs="Tahoma"/>
          <w:b/>
          <w:color w:val="548DD4" w:themeColor="text2" w:themeTint="99"/>
          <w:sz w:val="24"/>
          <w:szCs w:val="24"/>
        </w:rPr>
      </w:pPr>
      <w:r w:rsidRPr="00FB4B77">
        <w:rPr>
          <w:rFonts w:ascii="Verdana" w:hAnsi="Verdana" w:cs="Tahoma"/>
          <w:b/>
          <w:color w:val="548DD4" w:themeColor="text2" w:themeTint="99"/>
          <w:sz w:val="24"/>
          <w:szCs w:val="24"/>
        </w:rPr>
        <w:t>NIVEL DE CUMPLIMIENTO DEL PLAN DE ACCIÓN 2014</w:t>
      </w:r>
    </w:p>
    <w:p w:rsidR="00482241" w:rsidRPr="00E75244" w:rsidRDefault="00482241" w:rsidP="00482241">
      <w:pPr>
        <w:spacing w:after="0" w:line="240" w:lineRule="auto"/>
        <w:rPr>
          <w:rFonts w:ascii="Verdana" w:hAnsi="Verdana" w:cs="Tahoma"/>
          <w:b/>
          <w:color w:val="548DD4" w:themeColor="text2" w:themeTint="99"/>
          <w:sz w:val="24"/>
          <w:szCs w:val="24"/>
        </w:rPr>
      </w:pPr>
    </w:p>
    <w:p w:rsidR="00482241" w:rsidRPr="00144A07" w:rsidRDefault="00482241" w:rsidP="00482241">
      <w:pPr>
        <w:spacing w:after="0" w:line="240" w:lineRule="auto"/>
        <w:jc w:val="both"/>
        <w:rPr>
          <w:rFonts w:ascii="Verdana" w:hAnsi="Verdana" w:cs="Tahoma"/>
          <w:sz w:val="24"/>
          <w:szCs w:val="24"/>
        </w:rPr>
      </w:pPr>
      <w:r w:rsidRPr="00144A07">
        <w:rPr>
          <w:rFonts w:ascii="Verdana" w:hAnsi="Verdana" w:cs="Tahoma"/>
          <w:sz w:val="24"/>
          <w:szCs w:val="24"/>
        </w:rPr>
        <w:t xml:space="preserve">La ejecución de las actividades estratégicas de la Unidad para la Atención y Reparación Integral a las víctimas en el plan de acción durante el año 2014 fue de </w:t>
      </w:r>
      <w:r w:rsidRPr="00144A07">
        <w:rPr>
          <w:rFonts w:ascii="Verdana" w:hAnsi="Verdana" w:cs="Tahoma"/>
          <w:b/>
          <w:color w:val="244061" w:themeColor="accent1" w:themeShade="80"/>
          <w:sz w:val="24"/>
          <w:szCs w:val="24"/>
        </w:rPr>
        <w:t>90%</w:t>
      </w:r>
      <w:r w:rsidRPr="00144A07">
        <w:rPr>
          <w:rFonts w:ascii="Verdana" w:hAnsi="Verdana" w:cs="Tahoma"/>
          <w:sz w:val="24"/>
          <w:szCs w:val="24"/>
        </w:rPr>
        <w:t>, teniendo en cuenta que algunas actividades que superaron la meta, fueron niveladas a 100% en su ejecución.</w:t>
      </w:r>
    </w:p>
    <w:p w:rsidR="00482241" w:rsidRDefault="00482241" w:rsidP="00482241">
      <w:pPr>
        <w:spacing w:after="0" w:line="240" w:lineRule="auto"/>
        <w:jc w:val="both"/>
        <w:rPr>
          <w:rFonts w:ascii="Verdana" w:hAnsi="Verdana" w:cs="Tahoma"/>
          <w:sz w:val="24"/>
          <w:szCs w:val="24"/>
        </w:rPr>
      </w:pPr>
      <w:r w:rsidRPr="00144A07">
        <w:rPr>
          <w:rFonts w:ascii="Verdana" w:hAnsi="Verdana" w:cs="Tahoma"/>
          <w:sz w:val="24"/>
          <w:szCs w:val="24"/>
        </w:rPr>
        <w:t>El porcentaje de ejecución de las actividades a nivel de objetivo estratégico (12) es el siguiente:</w:t>
      </w:r>
    </w:p>
    <w:p w:rsidR="00482241" w:rsidRPr="00A173A7" w:rsidRDefault="00482241" w:rsidP="00482241">
      <w:pPr>
        <w:spacing w:after="0" w:line="240" w:lineRule="auto"/>
        <w:jc w:val="both"/>
        <w:rPr>
          <w:rFonts w:ascii="Verdana" w:hAnsi="Verdana" w:cs="Tahoma"/>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7"/>
        <w:gridCol w:w="1735"/>
      </w:tblGrid>
      <w:tr w:rsidR="00482241" w:rsidRPr="00A173A7" w:rsidTr="00A173A7">
        <w:trPr>
          <w:trHeight w:val="315"/>
          <w:tblHeader/>
          <w:jc w:val="center"/>
        </w:trPr>
        <w:tc>
          <w:tcPr>
            <w:tcW w:w="4153" w:type="pct"/>
            <w:hideMark/>
          </w:tcPr>
          <w:p w:rsidR="00482241" w:rsidRPr="00A173A7" w:rsidRDefault="00482241" w:rsidP="00245DBC">
            <w:pPr>
              <w:jc w:val="center"/>
              <w:rPr>
                <w:rFonts w:ascii="Verdana" w:eastAsia="Times New Roman" w:hAnsi="Verdana" w:cs="Tahoma"/>
                <w:b/>
                <w:bCs/>
                <w:sz w:val="20"/>
                <w:szCs w:val="20"/>
                <w:lang w:eastAsia="es-ES"/>
              </w:rPr>
            </w:pPr>
            <w:r w:rsidRPr="00A173A7">
              <w:rPr>
                <w:rFonts w:ascii="Verdana" w:eastAsia="Times New Roman" w:hAnsi="Verdana" w:cs="Tahoma"/>
                <w:sz w:val="20"/>
                <w:szCs w:val="20"/>
                <w:lang w:eastAsia="es-ES"/>
              </w:rPr>
              <w:t>Objetivo Estratégico</w:t>
            </w:r>
          </w:p>
        </w:tc>
        <w:tc>
          <w:tcPr>
            <w:tcW w:w="847" w:type="pct"/>
            <w:hideMark/>
          </w:tcPr>
          <w:p w:rsidR="00482241" w:rsidRPr="00A173A7" w:rsidRDefault="00482241" w:rsidP="00245DBC">
            <w:pPr>
              <w:jc w:val="center"/>
              <w:rPr>
                <w:rFonts w:ascii="Verdana" w:eastAsia="Times New Roman" w:hAnsi="Verdana" w:cs="Tahoma"/>
                <w:b/>
                <w:bCs/>
                <w:sz w:val="20"/>
                <w:szCs w:val="20"/>
                <w:lang w:eastAsia="es-ES"/>
              </w:rPr>
            </w:pPr>
            <w:r w:rsidRPr="00A173A7">
              <w:rPr>
                <w:rFonts w:ascii="Verdana" w:eastAsia="Times New Roman" w:hAnsi="Verdana" w:cs="Tahoma"/>
                <w:sz w:val="20"/>
                <w:szCs w:val="20"/>
                <w:lang w:eastAsia="es-ES"/>
              </w:rPr>
              <w:t>% Avance 2014</w:t>
            </w:r>
          </w:p>
        </w:tc>
      </w:tr>
      <w:tr w:rsidR="00482241" w:rsidRPr="00A173A7" w:rsidTr="00A173A7">
        <w:trPr>
          <w:trHeight w:val="300"/>
          <w:jc w:val="center"/>
        </w:trPr>
        <w:tc>
          <w:tcPr>
            <w:tcW w:w="4153" w:type="pct"/>
            <w:vAlign w:val="center"/>
          </w:tcPr>
          <w:p w:rsidR="00482241" w:rsidRPr="00A173A7" w:rsidRDefault="00482241" w:rsidP="00245DBC">
            <w:pPr>
              <w:rPr>
                <w:rFonts w:ascii="Verdana" w:eastAsia="Times New Roman" w:hAnsi="Verdana" w:cs="Tahoma"/>
                <w:b/>
                <w:bCs/>
                <w:iCs/>
                <w:sz w:val="20"/>
                <w:szCs w:val="20"/>
                <w:lang w:eastAsia="es-ES"/>
              </w:rPr>
            </w:pPr>
            <w:r w:rsidRPr="00A173A7">
              <w:rPr>
                <w:rFonts w:ascii="Verdana" w:eastAsia="Times New Roman" w:hAnsi="Verdana" w:cs="Tahoma"/>
                <w:iCs/>
                <w:sz w:val="20"/>
                <w:szCs w:val="20"/>
                <w:lang w:eastAsia="es-ES"/>
              </w:rPr>
              <w:t>Objetivo No. 1</w:t>
            </w:r>
            <w:r w:rsidRPr="00A173A7">
              <w:rPr>
                <w:rFonts w:ascii="Verdana" w:eastAsia="Times New Roman" w:hAnsi="Verdana" w:cs="Tahoma"/>
                <w:b/>
                <w:iCs/>
                <w:sz w:val="20"/>
                <w:szCs w:val="20"/>
                <w:lang w:eastAsia="es-ES"/>
              </w:rPr>
              <w:t>: Brindar una respuesta integral a las víctimas para que sean y se sientan reparadas</w:t>
            </w:r>
          </w:p>
        </w:tc>
        <w:tc>
          <w:tcPr>
            <w:tcW w:w="847" w:type="pct"/>
            <w:noWrap/>
            <w:vAlign w:val="center"/>
          </w:tcPr>
          <w:p w:rsidR="00482241" w:rsidRPr="00A173A7" w:rsidRDefault="00482241" w:rsidP="00245DBC">
            <w:pPr>
              <w:jc w:val="center"/>
              <w:rPr>
                <w:rFonts w:ascii="Verdana" w:eastAsia="Times New Roman" w:hAnsi="Verdana" w:cs="Tahoma"/>
                <w:sz w:val="20"/>
                <w:szCs w:val="20"/>
                <w:lang w:eastAsia="es-ES"/>
              </w:rPr>
            </w:pPr>
            <w:r w:rsidRPr="00A173A7">
              <w:rPr>
                <w:rFonts w:ascii="Verdana" w:eastAsia="Times New Roman" w:hAnsi="Verdana" w:cs="Tahoma"/>
                <w:sz w:val="20"/>
                <w:szCs w:val="20"/>
                <w:lang w:eastAsia="es-ES"/>
              </w:rPr>
              <w:t>78%</w:t>
            </w:r>
          </w:p>
        </w:tc>
      </w:tr>
      <w:tr w:rsidR="00482241" w:rsidRPr="00144A07" w:rsidTr="00A173A7">
        <w:trPr>
          <w:trHeight w:val="480"/>
          <w:jc w:val="center"/>
        </w:trPr>
        <w:tc>
          <w:tcPr>
            <w:tcW w:w="4153" w:type="pct"/>
            <w:vMerge w:val="restart"/>
            <w:vAlign w:val="center"/>
            <w:hideMark/>
          </w:tcPr>
          <w:p w:rsidR="00482241" w:rsidRPr="00144A07" w:rsidRDefault="00482241" w:rsidP="00245DBC">
            <w:pPr>
              <w:rPr>
                <w:rFonts w:ascii="Verdana" w:eastAsia="Times New Roman" w:hAnsi="Verdana" w:cs="Tahoma"/>
                <w:b/>
                <w:bCs/>
                <w:iCs/>
                <w:color w:val="000000"/>
                <w:sz w:val="20"/>
                <w:szCs w:val="20"/>
                <w:lang w:eastAsia="es-ES"/>
              </w:rPr>
            </w:pPr>
            <w:r w:rsidRPr="00144A07">
              <w:rPr>
                <w:rFonts w:ascii="Verdana" w:eastAsia="Times New Roman" w:hAnsi="Verdana" w:cs="Tahoma"/>
                <w:iCs/>
                <w:color w:val="000000"/>
                <w:sz w:val="20"/>
                <w:szCs w:val="20"/>
                <w:lang w:eastAsia="es-ES"/>
              </w:rPr>
              <w:t>Objetivo No. 2</w:t>
            </w:r>
            <w:r w:rsidRPr="00144A07">
              <w:rPr>
                <w:rFonts w:ascii="Verdana" w:eastAsia="Times New Roman" w:hAnsi="Verdana" w:cs="Tahoma"/>
                <w:b/>
                <w:iCs/>
                <w:color w:val="000000"/>
                <w:sz w:val="20"/>
                <w:szCs w:val="20"/>
                <w:lang w:eastAsia="es-ES"/>
              </w:rPr>
              <w:t>: Fortalecer la capacidad del Estado para dar respuesta a las emergencias humanitarias y evitar nuevas violaciones a los Derechos Humanos.</w:t>
            </w:r>
          </w:p>
        </w:tc>
        <w:tc>
          <w:tcPr>
            <w:tcW w:w="847" w:type="pct"/>
            <w:vMerge w:val="restart"/>
            <w:noWrap/>
            <w:vAlign w:val="center"/>
            <w:hideMark/>
          </w:tcPr>
          <w:p w:rsidR="00482241" w:rsidRPr="00144A07" w:rsidRDefault="00482241" w:rsidP="00245DBC">
            <w:pPr>
              <w:jc w:val="center"/>
              <w:rPr>
                <w:rFonts w:ascii="Verdana" w:eastAsia="Times New Roman" w:hAnsi="Verdana" w:cs="Tahoma"/>
                <w:color w:val="000000"/>
                <w:sz w:val="20"/>
                <w:szCs w:val="20"/>
                <w:lang w:eastAsia="es-ES"/>
              </w:rPr>
            </w:pPr>
            <w:r w:rsidRPr="00144A07">
              <w:rPr>
                <w:rFonts w:ascii="Verdana" w:eastAsia="Times New Roman" w:hAnsi="Verdana" w:cs="Tahoma"/>
                <w:color w:val="000000"/>
                <w:sz w:val="20"/>
                <w:szCs w:val="20"/>
                <w:lang w:eastAsia="es-ES"/>
              </w:rPr>
              <w:t>94%</w:t>
            </w:r>
          </w:p>
        </w:tc>
      </w:tr>
      <w:tr w:rsidR="00482241" w:rsidRPr="00144A07" w:rsidTr="00A173A7">
        <w:trPr>
          <w:trHeight w:val="480"/>
          <w:jc w:val="center"/>
        </w:trPr>
        <w:tc>
          <w:tcPr>
            <w:tcW w:w="4153" w:type="pct"/>
            <w:vMerge/>
            <w:vAlign w:val="center"/>
            <w:hideMark/>
          </w:tcPr>
          <w:p w:rsidR="00482241" w:rsidRPr="00144A07" w:rsidRDefault="00482241" w:rsidP="00245DBC">
            <w:pPr>
              <w:rPr>
                <w:rFonts w:ascii="Verdana" w:eastAsia="Times New Roman" w:hAnsi="Verdana" w:cs="Tahoma"/>
                <w:b/>
                <w:bCs/>
                <w:iCs/>
                <w:color w:val="000000"/>
                <w:sz w:val="20"/>
                <w:szCs w:val="20"/>
                <w:lang w:eastAsia="es-ES"/>
              </w:rPr>
            </w:pPr>
          </w:p>
        </w:tc>
        <w:tc>
          <w:tcPr>
            <w:tcW w:w="847" w:type="pct"/>
            <w:vMerge/>
            <w:vAlign w:val="center"/>
            <w:hideMark/>
          </w:tcPr>
          <w:p w:rsidR="00482241" w:rsidRPr="00144A07" w:rsidRDefault="00482241" w:rsidP="00245DBC">
            <w:pPr>
              <w:jc w:val="center"/>
              <w:rPr>
                <w:rFonts w:ascii="Verdana" w:eastAsia="Times New Roman" w:hAnsi="Verdana" w:cs="Tahoma"/>
                <w:color w:val="000000"/>
                <w:sz w:val="20"/>
                <w:szCs w:val="20"/>
                <w:lang w:eastAsia="es-ES"/>
              </w:rPr>
            </w:pPr>
          </w:p>
        </w:tc>
      </w:tr>
      <w:tr w:rsidR="00482241" w:rsidRPr="00144A07" w:rsidTr="00A173A7">
        <w:trPr>
          <w:trHeight w:val="480"/>
          <w:jc w:val="center"/>
        </w:trPr>
        <w:tc>
          <w:tcPr>
            <w:tcW w:w="4153" w:type="pct"/>
            <w:vMerge/>
            <w:vAlign w:val="center"/>
            <w:hideMark/>
          </w:tcPr>
          <w:p w:rsidR="00482241" w:rsidRPr="00144A07" w:rsidRDefault="00482241" w:rsidP="00245DBC">
            <w:pPr>
              <w:rPr>
                <w:rFonts w:ascii="Verdana" w:eastAsia="Times New Roman" w:hAnsi="Verdana" w:cs="Tahoma"/>
                <w:b/>
                <w:bCs/>
                <w:iCs/>
                <w:color w:val="000000"/>
                <w:sz w:val="20"/>
                <w:szCs w:val="20"/>
                <w:lang w:eastAsia="es-ES"/>
              </w:rPr>
            </w:pPr>
          </w:p>
        </w:tc>
        <w:tc>
          <w:tcPr>
            <w:tcW w:w="847" w:type="pct"/>
            <w:vMerge/>
            <w:vAlign w:val="center"/>
            <w:hideMark/>
          </w:tcPr>
          <w:p w:rsidR="00482241" w:rsidRPr="00144A07" w:rsidRDefault="00482241" w:rsidP="00245DBC">
            <w:pPr>
              <w:jc w:val="center"/>
              <w:rPr>
                <w:rFonts w:ascii="Verdana" w:eastAsia="Times New Roman" w:hAnsi="Verdana" w:cs="Tahoma"/>
                <w:color w:val="000000"/>
                <w:sz w:val="20"/>
                <w:szCs w:val="20"/>
                <w:lang w:eastAsia="es-ES"/>
              </w:rPr>
            </w:pPr>
          </w:p>
        </w:tc>
      </w:tr>
      <w:tr w:rsidR="00482241" w:rsidRPr="00144A07" w:rsidTr="00A173A7">
        <w:trPr>
          <w:trHeight w:val="480"/>
          <w:jc w:val="center"/>
        </w:trPr>
        <w:tc>
          <w:tcPr>
            <w:tcW w:w="4153" w:type="pct"/>
            <w:vMerge/>
            <w:vAlign w:val="center"/>
            <w:hideMark/>
          </w:tcPr>
          <w:p w:rsidR="00482241" w:rsidRPr="00144A07" w:rsidRDefault="00482241" w:rsidP="00245DBC">
            <w:pPr>
              <w:rPr>
                <w:rFonts w:ascii="Verdana" w:eastAsia="Times New Roman" w:hAnsi="Verdana" w:cs="Tahoma"/>
                <w:b/>
                <w:bCs/>
                <w:iCs/>
                <w:color w:val="000000"/>
                <w:sz w:val="20"/>
                <w:szCs w:val="20"/>
                <w:lang w:eastAsia="es-ES"/>
              </w:rPr>
            </w:pPr>
          </w:p>
        </w:tc>
        <w:tc>
          <w:tcPr>
            <w:tcW w:w="847" w:type="pct"/>
            <w:vMerge/>
            <w:vAlign w:val="center"/>
            <w:hideMark/>
          </w:tcPr>
          <w:p w:rsidR="00482241" w:rsidRPr="00144A07" w:rsidRDefault="00482241" w:rsidP="00245DBC">
            <w:pPr>
              <w:jc w:val="center"/>
              <w:rPr>
                <w:rFonts w:ascii="Verdana" w:eastAsia="Times New Roman" w:hAnsi="Verdana" w:cs="Tahoma"/>
                <w:color w:val="000000"/>
                <w:sz w:val="20"/>
                <w:szCs w:val="20"/>
                <w:lang w:eastAsia="es-ES"/>
              </w:rPr>
            </w:pPr>
          </w:p>
        </w:tc>
      </w:tr>
      <w:tr w:rsidR="00482241" w:rsidRPr="00144A07" w:rsidTr="00A173A7">
        <w:trPr>
          <w:trHeight w:val="480"/>
          <w:jc w:val="center"/>
        </w:trPr>
        <w:tc>
          <w:tcPr>
            <w:tcW w:w="4153" w:type="pct"/>
            <w:vMerge w:val="restart"/>
            <w:vAlign w:val="center"/>
            <w:hideMark/>
          </w:tcPr>
          <w:p w:rsidR="00482241" w:rsidRPr="00144A07" w:rsidRDefault="00482241" w:rsidP="00245DBC">
            <w:pPr>
              <w:rPr>
                <w:rFonts w:ascii="Verdana" w:eastAsia="Times New Roman" w:hAnsi="Verdana" w:cs="Tahoma"/>
                <w:b/>
                <w:bCs/>
                <w:iCs/>
                <w:color w:val="000000"/>
                <w:sz w:val="20"/>
                <w:szCs w:val="20"/>
                <w:lang w:eastAsia="es-ES"/>
              </w:rPr>
            </w:pPr>
            <w:r w:rsidRPr="00144A07">
              <w:rPr>
                <w:rFonts w:ascii="Verdana" w:eastAsia="Times New Roman" w:hAnsi="Verdana" w:cs="Tahoma"/>
                <w:iCs/>
                <w:color w:val="000000"/>
                <w:sz w:val="20"/>
                <w:szCs w:val="20"/>
                <w:lang w:eastAsia="es-ES"/>
              </w:rPr>
              <w:t>Objetivo No. 3:</w:t>
            </w:r>
            <w:r w:rsidRPr="00144A07">
              <w:rPr>
                <w:rFonts w:ascii="Verdana" w:eastAsia="Times New Roman" w:hAnsi="Verdana" w:cs="Tahoma"/>
                <w:b/>
                <w:iCs/>
                <w:color w:val="000000"/>
                <w:sz w:val="20"/>
                <w:szCs w:val="20"/>
                <w:lang w:eastAsia="es-ES"/>
              </w:rPr>
              <w:t xml:space="preserve"> Visibilizar a las víctimas y garantizar su participación efectiva.</w:t>
            </w:r>
          </w:p>
        </w:tc>
        <w:tc>
          <w:tcPr>
            <w:tcW w:w="847" w:type="pct"/>
            <w:vMerge w:val="restart"/>
            <w:noWrap/>
            <w:vAlign w:val="center"/>
            <w:hideMark/>
          </w:tcPr>
          <w:p w:rsidR="00482241" w:rsidRPr="00144A07" w:rsidRDefault="00482241" w:rsidP="00245DBC">
            <w:pPr>
              <w:jc w:val="center"/>
              <w:rPr>
                <w:rFonts w:ascii="Verdana" w:eastAsia="Times New Roman" w:hAnsi="Verdana" w:cs="Tahoma"/>
                <w:color w:val="000000"/>
                <w:sz w:val="20"/>
                <w:szCs w:val="20"/>
                <w:lang w:eastAsia="es-ES"/>
              </w:rPr>
            </w:pPr>
            <w:r w:rsidRPr="00144A07">
              <w:rPr>
                <w:rFonts w:ascii="Verdana" w:eastAsia="Times New Roman" w:hAnsi="Verdana" w:cs="Tahoma"/>
                <w:color w:val="000000"/>
                <w:sz w:val="20"/>
                <w:szCs w:val="20"/>
                <w:lang w:eastAsia="es-ES"/>
              </w:rPr>
              <w:t>100%</w:t>
            </w:r>
          </w:p>
        </w:tc>
      </w:tr>
      <w:tr w:rsidR="00482241" w:rsidRPr="00144A07" w:rsidTr="00A173A7">
        <w:trPr>
          <w:trHeight w:val="480"/>
          <w:jc w:val="center"/>
        </w:trPr>
        <w:tc>
          <w:tcPr>
            <w:tcW w:w="4153" w:type="pct"/>
            <w:vMerge/>
            <w:vAlign w:val="center"/>
            <w:hideMark/>
          </w:tcPr>
          <w:p w:rsidR="00482241" w:rsidRPr="00144A07" w:rsidRDefault="00482241" w:rsidP="00245DBC">
            <w:pPr>
              <w:rPr>
                <w:rFonts w:ascii="Verdana" w:eastAsia="Times New Roman" w:hAnsi="Verdana" w:cs="Tahoma"/>
                <w:b/>
                <w:bCs/>
                <w:iCs/>
                <w:color w:val="000000"/>
                <w:sz w:val="20"/>
                <w:szCs w:val="20"/>
                <w:lang w:eastAsia="es-ES"/>
              </w:rPr>
            </w:pPr>
          </w:p>
        </w:tc>
        <w:tc>
          <w:tcPr>
            <w:tcW w:w="847" w:type="pct"/>
            <w:vMerge/>
            <w:vAlign w:val="center"/>
            <w:hideMark/>
          </w:tcPr>
          <w:p w:rsidR="00482241" w:rsidRPr="00144A07" w:rsidRDefault="00482241" w:rsidP="00245DBC">
            <w:pPr>
              <w:jc w:val="center"/>
              <w:rPr>
                <w:rFonts w:ascii="Verdana" w:eastAsia="Times New Roman" w:hAnsi="Verdana" w:cs="Tahoma"/>
                <w:color w:val="000000"/>
                <w:sz w:val="20"/>
                <w:szCs w:val="20"/>
                <w:lang w:eastAsia="es-ES"/>
              </w:rPr>
            </w:pPr>
          </w:p>
        </w:tc>
      </w:tr>
      <w:tr w:rsidR="00482241" w:rsidRPr="00144A07" w:rsidTr="00A173A7">
        <w:trPr>
          <w:trHeight w:val="480"/>
          <w:jc w:val="center"/>
        </w:trPr>
        <w:tc>
          <w:tcPr>
            <w:tcW w:w="4153" w:type="pct"/>
            <w:vMerge/>
            <w:vAlign w:val="center"/>
            <w:hideMark/>
          </w:tcPr>
          <w:p w:rsidR="00482241" w:rsidRPr="00144A07" w:rsidRDefault="00482241" w:rsidP="00245DBC">
            <w:pPr>
              <w:rPr>
                <w:rFonts w:ascii="Verdana" w:eastAsia="Times New Roman" w:hAnsi="Verdana" w:cs="Tahoma"/>
                <w:b/>
                <w:bCs/>
                <w:iCs/>
                <w:color w:val="000000"/>
                <w:sz w:val="20"/>
                <w:szCs w:val="20"/>
                <w:lang w:eastAsia="es-ES"/>
              </w:rPr>
            </w:pPr>
          </w:p>
        </w:tc>
        <w:tc>
          <w:tcPr>
            <w:tcW w:w="847" w:type="pct"/>
            <w:vMerge/>
            <w:vAlign w:val="center"/>
            <w:hideMark/>
          </w:tcPr>
          <w:p w:rsidR="00482241" w:rsidRPr="00144A07" w:rsidRDefault="00482241" w:rsidP="00245DBC">
            <w:pPr>
              <w:jc w:val="center"/>
              <w:rPr>
                <w:rFonts w:ascii="Verdana" w:eastAsia="Times New Roman" w:hAnsi="Verdana" w:cs="Tahoma"/>
                <w:color w:val="000000"/>
                <w:sz w:val="20"/>
                <w:szCs w:val="20"/>
                <w:lang w:eastAsia="es-ES"/>
              </w:rPr>
            </w:pPr>
          </w:p>
        </w:tc>
      </w:tr>
      <w:tr w:rsidR="00482241" w:rsidRPr="00144A07" w:rsidTr="00A173A7">
        <w:trPr>
          <w:trHeight w:val="480"/>
          <w:jc w:val="center"/>
        </w:trPr>
        <w:tc>
          <w:tcPr>
            <w:tcW w:w="4153" w:type="pct"/>
            <w:vMerge w:val="restart"/>
            <w:vAlign w:val="center"/>
            <w:hideMark/>
          </w:tcPr>
          <w:p w:rsidR="00482241" w:rsidRPr="00144A07" w:rsidRDefault="00482241" w:rsidP="00245DBC">
            <w:pPr>
              <w:rPr>
                <w:rFonts w:ascii="Verdana" w:eastAsia="Times New Roman" w:hAnsi="Verdana" w:cs="Tahoma"/>
                <w:b/>
                <w:bCs/>
                <w:iCs/>
                <w:color w:val="000000"/>
                <w:sz w:val="20"/>
                <w:szCs w:val="20"/>
                <w:lang w:eastAsia="es-ES"/>
              </w:rPr>
            </w:pPr>
            <w:r w:rsidRPr="00144A07">
              <w:rPr>
                <w:rFonts w:ascii="Verdana" w:eastAsia="Times New Roman" w:hAnsi="Verdana" w:cs="Tahoma"/>
                <w:iCs/>
                <w:color w:val="000000"/>
                <w:sz w:val="20"/>
                <w:szCs w:val="20"/>
                <w:lang w:eastAsia="es-ES"/>
              </w:rPr>
              <w:t>Objetivo No. 4:</w:t>
            </w:r>
            <w:r w:rsidRPr="00144A07">
              <w:rPr>
                <w:rFonts w:ascii="Verdana" w:eastAsia="Times New Roman" w:hAnsi="Verdana" w:cs="Tahoma"/>
                <w:b/>
                <w:iCs/>
                <w:color w:val="000000"/>
                <w:sz w:val="20"/>
                <w:szCs w:val="20"/>
                <w:lang w:eastAsia="es-ES"/>
              </w:rPr>
              <w:t xml:space="preserve"> Poner en marcha conjuntamente con las entidades (nacionales y territoriales) una estrategia integral para la movilización del SNARIV.</w:t>
            </w:r>
          </w:p>
        </w:tc>
        <w:tc>
          <w:tcPr>
            <w:tcW w:w="847" w:type="pct"/>
            <w:vMerge w:val="restart"/>
            <w:noWrap/>
            <w:vAlign w:val="center"/>
            <w:hideMark/>
          </w:tcPr>
          <w:p w:rsidR="00482241" w:rsidRPr="00144A07" w:rsidRDefault="00482241" w:rsidP="00245DBC">
            <w:pPr>
              <w:jc w:val="center"/>
              <w:rPr>
                <w:rFonts w:ascii="Verdana" w:eastAsia="Times New Roman" w:hAnsi="Verdana" w:cs="Tahoma"/>
                <w:color w:val="000000"/>
                <w:sz w:val="20"/>
                <w:szCs w:val="20"/>
                <w:lang w:eastAsia="es-ES"/>
              </w:rPr>
            </w:pPr>
            <w:r w:rsidRPr="00144A07">
              <w:rPr>
                <w:rFonts w:ascii="Verdana" w:eastAsia="Times New Roman" w:hAnsi="Verdana" w:cs="Tahoma"/>
                <w:color w:val="000000"/>
                <w:sz w:val="20"/>
                <w:szCs w:val="20"/>
                <w:lang w:eastAsia="es-ES"/>
              </w:rPr>
              <w:t>86%</w:t>
            </w:r>
          </w:p>
        </w:tc>
      </w:tr>
      <w:tr w:rsidR="00482241" w:rsidRPr="00144A07" w:rsidTr="00A173A7">
        <w:trPr>
          <w:trHeight w:val="480"/>
          <w:jc w:val="center"/>
        </w:trPr>
        <w:tc>
          <w:tcPr>
            <w:tcW w:w="4153" w:type="pct"/>
            <w:vMerge/>
            <w:vAlign w:val="center"/>
            <w:hideMark/>
          </w:tcPr>
          <w:p w:rsidR="00482241" w:rsidRPr="00144A07" w:rsidRDefault="00482241" w:rsidP="00245DBC">
            <w:pPr>
              <w:rPr>
                <w:rFonts w:ascii="Verdana" w:eastAsia="Times New Roman" w:hAnsi="Verdana" w:cs="Tahoma"/>
                <w:b/>
                <w:bCs/>
                <w:iCs/>
                <w:color w:val="000000"/>
                <w:sz w:val="20"/>
                <w:szCs w:val="20"/>
                <w:lang w:eastAsia="es-ES"/>
              </w:rPr>
            </w:pPr>
          </w:p>
        </w:tc>
        <w:tc>
          <w:tcPr>
            <w:tcW w:w="847" w:type="pct"/>
            <w:vMerge/>
            <w:vAlign w:val="center"/>
            <w:hideMark/>
          </w:tcPr>
          <w:p w:rsidR="00482241" w:rsidRPr="00144A07" w:rsidRDefault="00482241" w:rsidP="00245DBC">
            <w:pPr>
              <w:jc w:val="center"/>
              <w:rPr>
                <w:rFonts w:ascii="Verdana" w:eastAsia="Times New Roman" w:hAnsi="Verdana" w:cs="Tahoma"/>
                <w:color w:val="000000"/>
                <w:sz w:val="20"/>
                <w:szCs w:val="20"/>
                <w:lang w:eastAsia="es-ES"/>
              </w:rPr>
            </w:pPr>
          </w:p>
        </w:tc>
      </w:tr>
      <w:tr w:rsidR="00482241" w:rsidRPr="00144A07" w:rsidTr="00A173A7">
        <w:trPr>
          <w:trHeight w:val="480"/>
          <w:jc w:val="center"/>
        </w:trPr>
        <w:tc>
          <w:tcPr>
            <w:tcW w:w="4153" w:type="pct"/>
            <w:vMerge/>
            <w:vAlign w:val="center"/>
            <w:hideMark/>
          </w:tcPr>
          <w:p w:rsidR="00482241" w:rsidRPr="00144A07" w:rsidRDefault="00482241" w:rsidP="00245DBC">
            <w:pPr>
              <w:rPr>
                <w:rFonts w:ascii="Verdana" w:eastAsia="Times New Roman" w:hAnsi="Verdana" w:cs="Tahoma"/>
                <w:b/>
                <w:bCs/>
                <w:iCs/>
                <w:color w:val="000000"/>
                <w:sz w:val="20"/>
                <w:szCs w:val="20"/>
                <w:lang w:eastAsia="es-ES"/>
              </w:rPr>
            </w:pPr>
          </w:p>
        </w:tc>
        <w:tc>
          <w:tcPr>
            <w:tcW w:w="847" w:type="pct"/>
            <w:vMerge/>
            <w:vAlign w:val="center"/>
            <w:hideMark/>
          </w:tcPr>
          <w:p w:rsidR="00482241" w:rsidRPr="00144A07" w:rsidRDefault="00482241" w:rsidP="00245DBC">
            <w:pPr>
              <w:jc w:val="center"/>
              <w:rPr>
                <w:rFonts w:ascii="Verdana" w:eastAsia="Times New Roman" w:hAnsi="Verdana" w:cs="Tahoma"/>
                <w:color w:val="000000"/>
                <w:sz w:val="20"/>
                <w:szCs w:val="20"/>
                <w:lang w:eastAsia="es-ES"/>
              </w:rPr>
            </w:pPr>
          </w:p>
        </w:tc>
      </w:tr>
      <w:tr w:rsidR="00482241" w:rsidRPr="00144A07" w:rsidTr="00A173A7">
        <w:trPr>
          <w:trHeight w:val="480"/>
          <w:jc w:val="center"/>
        </w:trPr>
        <w:tc>
          <w:tcPr>
            <w:tcW w:w="4153" w:type="pct"/>
            <w:vMerge w:val="restart"/>
            <w:vAlign w:val="center"/>
            <w:hideMark/>
          </w:tcPr>
          <w:p w:rsidR="00482241" w:rsidRPr="00144A07" w:rsidRDefault="00482241" w:rsidP="00245DBC">
            <w:pPr>
              <w:rPr>
                <w:rFonts w:ascii="Verdana" w:eastAsia="Times New Roman" w:hAnsi="Verdana" w:cs="Tahoma"/>
                <w:b/>
                <w:bCs/>
                <w:iCs/>
                <w:color w:val="000000"/>
                <w:sz w:val="20"/>
                <w:szCs w:val="20"/>
                <w:lang w:eastAsia="es-ES"/>
              </w:rPr>
            </w:pPr>
            <w:r w:rsidRPr="00144A07">
              <w:rPr>
                <w:rFonts w:ascii="Verdana" w:eastAsia="Times New Roman" w:hAnsi="Verdana" w:cs="Tahoma"/>
                <w:iCs/>
                <w:color w:val="000000"/>
                <w:sz w:val="20"/>
                <w:szCs w:val="20"/>
                <w:lang w:eastAsia="es-ES"/>
              </w:rPr>
              <w:t>Objetivo No. 5:</w:t>
            </w:r>
            <w:r w:rsidRPr="00144A07">
              <w:rPr>
                <w:rFonts w:ascii="Verdana" w:eastAsia="Times New Roman" w:hAnsi="Verdana" w:cs="Tahoma"/>
                <w:b/>
                <w:iCs/>
                <w:color w:val="000000"/>
                <w:sz w:val="20"/>
                <w:szCs w:val="20"/>
                <w:lang w:eastAsia="es-ES"/>
              </w:rPr>
              <w:t xml:space="preserve"> Coordinar que la oferta institucional esté implementada en territorio.</w:t>
            </w:r>
          </w:p>
        </w:tc>
        <w:tc>
          <w:tcPr>
            <w:tcW w:w="847" w:type="pct"/>
            <w:vMerge w:val="restart"/>
            <w:noWrap/>
            <w:vAlign w:val="center"/>
            <w:hideMark/>
          </w:tcPr>
          <w:p w:rsidR="00482241" w:rsidRPr="00144A07" w:rsidRDefault="00482241" w:rsidP="00245DBC">
            <w:pPr>
              <w:jc w:val="center"/>
              <w:rPr>
                <w:rFonts w:ascii="Verdana" w:eastAsia="Times New Roman" w:hAnsi="Verdana" w:cs="Tahoma"/>
                <w:color w:val="000000"/>
                <w:sz w:val="20"/>
                <w:szCs w:val="20"/>
                <w:lang w:eastAsia="es-ES"/>
              </w:rPr>
            </w:pPr>
            <w:r w:rsidRPr="00144A07">
              <w:rPr>
                <w:rFonts w:ascii="Verdana" w:eastAsia="Times New Roman" w:hAnsi="Verdana" w:cs="Tahoma"/>
                <w:color w:val="000000"/>
                <w:sz w:val="20"/>
                <w:szCs w:val="20"/>
                <w:lang w:eastAsia="es-ES"/>
              </w:rPr>
              <w:t>100%</w:t>
            </w:r>
          </w:p>
        </w:tc>
      </w:tr>
      <w:tr w:rsidR="00482241" w:rsidRPr="00144A07" w:rsidTr="00A173A7">
        <w:trPr>
          <w:trHeight w:val="480"/>
          <w:jc w:val="center"/>
        </w:trPr>
        <w:tc>
          <w:tcPr>
            <w:tcW w:w="4153" w:type="pct"/>
            <w:vMerge/>
            <w:vAlign w:val="center"/>
            <w:hideMark/>
          </w:tcPr>
          <w:p w:rsidR="00482241" w:rsidRPr="00144A07" w:rsidRDefault="00482241" w:rsidP="00245DBC">
            <w:pPr>
              <w:rPr>
                <w:rFonts w:ascii="Verdana" w:eastAsia="Times New Roman" w:hAnsi="Verdana" w:cs="Tahoma"/>
                <w:b/>
                <w:bCs/>
                <w:iCs/>
                <w:color w:val="000000"/>
                <w:sz w:val="20"/>
                <w:szCs w:val="20"/>
                <w:lang w:eastAsia="es-ES"/>
              </w:rPr>
            </w:pPr>
          </w:p>
        </w:tc>
        <w:tc>
          <w:tcPr>
            <w:tcW w:w="847" w:type="pct"/>
            <w:vMerge/>
            <w:vAlign w:val="center"/>
            <w:hideMark/>
          </w:tcPr>
          <w:p w:rsidR="00482241" w:rsidRPr="00144A07" w:rsidRDefault="00482241" w:rsidP="00245DBC">
            <w:pPr>
              <w:jc w:val="center"/>
              <w:rPr>
                <w:rFonts w:ascii="Verdana" w:eastAsia="Times New Roman" w:hAnsi="Verdana" w:cs="Tahoma"/>
                <w:color w:val="000000"/>
                <w:sz w:val="20"/>
                <w:szCs w:val="20"/>
                <w:lang w:eastAsia="es-ES"/>
              </w:rPr>
            </w:pPr>
          </w:p>
        </w:tc>
      </w:tr>
      <w:tr w:rsidR="00482241" w:rsidRPr="00144A07" w:rsidTr="00A173A7">
        <w:trPr>
          <w:trHeight w:val="480"/>
          <w:jc w:val="center"/>
        </w:trPr>
        <w:tc>
          <w:tcPr>
            <w:tcW w:w="4153" w:type="pct"/>
            <w:vMerge/>
            <w:vAlign w:val="center"/>
            <w:hideMark/>
          </w:tcPr>
          <w:p w:rsidR="00482241" w:rsidRPr="00144A07" w:rsidRDefault="00482241" w:rsidP="00245DBC">
            <w:pPr>
              <w:rPr>
                <w:rFonts w:ascii="Verdana" w:eastAsia="Times New Roman" w:hAnsi="Verdana" w:cs="Tahoma"/>
                <w:b/>
                <w:bCs/>
                <w:iCs/>
                <w:color w:val="000000"/>
                <w:sz w:val="20"/>
                <w:szCs w:val="20"/>
                <w:lang w:eastAsia="es-ES"/>
              </w:rPr>
            </w:pPr>
          </w:p>
        </w:tc>
        <w:tc>
          <w:tcPr>
            <w:tcW w:w="847" w:type="pct"/>
            <w:vMerge/>
            <w:vAlign w:val="center"/>
            <w:hideMark/>
          </w:tcPr>
          <w:p w:rsidR="00482241" w:rsidRPr="00144A07" w:rsidRDefault="00482241" w:rsidP="00245DBC">
            <w:pPr>
              <w:jc w:val="center"/>
              <w:rPr>
                <w:rFonts w:ascii="Verdana" w:eastAsia="Times New Roman" w:hAnsi="Verdana" w:cs="Tahoma"/>
                <w:color w:val="000000"/>
                <w:sz w:val="20"/>
                <w:szCs w:val="20"/>
                <w:lang w:eastAsia="es-ES"/>
              </w:rPr>
            </w:pPr>
          </w:p>
        </w:tc>
      </w:tr>
      <w:tr w:rsidR="00482241" w:rsidRPr="00144A07" w:rsidTr="00A173A7">
        <w:trPr>
          <w:trHeight w:val="20"/>
          <w:jc w:val="center"/>
        </w:trPr>
        <w:tc>
          <w:tcPr>
            <w:tcW w:w="4153" w:type="pct"/>
            <w:vAlign w:val="center"/>
            <w:hideMark/>
          </w:tcPr>
          <w:p w:rsidR="00482241" w:rsidRPr="00144A07" w:rsidRDefault="00482241" w:rsidP="00245DBC">
            <w:pPr>
              <w:rPr>
                <w:rFonts w:ascii="Verdana" w:eastAsia="Times New Roman" w:hAnsi="Verdana" w:cs="Tahoma"/>
                <w:b/>
                <w:bCs/>
                <w:color w:val="000000"/>
                <w:sz w:val="20"/>
                <w:szCs w:val="20"/>
                <w:lang w:eastAsia="es-ES"/>
              </w:rPr>
            </w:pPr>
            <w:r w:rsidRPr="00144A07">
              <w:rPr>
                <w:rFonts w:ascii="Verdana" w:eastAsia="Times New Roman" w:hAnsi="Verdana" w:cs="Tahoma"/>
                <w:color w:val="000000"/>
                <w:sz w:val="20"/>
                <w:szCs w:val="20"/>
                <w:lang w:eastAsia="es-ES"/>
              </w:rPr>
              <w:t>Objetivo No. 6:</w:t>
            </w:r>
            <w:r w:rsidRPr="00144A07">
              <w:rPr>
                <w:rFonts w:ascii="Verdana" w:eastAsia="Times New Roman" w:hAnsi="Verdana" w:cs="Tahoma"/>
                <w:b/>
                <w:color w:val="000000"/>
                <w:sz w:val="20"/>
                <w:szCs w:val="20"/>
                <w:lang w:eastAsia="es-ES"/>
              </w:rPr>
              <w:t xml:space="preserve"> Lograr una ejecución Presupuestal óptima, eficiente y transparente.</w:t>
            </w:r>
          </w:p>
        </w:tc>
        <w:tc>
          <w:tcPr>
            <w:tcW w:w="847" w:type="pct"/>
            <w:noWrap/>
            <w:vAlign w:val="center"/>
            <w:hideMark/>
          </w:tcPr>
          <w:p w:rsidR="00482241" w:rsidRPr="00144A07" w:rsidRDefault="00482241" w:rsidP="00245DBC">
            <w:pPr>
              <w:jc w:val="center"/>
              <w:rPr>
                <w:rFonts w:ascii="Verdana" w:eastAsia="Times New Roman" w:hAnsi="Verdana" w:cs="Tahoma"/>
                <w:color w:val="000000"/>
                <w:sz w:val="20"/>
                <w:szCs w:val="20"/>
                <w:lang w:eastAsia="es-ES"/>
              </w:rPr>
            </w:pPr>
            <w:r w:rsidRPr="00144A07">
              <w:rPr>
                <w:rFonts w:ascii="Verdana" w:eastAsia="Times New Roman" w:hAnsi="Verdana" w:cs="Tahoma"/>
                <w:color w:val="000000"/>
                <w:sz w:val="20"/>
                <w:szCs w:val="20"/>
                <w:lang w:eastAsia="es-ES"/>
              </w:rPr>
              <w:t>96%</w:t>
            </w:r>
          </w:p>
        </w:tc>
      </w:tr>
      <w:tr w:rsidR="00482241" w:rsidRPr="00144A07" w:rsidTr="00A173A7">
        <w:trPr>
          <w:trHeight w:val="480"/>
          <w:jc w:val="center"/>
        </w:trPr>
        <w:tc>
          <w:tcPr>
            <w:tcW w:w="4153" w:type="pct"/>
            <w:vMerge w:val="restart"/>
            <w:vAlign w:val="center"/>
            <w:hideMark/>
          </w:tcPr>
          <w:p w:rsidR="00482241" w:rsidRPr="00144A07" w:rsidRDefault="00482241" w:rsidP="00245DBC">
            <w:pPr>
              <w:rPr>
                <w:rFonts w:ascii="Verdana" w:eastAsia="Times New Roman" w:hAnsi="Verdana" w:cs="Tahoma"/>
                <w:b/>
                <w:bCs/>
                <w:iCs/>
                <w:color w:val="000000"/>
                <w:sz w:val="20"/>
                <w:szCs w:val="20"/>
                <w:lang w:eastAsia="es-ES"/>
              </w:rPr>
            </w:pPr>
            <w:r w:rsidRPr="00144A07">
              <w:rPr>
                <w:rFonts w:ascii="Verdana" w:eastAsia="Times New Roman" w:hAnsi="Verdana" w:cs="Tahoma"/>
                <w:iCs/>
                <w:color w:val="000000"/>
                <w:sz w:val="20"/>
                <w:szCs w:val="20"/>
                <w:lang w:eastAsia="es-ES"/>
              </w:rPr>
              <w:t>Objetivo No. 7:</w:t>
            </w:r>
            <w:r w:rsidRPr="00144A07">
              <w:rPr>
                <w:rFonts w:ascii="Verdana" w:eastAsia="Times New Roman" w:hAnsi="Verdana" w:cs="Tahoma"/>
                <w:b/>
                <w:iCs/>
                <w:color w:val="000000"/>
                <w:sz w:val="20"/>
                <w:szCs w:val="20"/>
                <w:lang w:eastAsia="es-ES"/>
              </w:rPr>
              <w:t xml:space="preserve"> Buscar y gestionar nuevos recursos que apoyen la labor misional de la entidad.</w:t>
            </w:r>
          </w:p>
        </w:tc>
        <w:tc>
          <w:tcPr>
            <w:tcW w:w="847" w:type="pct"/>
            <w:vMerge w:val="restart"/>
            <w:noWrap/>
            <w:vAlign w:val="center"/>
            <w:hideMark/>
          </w:tcPr>
          <w:p w:rsidR="00482241" w:rsidRPr="00144A07" w:rsidRDefault="00482241" w:rsidP="00245DBC">
            <w:pPr>
              <w:jc w:val="center"/>
              <w:rPr>
                <w:rFonts w:ascii="Verdana" w:eastAsia="Times New Roman" w:hAnsi="Verdana" w:cs="Tahoma"/>
                <w:color w:val="000000"/>
                <w:sz w:val="20"/>
                <w:szCs w:val="20"/>
                <w:lang w:eastAsia="es-ES"/>
              </w:rPr>
            </w:pPr>
            <w:r w:rsidRPr="00144A07">
              <w:rPr>
                <w:rFonts w:ascii="Verdana" w:eastAsia="Times New Roman" w:hAnsi="Verdana" w:cs="Tahoma"/>
                <w:color w:val="000000"/>
                <w:sz w:val="20"/>
                <w:szCs w:val="20"/>
                <w:lang w:eastAsia="es-ES"/>
              </w:rPr>
              <w:t>100%</w:t>
            </w:r>
          </w:p>
        </w:tc>
      </w:tr>
      <w:tr w:rsidR="00482241" w:rsidRPr="00144A07" w:rsidTr="00A173A7">
        <w:trPr>
          <w:trHeight w:val="480"/>
          <w:jc w:val="center"/>
        </w:trPr>
        <w:tc>
          <w:tcPr>
            <w:tcW w:w="4153" w:type="pct"/>
            <w:vMerge/>
            <w:vAlign w:val="center"/>
            <w:hideMark/>
          </w:tcPr>
          <w:p w:rsidR="00482241" w:rsidRPr="00144A07" w:rsidRDefault="00482241" w:rsidP="00245DBC">
            <w:pPr>
              <w:rPr>
                <w:rFonts w:ascii="Verdana" w:eastAsia="Times New Roman" w:hAnsi="Verdana" w:cs="Tahoma"/>
                <w:b/>
                <w:bCs/>
                <w:iCs/>
                <w:color w:val="000000"/>
                <w:sz w:val="20"/>
                <w:szCs w:val="20"/>
                <w:lang w:eastAsia="es-ES"/>
              </w:rPr>
            </w:pPr>
          </w:p>
        </w:tc>
        <w:tc>
          <w:tcPr>
            <w:tcW w:w="847" w:type="pct"/>
            <w:vMerge/>
            <w:vAlign w:val="center"/>
            <w:hideMark/>
          </w:tcPr>
          <w:p w:rsidR="00482241" w:rsidRPr="00144A07" w:rsidRDefault="00482241" w:rsidP="00245DBC">
            <w:pPr>
              <w:jc w:val="center"/>
              <w:rPr>
                <w:rFonts w:ascii="Verdana" w:eastAsia="Times New Roman" w:hAnsi="Verdana" w:cs="Tahoma"/>
                <w:color w:val="000000"/>
                <w:sz w:val="20"/>
                <w:szCs w:val="20"/>
                <w:lang w:eastAsia="es-ES"/>
              </w:rPr>
            </w:pPr>
          </w:p>
        </w:tc>
      </w:tr>
      <w:tr w:rsidR="00482241" w:rsidRPr="00144A07" w:rsidTr="00A173A7">
        <w:trPr>
          <w:trHeight w:val="480"/>
          <w:jc w:val="center"/>
        </w:trPr>
        <w:tc>
          <w:tcPr>
            <w:tcW w:w="4153" w:type="pct"/>
            <w:vMerge w:val="restart"/>
            <w:vAlign w:val="center"/>
            <w:hideMark/>
          </w:tcPr>
          <w:p w:rsidR="00482241" w:rsidRPr="00144A07" w:rsidRDefault="00482241" w:rsidP="00245DBC">
            <w:pPr>
              <w:rPr>
                <w:rFonts w:ascii="Verdana" w:eastAsia="Times New Roman" w:hAnsi="Verdana" w:cs="Tahoma"/>
                <w:b/>
                <w:bCs/>
                <w:iCs/>
                <w:color w:val="000000"/>
                <w:sz w:val="20"/>
                <w:szCs w:val="20"/>
                <w:lang w:eastAsia="es-ES"/>
              </w:rPr>
            </w:pPr>
            <w:r w:rsidRPr="00144A07">
              <w:rPr>
                <w:rFonts w:ascii="Verdana" w:eastAsia="Times New Roman" w:hAnsi="Verdana" w:cs="Tahoma"/>
                <w:iCs/>
                <w:color w:val="000000"/>
                <w:sz w:val="20"/>
                <w:szCs w:val="20"/>
                <w:lang w:eastAsia="es-ES"/>
              </w:rPr>
              <w:lastRenderedPageBreak/>
              <w:t>Objetivo No. 8:</w:t>
            </w:r>
            <w:r w:rsidRPr="00144A07">
              <w:rPr>
                <w:rFonts w:ascii="Verdana" w:eastAsia="Times New Roman" w:hAnsi="Verdana" w:cs="Tahoma"/>
                <w:b/>
                <w:iCs/>
                <w:color w:val="000000"/>
                <w:sz w:val="20"/>
                <w:szCs w:val="20"/>
                <w:lang w:eastAsia="es-ES"/>
              </w:rPr>
              <w:t xml:space="preserve"> Implementar mecanismos de atención, asistencia y reparación integral eficientes y eficaces para las víctimas.</w:t>
            </w:r>
          </w:p>
        </w:tc>
        <w:tc>
          <w:tcPr>
            <w:tcW w:w="847" w:type="pct"/>
            <w:vMerge w:val="restart"/>
            <w:noWrap/>
            <w:vAlign w:val="center"/>
            <w:hideMark/>
          </w:tcPr>
          <w:p w:rsidR="00482241" w:rsidRPr="00144A07" w:rsidRDefault="00482241" w:rsidP="00245DBC">
            <w:pPr>
              <w:jc w:val="center"/>
              <w:rPr>
                <w:rFonts w:ascii="Verdana" w:eastAsia="Times New Roman" w:hAnsi="Verdana" w:cs="Tahoma"/>
                <w:color w:val="000000"/>
                <w:sz w:val="20"/>
                <w:szCs w:val="20"/>
                <w:lang w:eastAsia="es-ES"/>
              </w:rPr>
            </w:pPr>
            <w:r w:rsidRPr="00144A07">
              <w:rPr>
                <w:rFonts w:ascii="Verdana" w:eastAsia="Times New Roman" w:hAnsi="Verdana" w:cs="Tahoma"/>
                <w:color w:val="000000"/>
                <w:sz w:val="20"/>
                <w:szCs w:val="20"/>
                <w:lang w:eastAsia="es-ES"/>
              </w:rPr>
              <w:t>82%</w:t>
            </w:r>
          </w:p>
        </w:tc>
      </w:tr>
      <w:tr w:rsidR="00482241" w:rsidRPr="00144A07" w:rsidTr="00A173A7">
        <w:trPr>
          <w:trHeight w:val="480"/>
          <w:jc w:val="center"/>
        </w:trPr>
        <w:tc>
          <w:tcPr>
            <w:tcW w:w="4153" w:type="pct"/>
            <w:vMerge/>
            <w:vAlign w:val="center"/>
            <w:hideMark/>
          </w:tcPr>
          <w:p w:rsidR="00482241" w:rsidRPr="00144A07" w:rsidRDefault="00482241" w:rsidP="00245DBC">
            <w:pPr>
              <w:rPr>
                <w:rFonts w:ascii="Verdana" w:eastAsia="Times New Roman" w:hAnsi="Verdana" w:cs="Tahoma"/>
                <w:b/>
                <w:bCs/>
                <w:iCs/>
                <w:color w:val="000000"/>
                <w:sz w:val="20"/>
                <w:szCs w:val="20"/>
                <w:lang w:eastAsia="es-ES"/>
              </w:rPr>
            </w:pPr>
          </w:p>
        </w:tc>
        <w:tc>
          <w:tcPr>
            <w:tcW w:w="847" w:type="pct"/>
            <w:vMerge/>
            <w:vAlign w:val="center"/>
            <w:hideMark/>
          </w:tcPr>
          <w:p w:rsidR="00482241" w:rsidRPr="00144A07" w:rsidRDefault="00482241" w:rsidP="00245DBC">
            <w:pPr>
              <w:jc w:val="center"/>
              <w:rPr>
                <w:rFonts w:ascii="Verdana" w:eastAsia="Times New Roman" w:hAnsi="Verdana" w:cs="Tahoma"/>
                <w:color w:val="000000"/>
                <w:sz w:val="20"/>
                <w:szCs w:val="20"/>
                <w:lang w:eastAsia="es-ES"/>
              </w:rPr>
            </w:pPr>
          </w:p>
        </w:tc>
      </w:tr>
      <w:tr w:rsidR="00482241" w:rsidRPr="00144A07" w:rsidTr="00A173A7">
        <w:trPr>
          <w:trHeight w:val="480"/>
          <w:jc w:val="center"/>
        </w:trPr>
        <w:tc>
          <w:tcPr>
            <w:tcW w:w="4153" w:type="pct"/>
            <w:vMerge/>
            <w:vAlign w:val="center"/>
            <w:hideMark/>
          </w:tcPr>
          <w:p w:rsidR="00482241" w:rsidRPr="00144A07" w:rsidRDefault="00482241" w:rsidP="00245DBC">
            <w:pPr>
              <w:rPr>
                <w:rFonts w:ascii="Verdana" w:eastAsia="Times New Roman" w:hAnsi="Verdana" w:cs="Tahoma"/>
                <w:b/>
                <w:bCs/>
                <w:iCs/>
                <w:color w:val="000000"/>
                <w:sz w:val="20"/>
                <w:szCs w:val="20"/>
                <w:lang w:eastAsia="es-ES"/>
              </w:rPr>
            </w:pPr>
          </w:p>
        </w:tc>
        <w:tc>
          <w:tcPr>
            <w:tcW w:w="847" w:type="pct"/>
            <w:vMerge/>
            <w:vAlign w:val="center"/>
            <w:hideMark/>
          </w:tcPr>
          <w:p w:rsidR="00482241" w:rsidRPr="00144A07" w:rsidRDefault="00482241" w:rsidP="00245DBC">
            <w:pPr>
              <w:jc w:val="center"/>
              <w:rPr>
                <w:rFonts w:ascii="Verdana" w:eastAsia="Times New Roman" w:hAnsi="Verdana" w:cs="Tahoma"/>
                <w:color w:val="000000"/>
                <w:sz w:val="20"/>
                <w:szCs w:val="20"/>
                <w:lang w:eastAsia="es-ES"/>
              </w:rPr>
            </w:pPr>
          </w:p>
        </w:tc>
      </w:tr>
      <w:tr w:rsidR="00482241" w:rsidRPr="00144A07" w:rsidTr="00A173A7">
        <w:trPr>
          <w:trHeight w:val="480"/>
          <w:jc w:val="center"/>
        </w:trPr>
        <w:tc>
          <w:tcPr>
            <w:tcW w:w="4153" w:type="pct"/>
            <w:vMerge/>
            <w:vAlign w:val="center"/>
            <w:hideMark/>
          </w:tcPr>
          <w:p w:rsidR="00482241" w:rsidRPr="00144A07" w:rsidRDefault="00482241" w:rsidP="00245DBC">
            <w:pPr>
              <w:rPr>
                <w:rFonts w:ascii="Verdana" w:eastAsia="Times New Roman" w:hAnsi="Verdana" w:cs="Tahoma"/>
                <w:b/>
                <w:bCs/>
                <w:iCs/>
                <w:color w:val="000000"/>
                <w:sz w:val="20"/>
                <w:szCs w:val="20"/>
                <w:lang w:eastAsia="es-ES"/>
              </w:rPr>
            </w:pPr>
          </w:p>
        </w:tc>
        <w:tc>
          <w:tcPr>
            <w:tcW w:w="847" w:type="pct"/>
            <w:vMerge/>
            <w:vAlign w:val="center"/>
            <w:hideMark/>
          </w:tcPr>
          <w:p w:rsidR="00482241" w:rsidRPr="00144A07" w:rsidRDefault="00482241" w:rsidP="00245DBC">
            <w:pPr>
              <w:jc w:val="center"/>
              <w:rPr>
                <w:rFonts w:ascii="Verdana" w:eastAsia="Times New Roman" w:hAnsi="Verdana" w:cs="Tahoma"/>
                <w:color w:val="000000"/>
                <w:sz w:val="20"/>
                <w:szCs w:val="20"/>
                <w:lang w:eastAsia="es-ES"/>
              </w:rPr>
            </w:pPr>
          </w:p>
        </w:tc>
      </w:tr>
      <w:tr w:rsidR="00482241" w:rsidRPr="00144A07" w:rsidTr="00A173A7">
        <w:trPr>
          <w:trHeight w:val="20"/>
          <w:jc w:val="center"/>
        </w:trPr>
        <w:tc>
          <w:tcPr>
            <w:tcW w:w="4153" w:type="pct"/>
            <w:vAlign w:val="center"/>
            <w:hideMark/>
          </w:tcPr>
          <w:p w:rsidR="00482241" w:rsidRPr="00144A07" w:rsidRDefault="00482241" w:rsidP="00245DBC">
            <w:pPr>
              <w:rPr>
                <w:rFonts w:ascii="Verdana" w:eastAsia="Times New Roman" w:hAnsi="Verdana" w:cs="Tahoma"/>
                <w:b/>
                <w:bCs/>
                <w:iCs/>
                <w:color w:val="000000"/>
                <w:sz w:val="20"/>
                <w:szCs w:val="20"/>
                <w:lang w:eastAsia="es-ES"/>
              </w:rPr>
            </w:pPr>
            <w:r w:rsidRPr="00144A07">
              <w:rPr>
                <w:rFonts w:ascii="Verdana" w:eastAsia="Times New Roman" w:hAnsi="Verdana" w:cs="Tahoma"/>
                <w:iCs/>
                <w:color w:val="000000"/>
                <w:sz w:val="20"/>
                <w:szCs w:val="20"/>
                <w:lang w:eastAsia="es-ES"/>
              </w:rPr>
              <w:t>Objetivo No. 9:</w:t>
            </w:r>
            <w:r w:rsidRPr="00144A07">
              <w:rPr>
                <w:rFonts w:ascii="Verdana" w:eastAsia="Times New Roman" w:hAnsi="Verdana" w:cs="Tahoma"/>
                <w:b/>
                <w:iCs/>
                <w:color w:val="000000"/>
                <w:sz w:val="20"/>
                <w:szCs w:val="20"/>
                <w:lang w:eastAsia="es-ES"/>
              </w:rPr>
              <w:t xml:space="preserve"> Incorporar los enfoques diferenciales, de género y psicosocial en los procesos misionales.</w:t>
            </w:r>
          </w:p>
        </w:tc>
        <w:tc>
          <w:tcPr>
            <w:tcW w:w="847" w:type="pct"/>
            <w:noWrap/>
            <w:vAlign w:val="center"/>
            <w:hideMark/>
          </w:tcPr>
          <w:p w:rsidR="00482241" w:rsidRPr="00144A07" w:rsidRDefault="00482241" w:rsidP="00245DBC">
            <w:pPr>
              <w:jc w:val="center"/>
              <w:rPr>
                <w:rFonts w:ascii="Verdana" w:eastAsia="Times New Roman" w:hAnsi="Verdana" w:cs="Tahoma"/>
                <w:color w:val="000000"/>
                <w:sz w:val="20"/>
                <w:szCs w:val="20"/>
                <w:lang w:eastAsia="es-ES"/>
              </w:rPr>
            </w:pPr>
            <w:r w:rsidRPr="00144A07">
              <w:rPr>
                <w:rFonts w:ascii="Verdana" w:eastAsia="Times New Roman" w:hAnsi="Verdana" w:cs="Tahoma"/>
                <w:color w:val="000000"/>
                <w:sz w:val="20"/>
                <w:szCs w:val="20"/>
                <w:lang w:eastAsia="es-ES"/>
              </w:rPr>
              <w:t>90%</w:t>
            </w:r>
          </w:p>
        </w:tc>
      </w:tr>
      <w:tr w:rsidR="00482241" w:rsidRPr="00144A07" w:rsidTr="00A173A7">
        <w:trPr>
          <w:trHeight w:val="20"/>
          <w:jc w:val="center"/>
        </w:trPr>
        <w:tc>
          <w:tcPr>
            <w:tcW w:w="4153" w:type="pct"/>
            <w:vAlign w:val="center"/>
          </w:tcPr>
          <w:p w:rsidR="00482241" w:rsidRPr="00144A07" w:rsidRDefault="00482241" w:rsidP="00245DBC">
            <w:pPr>
              <w:rPr>
                <w:rFonts w:ascii="Verdana" w:eastAsia="Times New Roman" w:hAnsi="Verdana" w:cs="Tahoma"/>
                <w:b/>
                <w:iCs/>
                <w:color w:val="000000"/>
                <w:sz w:val="20"/>
                <w:szCs w:val="20"/>
                <w:lang w:eastAsia="es-ES"/>
              </w:rPr>
            </w:pPr>
            <w:r w:rsidRPr="00144A07">
              <w:rPr>
                <w:rFonts w:ascii="Verdana" w:eastAsia="Times New Roman" w:hAnsi="Verdana" w:cs="Tahoma"/>
                <w:iCs/>
                <w:color w:val="000000"/>
                <w:sz w:val="20"/>
                <w:szCs w:val="20"/>
                <w:lang w:eastAsia="es-ES"/>
              </w:rPr>
              <w:t>Objetivo No.10:</w:t>
            </w:r>
            <w:r w:rsidRPr="00144A07">
              <w:rPr>
                <w:rFonts w:ascii="Verdana" w:eastAsia="Times New Roman" w:hAnsi="Verdana" w:cs="Tahoma"/>
                <w:b/>
                <w:iCs/>
                <w:color w:val="000000"/>
                <w:sz w:val="20"/>
                <w:szCs w:val="20"/>
                <w:lang w:eastAsia="es-ES"/>
              </w:rPr>
              <w:t xml:space="preserve"> Fortalecer los procesos internos de la Unidad.</w:t>
            </w:r>
          </w:p>
        </w:tc>
        <w:tc>
          <w:tcPr>
            <w:tcW w:w="847" w:type="pct"/>
            <w:noWrap/>
            <w:vAlign w:val="center"/>
          </w:tcPr>
          <w:p w:rsidR="00482241" w:rsidRPr="00144A07" w:rsidRDefault="00482241" w:rsidP="00245DBC">
            <w:pPr>
              <w:jc w:val="center"/>
              <w:rPr>
                <w:rFonts w:ascii="Verdana" w:eastAsia="Times New Roman" w:hAnsi="Verdana" w:cs="Tahoma"/>
                <w:color w:val="000000"/>
                <w:sz w:val="20"/>
                <w:szCs w:val="20"/>
                <w:lang w:eastAsia="es-ES"/>
              </w:rPr>
            </w:pPr>
            <w:r w:rsidRPr="00144A07">
              <w:rPr>
                <w:rFonts w:ascii="Verdana" w:eastAsia="Times New Roman" w:hAnsi="Verdana" w:cs="Tahoma"/>
                <w:color w:val="000000"/>
                <w:sz w:val="20"/>
                <w:szCs w:val="20"/>
                <w:lang w:eastAsia="es-ES"/>
              </w:rPr>
              <w:t>88%</w:t>
            </w:r>
          </w:p>
        </w:tc>
      </w:tr>
      <w:tr w:rsidR="00482241" w:rsidRPr="00144A07" w:rsidTr="00A173A7">
        <w:trPr>
          <w:trHeight w:val="480"/>
          <w:jc w:val="center"/>
        </w:trPr>
        <w:tc>
          <w:tcPr>
            <w:tcW w:w="4153" w:type="pct"/>
            <w:vMerge w:val="restart"/>
            <w:vAlign w:val="center"/>
            <w:hideMark/>
          </w:tcPr>
          <w:p w:rsidR="00482241" w:rsidRPr="00144A07" w:rsidRDefault="00482241" w:rsidP="00245DBC">
            <w:pPr>
              <w:rPr>
                <w:rFonts w:ascii="Verdana" w:eastAsia="Times New Roman" w:hAnsi="Verdana" w:cs="Tahoma"/>
                <w:b/>
                <w:bCs/>
                <w:iCs/>
                <w:color w:val="000000"/>
                <w:sz w:val="20"/>
                <w:szCs w:val="20"/>
                <w:lang w:eastAsia="es-ES"/>
              </w:rPr>
            </w:pPr>
            <w:r w:rsidRPr="00144A07">
              <w:rPr>
                <w:rFonts w:ascii="Verdana" w:eastAsia="Times New Roman" w:hAnsi="Verdana" w:cs="Tahoma"/>
                <w:iCs/>
                <w:color w:val="000000"/>
                <w:sz w:val="20"/>
                <w:szCs w:val="20"/>
                <w:lang w:eastAsia="es-ES"/>
              </w:rPr>
              <w:t>Objetivo No.11</w:t>
            </w:r>
            <w:r w:rsidRPr="00144A07">
              <w:rPr>
                <w:rFonts w:ascii="Verdana" w:eastAsia="Times New Roman" w:hAnsi="Verdana" w:cs="Tahoma"/>
                <w:b/>
                <w:iCs/>
                <w:color w:val="000000"/>
                <w:sz w:val="20"/>
                <w:szCs w:val="20"/>
                <w:lang w:eastAsia="es-ES"/>
              </w:rPr>
              <w:t>: Contar con un sistema de información integral, para la trazabilidad de la víctima desde su declaración hasta su reparación.</w:t>
            </w:r>
          </w:p>
        </w:tc>
        <w:tc>
          <w:tcPr>
            <w:tcW w:w="847" w:type="pct"/>
            <w:vMerge w:val="restart"/>
            <w:noWrap/>
            <w:vAlign w:val="center"/>
            <w:hideMark/>
          </w:tcPr>
          <w:p w:rsidR="00482241" w:rsidRPr="00144A07" w:rsidRDefault="00482241" w:rsidP="00245DBC">
            <w:pPr>
              <w:jc w:val="center"/>
              <w:rPr>
                <w:rFonts w:ascii="Verdana" w:eastAsia="Times New Roman" w:hAnsi="Verdana" w:cs="Tahoma"/>
                <w:color w:val="000000"/>
                <w:sz w:val="20"/>
                <w:szCs w:val="20"/>
                <w:lang w:eastAsia="es-ES"/>
              </w:rPr>
            </w:pPr>
            <w:r w:rsidRPr="00144A07">
              <w:rPr>
                <w:rFonts w:ascii="Verdana" w:eastAsia="Times New Roman" w:hAnsi="Verdana" w:cs="Tahoma"/>
                <w:color w:val="000000"/>
                <w:sz w:val="20"/>
                <w:szCs w:val="20"/>
                <w:lang w:eastAsia="es-ES"/>
              </w:rPr>
              <w:t>100%</w:t>
            </w:r>
          </w:p>
        </w:tc>
      </w:tr>
      <w:tr w:rsidR="00482241" w:rsidRPr="00144A07" w:rsidTr="00A173A7">
        <w:trPr>
          <w:trHeight w:val="480"/>
          <w:jc w:val="center"/>
        </w:trPr>
        <w:tc>
          <w:tcPr>
            <w:tcW w:w="4153" w:type="pct"/>
            <w:vMerge/>
            <w:vAlign w:val="center"/>
            <w:hideMark/>
          </w:tcPr>
          <w:p w:rsidR="00482241" w:rsidRPr="00144A07" w:rsidRDefault="00482241" w:rsidP="00245DBC">
            <w:pPr>
              <w:rPr>
                <w:rFonts w:ascii="Verdana" w:eastAsia="Times New Roman" w:hAnsi="Verdana" w:cs="Tahoma"/>
                <w:b/>
                <w:bCs/>
                <w:iCs/>
                <w:color w:val="000000"/>
                <w:sz w:val="20"/>
                <w:szCs w:val="20"/>
                <w:lang w:eastAsia="es-ES"/>
              </w:rPr>
            </w:pPr>
          </w:p>
        </w:tc>
        <w:tc>
          <w:tcPr>
            <w:tcW w:w="847" w:type="pct"/>
            <w:vMerge/>
            <w:vAlign w:val="center"/>
            <w:hideMark/>
          </w:tcPr>
          <w:p w:rsidR="00482241" w:rsidRPr="00144A07" w:rsidRDefault="00482241" w:rsidP="00245DBC">
            <w:pPr>
              <w:jc w:val="center"/>
              <w:rPr>
                <w:rFonts w:ascii="Verdana" w:eastAsia="Times New Roman" w:hAnsi="Verdana" w:cs="Tahoma"/>
                <w:color w:val="000000"/>
                <w:sz w:val="20"/>
                <w:szCs w:val="20"/>
                <w:lang w:eastAsia="es-ES"/>
              </w:rPr>
            </w:pPr>
          </w:p>
        </w:tc>
      </w:tr>
      <w:tr w:rsidR="00482241" w:rsidRPr="00144A07" w:rsidTr="00A173A7">
        <w:trPr>
          <w:trHeight w:val="20"/>
          <w:jc w:val="center"/>
        </w:trPr>
        <w:tc>
          <w:tcPr>
            <w:tcW w:w="4153" w:type="pct"/>
            <w:vAlign w:val="center"/>
            <w:hideMark/>
          </w:tcPr>
          <w:p w:rsidR="00482241" w:rsidRPr="00144A07" w:rsidRDefault="00482241" w:rsidP="00245DBC">
            <w:pPr>
              <w:rPr>
                <w:rFonts w:ascii="Verdana" w:eastAsia="Times New Roman" w:hAnsi="Verdana" w:cs="Tahoma"/>
                <w:b/>
                <w:bCs/>
                <w:iCs/>
                <w:color w:val="000000"/>
                <w:sz w:val="20"/>
                <w:szCs w:val="20"/>
                <w:lang w:eastAsia="es-ES"/>
              </w:rPr>
            </w:pPr>
            <w:r w:rsidRPr="00144A07">
              <w:rPr>
                <w:rFonts w:ascii="Verdana" w:eastAsia="Times New Roman" w:hAnsi="Verdana" w:cs="Tahoma"/>
                <w:iCs/>
                <w:color w:val="000000"/>
                <w:sz w:val="20"/>
                <w:szCs w:val="20"/>
                <w:lang w:eastAsia="es-ES"/>
              </w:rPr>
              <w:t>Objetivo No.12:</w:t>
            </w:r>
            <w:r w:rsidRPr="00144A07">
              <w:rPr>
                <w:rFonts w:ascii="Verdana" w:eastAsia="Times New Roman" w:hAnsi="Verdana" w:cs="Tahoma"/>
                <w:b/>
                <w:iCs/>
                <w:color w:val="000000"/>
                <w:sz w:val="20"/>
                <w:szCs w:val="20"/>
                <w:lang w:eastAsia="es-ES"/>
              </w:rPr>
              <w:t xml:space="preserve"> Contar con una Estructura organizacional y planta de personal altamente motivada y coherente con las necesidades de la Entidad.</w:t>
            </w:r>
          </w:p>
        </w:tc>
        <w:tc>
          <w:tcPr>
            <w:tcW w:w="847" w:type="pct"/>
            <w:noWrap/>
            <w:vAlign w:val="center"/>
            <w:hideMark/>
          </w:tcPr>
          <w:p w:rsidR="00482241" w:rsidRPr="00144A07" w:rsidRDefault="00482241" w:rsidP="00245DBC">
            <w:pPr>
              <w:jc w:val="center"/>
              <w:rPr>
                <w:rFonts w:ascii="Verdana" w:eastAsia="Times New Roman" w:hAnsi="Verdana" w:cs="Tahoma"/>
                <w:color w:val="000000"/>
                <w:sz w:val="20"/>
                <w:szCs w:val="20"/>
                <w:lang w:eastAsia="es-ES"/>
              </w:rPr>
            </w:pPr>
            <w:r w:rsidRPr="00144A07">
              <w:rPr>
                <w:rFonts w:ascii="Verdana" w:eastAsia="Times New Roman" w:hAnsi="Verdana" w:cs="Tahoma"/>
                <w:color w:val="000000"/>
                <w:sz w:val="20"/>
                <w:szCs w:val="20"/>
                <w:lang w:eastAsia="es-ES"/>
              </w:rPr>
              <w:t>100%</w:t>
            </w:r>
          </w:p>
        </w:tc>
      </w:tr>
    </w:tbl>
    <w:p w:rsidR="00482241" w:rsidRDefault="00482241" w:rsidP="00482241">
      <w:pPr>
        <w:tabs>
          <w:tab w:val="left" w:pos="5850"/>
        </w:tabs>
        <w:spacing w:after="0" w:line="240" w:lineRule="auto"/>
        <w:rPr>
          <w:rFonts w:ascii="Verdana" w:hAnsi="Verdana" w:cs="Tahoma"/>
          <w:sz w:val="24"/>
          <w:szCs w:val="24"/>
        </w:rPr>
      </w:pPr>
    </w:p>
    <w:p w:rsidR="00482241" w:rsidRDefault="00482241" w:rsidP="00482241">
      <w:pPr>
        <w:tabs>
          <w:tab w:val="left" w:pos="5850"/>
        </w:tabs>
        <w:spacing w:after="0" w:line="240" w:lineRule="auto"/>
        <w:rPr>
          <w:rFonts w:ascii="Verdana" w:hAnsi="Verdana" w:cs="Tahoma"/>
          <w:sz w:val="24"/>
          <w:szCs w:val="24"/>
        </w:rPr>
      </w:pPr>
    </w:p>
    <w:p w:rsidR="00482241" w:rsidRPr="00A173A7" w:rsidRDefault="00A173A7" w:rsidP="00482241">
      <w:pPr>
        <w:spacing w:after="0" w:line="240" w:lineRule="auto"/>
        <w:rPr>
          <w:rFonts w:ascii="Verdana" w:hAnsi="Verdana" w:cs="Tahoma"/>
          <w:b/>
          <w:color w:val="4F81BD" w:themeColor="accent1"/>
          <w:sz w:val="24"/>
          <w:szCs w:val="24"/>
        </w:rPr>
      </w:pPr>
      <w:r w:rsidRPr="00A173A7">
        <w:rPr>
          <w:rFonts w:ascii="Verdana" w:hAnsi="Verdana" w:cs="Tahoma"/>
          <w:b/>
          <w:color w:val="4F81BD" w:themeColor="accent1"/>
          <w:sz w:val="24"/>
          <w:szCs w:val="24"/>
        </w:rPr>
        <w:t>P</w:t>
      </w:r>
      <w:r w:rsidR="00482241" w:rsidRPr="00A173A7">
        <w:rPr>
          <w:rFonts w:ascii="Verdana" w:hAnsi="Verdana" w:cs="Tahoma"/>
          <w:b/>
          <w:color w:val="4F81BD" w:themeColor="accent1"/>
          <w:sz w:val="24"/>
          <w:szCs w:val="24"/>
        </w:rPr>
        <w:t xml:space="preserve">ORCENTAJE DE CUMPLIMIENTO INDICADORES ESTRATÉGICOS </w:t>
      </w:r>
    </w:p>
    <w:p w:rsidR="00482241" w:rsidRPr="00144A07" w:rsidRDefault="00482241" w:rsidP="00482241">
      <w:pPr>
        <w:spacing w:after="0" w:line="240" w:lineRule="auto"/>
        <w:rPr>
          <w:rFonts w:ascii="Verdana" w:hAnsi="Verdana" w:cs="Tahoma"/>
          <w:b/>
          <w:color w:val="4F81BD" w:themeColor="accent1"/>
          <w:sz w:val="24"/>
          <w:szCs w:val="24"/>
        </w:rPr>
      </w:pPr>
    </w:p>
    <w:p w:rsidR="00482241" w:rsidRPr="00144A07" w:rsidRDefault="00482241" w:rsidP="00482241">
      <w:pPr>
        <w:spacing w:after="0" w:line="240" w:lineRule="auto"/>
        <w:jc w:val="both"/>
        <w:rPr>
          <w:rFonts w:ascii="Verdana" w:hAnsi="Verdana" w:cs="Tahoma"/>
          <w:sz w:val="24"/>
          <w:szCs w:val="24"/>
        </w:rPr>
      </w:pPr>
      <w:r w:rsidRPr="00144A07">
        <w:rPr>
          <w:rFonts w:ascii="Verdana" w:hAnsi="Verdana" w:cs="Tahoma"/>
          <w:sz w:val="24"/>
          <w:szCs w:val="24"/>
        </w:rPr>
        <w:t>De acuerdo al análisis realizado a la ejecución de los indicadores estratégicos del plan de acción 2014, la siguiente imagen muestra el porcentaje de actividades de acuerdo con el nivel de cumplimiento de las mismas:</w:t>
      </w:r>
    </w:p>
    <w:tbl>
      <w:tblPr>
        <w:tblpPr w:leftFromText="141" w:rightFromText="141" w:vertAnchor="text" w:horzAnchor="margin" w:tblpX="10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2"/>
        <w:gridCol w:w="3371"/>
        <w:gridCol w:w="3371"/>
      </w:tblGrid>
      <w:tr w:rsidR="00482241" w:rsidRPr="00144A07" w:rsidTr="00A173A7">
        <w:tc>
          <w:tcPr>
            <w:tcW w:w="3262" w:type="dxa"/>
            <w:vAlign w:val="center"/>
          </w:tcPr>
          <w:p w:rsidR="00482241" w:rsidRPr="00144A07" w:rsidRDefault="00482241" w:rsidP="00245DBC">
            <w:pPr>
              <w:jc w:val="center"/>
              <w:rPr>
                <w:rFonts w:ascii="Verdana" w:hAnsi="Verdana"/>
                <w:szCs w:val="24"/>
              </w:rPr>
            </w:pPr>
            <w:r w:rsidRPr="00144A07">
              <w:rPr>
                <w:rFonts w:ascii="Verdana" w:hAnsi="Verdana"/>
                <w:szCs w:val="24"/>
              </w:rPr>
              <w:t>Rangos de cumplimiento</w:t>
            </w:r>
          </w:p>
        </w:tc>
        <w:tc>
          <w:tcPr>
            <w:tcW w:w="3371" w:type="dxa"/>
            <w:vAlign w:val="center"/>
          </w:tcPr>
          <w:p w:rsidR="00482241" w:rsidRPr="00144A07" w:rsidRDefault="00482241" w:rsidP="00245DBC">
            <w:pPr>
              <w:jc w:val="center"/>
              <w:rPr>
                <w:rFonts w:ascii="Verdana" w:hAnsi="Verdana"/>
                <w:szCs w:val="24"/>
              </w:rPr>
            </w:pPr>
            <w:r w:rsidRPr="00144A07">
              <w:rPr>
                <w:rFonts w:ascii="Verdana" w:hAnsi="Verdana"/>
                <w:szCs w:val="24"/>
              </w:rPr>
              <w:t>Porcentaje de cumplimento</w:t>
            </w:r>
          </w:p>
        </w:tc>
        <w:tc>
          <w:tcPr>
            <w:tcW w:w="3371" w:type="dxa"/>
            <w:vAlign w:val="center"/>
          </w:tcPr>
          <w:p w:rsidR="00482241" w:rsidRPr="00144A07" w:rsidRDefault="00482241" w:rsidP="00245DBC">
            <w:pPr>
              <w:jc w:val="center"/>
              <w:rPr>
                <w:rFonts w:ascii="Verdana" w:hAnsi="Verdana"/>
                <w:szCs w:val="24"/>
              </w:rPr>
            </w:pPr>
            <w:r w:rsidRPr="00144A07">
              <w:rPr>
                <w:rFonts w:ascii="Verdana" w:hAnsi="Verdana"/>
                <w:szCs w:val="24"/>
              </w:rPr>
              <w:t xml:space="preserve">Numero de actividades </w:t>
            </w:r>
          </w:p>
        </w:tc>
      </w:tr>
      <w:tr w:rsidR="00482241" w:rsidRPr="00144A07" w:rsidTr="00A173A7">
        <w:tc>
          <w:tcPr>
            <w:tcW w:w="3262" w:type="dxa"/>
            <w:vAlign w:val="center"/>
          </w:tcPr>
          <w:p w:rsidR="00482241" w:rsidRPr="00144A07" w:rsidRDefault="00482241" w:rsidP="00245DBC">
            <w:pPr>
              <w:jc w:val="center"/>
              <w:rPr>
                <w:rFonts w:ascii="Verdana" w:hAnsi="Verdana"/>
                <w:sz w:val="18"/>
                <w:szCs w:val="24"/>
              </w:rPr>
            </w:pPr>
            <w:r w:rsidRPr="00144A07">
              <w:rPr>
                <w:rFonts w:ascii="Verdana" w:hAnsi="Verdana"/>
                <w:sz w:val="18"/>
                <w:szCs w:val="24"/>
              </w:rPr>
              <w:t>&lt;90%</w:t>
            </w:r>
          </w:p>
        </w:tc>
        <w:tc>
          <w:tcPr>
            <w:tcW w:w="3371" w:type="dxa"/>
            <w:vAlign w:val="center"/>
          </w:tcPr>
          <w:p w:rsidR="00482241" w:rsidRPr="00144A07" w:rsidRDefault="00482241" w:rsidP="00245DBC">
            <w:pPr>
              <w:jc w:val="center"/>
              <w:rPr>
                <w:rFonts w:ascii="Verdana" w:hAnsi="Verdana"/>
                <w:sz w:val="18"/>
                <w:szCs w:val="24"/>
              </w:rPr>
            </w:pPr>
            <w:r w:rsidRPr="00144A07">
              <w:rPr>
                <w:rFonts w:ascii="Verdana" w:hAnsi="Verdana"/>
                <w:sz w:val="18"/>
                <w:szCs w:val="24"/>
              </w:rPr>
              <w:t>54%</w:t>
            </w:r>
          </w:p>
        </w:tc>
        <w:tc>
          <w:tcPr>
            <w:tcW w:w="3371" w:type="dxa"/>
            <w:vAlign w:val="center"/>
          </w:tcPr>
          <w:p w:rsidR="00482241" w:rsidRPr="00144A07" w:rsidRDefault="00482241" w:rsidP="00245DBC">
            <w:pPr>
              <w:jc w:val="center"/>
              <w:rPr>
                <w:rFonts w:ascii="Verdana" w:hAnsi="Verdana"/>
                <w:sz w:val="18"/>
                <w:szCs w:val="24"/>
              </w:rPr>
            </w:pPr>
            <w:r w:rsidRPr="00144A07">
              <w:rPr>
                <w:rFonts w:ascii="Verdana" w:hAnsi="Verdana"/>
                <w:sz w:val="18"/>
                <w:szCs w:val="24"/>
              </w:rPr>
              <w:t>20</w:t>
            </w:r>
          </w:p>
        </w:tc>
      </w:tr>
      <w:tr w:rsidR="00482241" w:rsidRPr="00144A07" w:rsidTr="00A173A7">
        <w:tc>
          <w:tcPr>
            <w:tcW w:w="3262" w:type="dxa"/>
            <w:vAlign w:val="center"/>
          </w:tcPr>
          <w:p w:rsidR="00482241" w:rsidRPr="00144A07" w:rsidRDefault="00482241" w:rsidP="00245DBC">
            <w:pPr>
              <w:jc w:val="center"/>
              <w:rPr>
                <w:rFonts w:ascii="Verdana" w:hAnsi="Verdana"/>
                <w:sz w:val="18"/>
                <w:szCs w:val="24"/>
              </w:rPr>
            </w:pPr>
            <w:r w:rsidRPr="00144A07">
              <w:rPr>
                <w:rFonts w:ascii="Verdana" w:hAnsi="Verdana"/>
                <w:sz w:val="18"/>
                <w:szCs w:val="24"/>
              </w:rPr>
              <w:t>80% -89%</w:t>
            </w:r>
          </w:p>
        </w:tc>
        <w:tc>
          <w:tcPr>
            <w:tcW w:w="3371" w:type="dxa"/>
            <w:vAlign w:val="center"/>
          </w:tcPr>
          <w:p w:rsidR="00482241" w:rsidRPr="00144A07" w:rsidRDefault="00482241" w:rsidP="00245DBC">
            <w:pPr>
              <w:jc w:val="center"/>
              <w:rPr>
                <w:rFonts w:ascii="Verdana" w:hAnsi="Verdana"/>
                <w:sz w:val="18"/>
                <w:szCs w:val="24"/>
              </w:rPr>
            </w:pPr>
            <w:r w:rsidRPr="00144A07">
              <w:rPr>
                <w:rFonts w:ascii="Verdana" w:hAnsi="Verdana"/>
                <w:sz w:val="18"/>
                <w:szCs w:val="24"/>
              </w:rPr>
              <w:t>27%</w:t>
            </w:r>
          </w:p>
        </w:tc>
        <w:tc>
          <w:tcPr>
            <w:tcW w:w="3371" w:type="dxa"/>
            <w:vAlign w:val="center"/>
          </w:tcPr>
          <w:p w:rsidR="00482241" w:rsidRPr="00144A07" w:rsidRDefault="00482241" w:rsidP="00245DBC">
            <w:pPr>
              <w:jc w:val="center"/>
              <w:rPr>
                <w:rFonts w:ascii="Verdana" w:hAnsi="Verdana"/>
                <w:sz w:val="18"/>
                <w:szCs w:val="24"/>
              </w:rPr>
            </w:pPr>
            <w:r w:rsidRPr="00144A07">
              <w:rPr>
                <w:rFonts w:ascii="Verdana" w:hAnsi="Verdana"/>
                <w:sz w:val="18"/>
                <w:szCs w:val="24"/>
              </w:rPr>
              <w:t>10</w:t>
            </w:r>
          </w:p>
        </w:tc>
      </w:tr>
      <w:tr w:rsidR="00482241" w:rsidRPr="00144A07" w:rsidTr="00A173A7">
        <w:tc>
          <w:tcPr>
            <w:tcW w:w="3262" w:type="dxa"/>
            <w:vAlign w:val="center"/>
          </w:tcPr>
          <w:p w:rsidR="00482241" w:rsidRPr="00144A07" w:rsidRDefault="00482241" w:rsidP="00245DBC">
            <w:pPr>
              <w:jc w:val="center"/>
              <w:rPr>
                <w:rFonts w:ascii="Verdana" w:hAnsi="Verdana"/>
                <w:sz w:val="18"/>
                <w:szCs w:val="24"/>
              </w:rPr>
            </w:pPr>
            <w:r w:rsidRPr="00144A07">
              <w:rPr>
                <w:rFonts w:ascii="Verdana" w:hAnsi="Verdana"/>
                <w:sz w:val="18"/>
                <w:szCs w:val="24"/>
              </w:rPr>
              <w:t>71%-79%</w:t>
            </w:r>
          </w:p>
        </w:tc>
        <w:tc>
          <w:tcPr>
            <w:tcW w:w="3371" w:type="dxa"/>
            <w:vAlign w:val="center"/>
          </w:tcPr>
          <w:p w:rsidR="00482241" w:rsidRPr="00144A07" w:rsidRDefault="00482241" w:rsidP="00245DBC">
            <w:pPr>
              <w:jc w:val="center"/>
              <w:rPr>
                <w:rFonts w:ascii="Verdana" w:hAnsi="Verdana"/>
                <w:sz w:val="18"/>
                <w:szCs w:val="24"/>
              </w:rPr>
            </w:pPr>
            <w:r w:rsidRPr="00144A07">
              <w:rPr>
                <w:rFonts w:ascii="Verdana" w:hAnsi="Verdana"/>
                <w:sz w:val="18"/>
                <w:szCs w:val="24"/>
              </w:rPr>
              <w:t>5%</w:t>
            </w:r>
          </w:p>
        </w:tc>
        <w:tc>
          <w:tcPr>
            <w:tcW w:w="3371" w:type="dxa"/>
            <w:vAlign w:val="center"/>
          </w:tcPr>
          <w:p w:rsidR="00482241" w:rsidRPr="00144A07" w:rsidRDefault="00482241" w:rsidP="00245DBC">
            <w:pPr>
              <w:jc w:val="center"/>
              <w:rPr>
                <w:rFonts w:ascii="Verdana" w:hAnsi="Verdana"/>
                <w:sz w:val="18"/>
                <w:szCs w:val="24"/>
              </w:rPr>
            </w:pPr>
            <w:r w:rsidRPr="00144A07">
              <w:rPr>
                <w:rFonts w:ascii="Verdana" w:hAnsi="Verdana"/>
                <w:sz w:val="18"/>
                <w:szCs w:val="24"/>
              </w:rPr>
              <w:t>2</w:t>
            </w:r>
          </w:p>
        </w:tc>
      </w:tr>
      <w:tr w:rsidR="00482241" w:rsidRPr="00144A07" w:rsidTr="00A173A7">
        <w:tc>
          <w:tcPr>
            <w:tcW w:w="3262" w:type="dxa"/>
            <w:vAlign w:val="center"/>
          </w:tcPr>
          <w:p w:rsidR="00482241" w:rsidRPr="00144A07" w:rsidRDefault="00482241" w:rsidP="00245DBC">
            <w:pPr>
              <w:jc w:val="center"/>
              <w:rPr>
                <w:rFonts w:ascii="Verdana" w:hAnsi="Verdana"/>
                <w:sz w:val="18"/>
                <w:szCs w:val="24"/>
              </w:rPr>
            </w:pPr>
            <w:r w:rsidRPr="00144A07">
              <w:rPr>
                <w:rFonts w:ascii="Verdana" w:hAnsi="Verdana"/>
                <w:sz w:val="18"/>
                <w:szCs w:val="24"/>
              </w:rPr>
              <w:t>&gt;70%</w:t>
            </w:r>
          </w:p>
        </w:tc>
        <w:tc>
          <w:tcPr>
            <w:tcW w:w="3371" w:type="dxa"/>
            <w:vAlign w:val="center"/>
          </w:tcPr>
          <w:p w:rsidR="00482241" w:rsidRPr="00144A07" w:rsidRDefault="00482241" w:rsidP="00245DBC">
            <w:pPr>
              <w:jc w:val="center"/>
              <w:rPr>
                <w:rFonts w:ascii="Verdana" w:hAnsi="Verdana"/>
                <w:sz w:val="18"/>
                <w:szCs w:val="24"/>
              </w:rPr>
            </w:pPr>
            <w:r w:rsidRPr="00144A07">
              <w:rPr>
                <w:rFonts w:ascii="Verdana" w:hAnsi="Verdana"/>
                <w:sz w:val="18"/>
                <w:szCs w:val="24"/>
              </w:rPr>
              <w:t>14%</w:t>
            </w:r>
          </w:p>
        </w:tc>
        <w:tc>
          <w:tcPr>
            <w:tcW w:w="3371" w:type="dxa"/>
            <w:vAlign w:val="center"/>
          </w:tcPr>
          <w:p w:rsidR="00482241" w:rsidRPr="00144A07" w:rsidRDefault="00482241" w:rsidP="00245DBC">
            <w:pPr>
              <w:jc w:val="center"/>
              <w:rPr>
                <w:rFonts w:ascii="Verdana" w:hAnsi="Verdana"/>
                <w:sz w:val="18"/>
                <w:szCs w:val="24"/>
              </w:rPr>
            </w:pPr>
            <w:r w:rsidRPr="00144A07">
              <w:rPr>
                <w:rFonts w:ascii="Verdana" w:hAnsi="Verdana"/>
                <w:sz w:val="18"/>
                <w:szCs w:val="24"/>
              </w:rPr>
              <w:t>5</w:t>
            </w:r>
          </w:p>
        </w:tc>
      </w:tr>
    </w:tbl>
    <w:p w:rsidR="00482241" w:rsidRPr="00144A07" w:rsidRDefault="00482241" w:rsidP="00482241">
      <w:pPr>
        <w:spacing w:after="0" w:line="240" w:lineRule="auto"/>
        <w:jc w:val="both"/>
        <w:rPr>
          <w:rFonts w:ascii="Verdana" w:hAnsi="Verdana" w:cs="Tahoma"/>
          <w:sz w:val="24"/>
          <w:szCs w:val="24"/>
        </w:rPr>
      </w:pPr>
    </w:p>
    <w:p w:rsidR="00482241" w:rsidRDefault="00482241" w:rsidP="00482241">
      <w:pPr>
        <w:spacing w:after="0" w:line="240" w:lineRule="auto"/>
        <w:jc w:val="both"/>
        <w:rPr>
          <w:rFonts w:ascii="Verdana" w:hAnsi="Verdana" w:cs="Tahoma"/>
          <w:b/>
          <w:color w:val="4F81BD" w:themeColor="accent1"/>
          <w:sz w:val="24"/>
          <w:szCs w:val="24"/>
        </w:rPr>
      </w:pPr>
    </w:p>
    <w:p w:rsidR="00482241" w:rsidRPr="00A173A7" w:rsidRDefault="00482241" w:rsidP="00482241">
      <w:pPr>
        <w:spacing w:after="0" w:line="240" w:lineRule="auto"/>
        <w:jc w:val="both"/>
        <w:rPr>
          <w:rFonts w:ascii="Verdana" w:hAnsi="Verdana" w:cs="Tahoma"/>
          <w:b/>
          <w:color w:val="4F81BD" w:themeColor="accent1"/>
          <w:sz w:val="24"/>
          <w:szCs w:val="24"/>
        </w:rPr>
      </w:pPr>
      <w:r w:rsidRPr="00A173A7">
        <w:rPr>
          <w:rFonts w:ascii="Verdana" w:hAnsi="Verdana" w:cs="Tahoma"/>
          <w:b/>
          <w:color w:val="4F81BD" w:themeColor="accent1"/>
          <w:sz w:val="24"/>
          <w:szCs w:val="24"/>
        </w:rPr>
        <w:lastRenderedPageBreak/>
        <w:t>PLANES GENERALES DE COMPRAS</w:t>
      </w:r>
    </w:p>
    <w:p w:rsidR="00482241" w:rsidRPr="00144A07" w:rsidRDefault="00482241" w:rsidP="00482241">
      <w:pPr>
        <w:spacing w:after="0" w:line="240" w:lineRule="auto"/>
        <w:jc w:val="both"/>
        <w:rPr>
          <w:rFonts w:ascii="Verdana" w:hAnsi="Verdana" w:cs="Tahoma"/>
          <w:sz w:val="24"/>
          <w:szCs w:val="24"/>
        </w:rPr>
      </w:pPr>
    </w:p>
    <w:p w:rsidR="00482241" w:rsidRPr="00144A07" w:rsidRDefault="00482241" w:rsidP="00482241">
      <w:pPr>
        <w:spacing w:after="0" w:line="240" w:lineRule="auto"/>
        <w:jc w:val="both"/>
        <w:rPr>
          <w:rFonts w:ascii="Verdana" w:hAnsi="Verdana" w:cs="Tahoma"/>
          <w:sz w:val="24"/>
          <w:szCs w:val="24"/>
        </w:rPr>
      </w:pPr>
      <w:r w:rsidRPr="00144A07">
        <w:rPr>
          <w:rFonts w:ascii="Verdana" w:hAnsi="Verdana" w:cs="Tahoma"/>
          <w:sz w:val="24"/>
          <w:szCs w:val="24"/>
        </w:rPr>
        <w:t xml:space="preserve">La primera versión del Plan Anual de Adquisiciones de la Unidad para la vigencia 2014, fue publicada en el SECOP el 31 de enero de 2014 y en el transcurso del año fueron publicadas 11 versiones más, que fueron publicadas simultáneamente en la página WEB de la Unidad </w:t>
      </w:r>
      <w:hyperlink r:id="rId52" w:history="1">
        <w:r w:rsidRPr="00144A07">
          <w:rPr>
            <w:rFonts w:ascii="Verdana" w:hAnsi="Verdana" w:cs="Tahoma"/>
            <w:sz w:val="24"/>
            <w:szCs w:val="24"/>
          </w:rPr>
          <w:t>http://www.unidadvictimas.gov.co</w:t>
        </w:r>
      </w:hyperlink>
      <w:r w:rsidRPr="00144A07">
        <w:rPr>
          <w:rFonts w:ascii="Verdana" w:hAnsi="Verdana" w:cs="Tahoma"/>
          <w:sz w:val="24"/>
          <w:szCs w:val="24"/>
        </w:rPr>
        <w:t>.</w:t>
      </w:r>
    </w:p>
    <w:p w:rsidR="00482241" w:rsidRPr="00144A07" w:rsidRDefault="00482241" w:rsidP="00482241">
      <w:pPr>
        <w:pStyle w:val="Prrafodelista"/>
        <w:spacing w:after="0" w:line="240" w:lineRule="auto"/>
        <w:ind w:left="0"/>
        <w:jc w:val="both"/>
        <w:rPr>
          <w:rFonts w:ascii="Verdana" w:hAnsi="Verdana" w:cs="Tahoma"/>
          <w:sz w:val="24"/>
          <w:szCs w:val="24"/>
        </w:rPr>
      </w:pPr>
    </w:p>
    <w:p w:rsidR="00482241" w:rsidRPr="00144A07" w:rsidRDefault="00482241" w:rsidP="00482241">
      <w:pPr>
        <w:spacing w:after="0" w:line="240" w:lineRule="auto"/>
        <w:jc w:val="both"/>
        <w:rPr>
          <w:rFonts w:ascii="Verdana" w:hAnsi="Verdana" w:cs="Tahoma"/>
          <w:sz w:val="24"/>
          <w:szCs w:val="24"/>
        </w:rPr>
      </w:pPr>
      <w:r w:rsidRPr="00144A07">
        <w:rPr>
          <w:rFonts w:ascii="Verdana" w:hAnsi="Verdana" w:cs="Tahoma"/>
          <w:sz w:val="24"/>
          <w:szCs w:val="24"/>
        </w:rPr>
        <w:t>La actualización se realiza durante la última semana de cada mes, previa aprobación del Ordenador del Gasto en atención a las solicitudes de las dependencias cuando se vieran afectados los cronogramas de contratación, valor estimado, modalidad de selección, adición o exclusión de procesos de selección de bienes y/o servicios.</w:t>
      </w:r>
    </w:p>
    <w:p w:rsidR="00482241" w:rsidRPr="00144A07" w:rsidRDefault="00482241" w:rsidP="00482241">
      <w:pPr>
        <w:spacing w:after="0" w:line="240" w:lineRule="auto"/>
        <w:jc w:val="both"/>
        <w:rPr>
          <w:rFonts w:ascii="Verdana" w:hAnsi="Verdana" w:cs="Tahoma"/>
          <w:sz w:val="24"/>
          <w:szCs w:val="24"/>
        </w:rPr>
      </w:pPr>
    </w:p>
    <w:p w:rsidR="00482241" w:rsidRPr="00144A07" w:rsidRDefault="00482241" w:rsidP="00482241">
      <w:pPr>
        <w:spacing w:after="0" w:line="240" w:lineRule="auto"/>
        <w:jc w:val="both"/>
        <w:rPr>
          <w:rFonts w:ascii="Verdana" w:hAnsi="Verdana" w:cs="Tahoma"/>
          <w:sz w:val="24"/>
          <w:szCs w:val="24"/>
        </w:rPr>
      </w:pPr>
      <w:r w:rsidRPr="00144A07">
        <w:rPr>
          <w:rFonts w:ascii="Verdana" w:hAnsi="Verdana" w:cs="Tahoma"/>
          <w:sz w:val="24"/>
          <w:szCs w:val="24"/>
        </w:rPr>
        <w:t>Los lineamientos para las modificaciones del plan, se fijaron mediante Circular Interna No 008 de 2013.</w:t>
      </w:r>
    </w:p>
    <w:p w:rsidR="00482241" w:rsidRPr="00144A07" w:rsidRDefault="00482241" w:rsidP="00482241">
      <w:pPr>
        <w:pStyle w:val="Prrafodelista"/>
        <w:spacing w:after="0" w:line="240" w:lineRule="auto"/>
        <w:ind w:left="0"/>
        <w:jc w:val="both"/>
        <w:rPr>
          <w:rFonts w:ascii="Verdana" w:hAnsi="Verdana" w:cs="Tahoma"/>
          <w:sz w:val="24"/>
          <w:szCs w:val="24"/>
        </w:rPr>
      </w:pPr>
    </w:p>
    <w:p w:rsidR="00482241" w:rsidRPr="00144A07" w:rsidRDefault="00482241" w:rsidP="00482241">
      <w:pPr>
        <w:spacing w:after="0" w:line="240" w:lineRule="auto"/>
        <w:jc w:val="both"/>
        <w:rPr>
          <w:rFonts w:ascii="Verdana" w:hAnsi="Verdana"/>
          <w:sz w:val="24"/>
          <w:szCs w:val="24"/>
        </w:rPr>
      </w:pPr>
      <w:r w:rsidRPr="00A173A7">
        <w:rPr>
          <w:rFonts w:ascii="Verdana" w:hAnsi="Verdana"/>
          <w:sz w:val="24"/>
          <w:szCs w:val="24"/>
        </w:rPr>
        <w:t>En el mes de enero fueron programadas en el plan anual de adquisiciones  356 actividades por valor de $1.367 billones de pesos. El último plan, el cual se publicó el 12 de noviembre de 2014, contó con 371 actividades por valor de $916  billones.</w:t>
      </w:r>
      <w:r w:rsidRPr="00144A07">
        <w:rPr>
          <w:rFonts w:ascii="Verdana" w:hAnsi="Verdana"/>
          <w:sz w:val="24"/>
          <w:szCs w:val="24"/>
        </w:rPr>
        <w:t xml:space="preserve"> </w:t>
      </w:r>
    </w:p>
    <w:p w:rsidR="00482241" w:rsidRPr="00144A07" w:rsidRDefault="00482241" w:rsidP="00482241">
      <w:pPr>
        <w:pStyle w:val="Prrafodelista"/>
        <w:spacing w:after="0" w:line="240" w:lineRule="auto"/>
        <w:ind w:left="0"/>
        <w:jc w:val="both"/>
        <w:rPr>
          <w:rFonts w:ascii="Verdana" w:hAnsi="Verdana" w:cs="Tahoma"/>
          <w:sz w:val="24"/>
          <w:szCs w:val="24"/>
        </w:rPr>
      </w:pPr>
    </w:p>
    <w:p w:rsidR="00482241" w:rsidRDefault="00482241" w:rsidP="00482241">
      <w:pPr>
        <w:spacing w:after="0" w:line="240" w:lineRule="auto"/>
        <w:jc w:val="both"/>
        <w:rPr>
          <w:rFonts w:ascii="Verdana" w:hAnsi="Verdana" w:cs="Tahoma"/>
          <w:sz w:val="24"/>
          <w:szCs w:val="24"/>
        </w:rPr>
      </w:pPr>
      <w:r w:rsidRPr="00144A07">
        <w:rPr>
          <w:rFonts w:ascii="Verdana" w:hAnsi="Verdana" w:cs="Tahoma"/>
          <w:sz w:val="24"/>
          <w:szCs w:val="24"/>
        </w:rPr>
        <w:t>El grupo de Gestión Financiera y el Grupo de Gestión Contractual, adelantan una labor de revisión y verificación de documentos, junto con la validación de las solicitudes de CDP y las solicitudes de contratación, con el fin de verificar que las adquisiciones de bienes y servicios estén previamente incluidas en el Plan de Adquisiciones antes de publicar el proceso de selección, en cumplimiento del Plan de Mejoramiento.</w:t>
      </w:r>
    </w:p>
    <w:p w:rsidR="00482241" w:rsidRDefault="00482241" w:rsidP="00482241">
      <w:pPr>
        <w:spacing w:after="0" w:line="240" w:lineRule="auto"/>
        <w:jc w:val="both"/>
        <w:rPr>
          <w:rFonts w:ascii="Verdana" w:hAnsi="Verdana" w:cs="Tahoma"/>
          <w:sz w:val="24"/>
          <w:szCs w:val="24"/>
        </w:rPr>
      </w:pPr>
    </w:p>
    <w:p w:rsidR="00482241" w:rsidRPr="00144A07" w:rsidRDefault="00482241" w:rsidP="00482241">
      <w:pPr>
        <w:pStyle w:val="Prrafodelista"/>
        <w:spacing w:after="0" w:line="240" w:lineRule="auto"/>
        <w:ind w:left="0"/>
        <w:jc w:val="both"/>
        <w:rPr>
          <w:rFonts w:ascii="Verdana" w:hAnsi="Verdana" w:cs="Tahoma"/>
          <w:sz w:val="24"/>
          <w:szCs w:val="24"/>
        </w:rPr>
      </w:pP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tblPr>
      <w:tblGrid>
        <w:gridCol w:w="2235"/>
        <w:gridCol w:w="2872"/>
        <w:gridCol w:w="2514"/>
        <w:gridCol w:w="2240"/>
      </w:tblGrid>
      <w:tr w:rsidR="00482241" w:rsidRPr="00144A07" w:rsidTr="00A173A7">
        <w:trPr>
          <w:trHeight w:val="595"/>
        </w:trPr>
        <w:tc>
          <w:tcPr>
            <w:tcW w:w="2235" w:type="dxa"/>
            <w:vAlign w:val="center"/>
            <w:hideMark/>
          </w:tcPr>
          <w:p w:rsidR="00482241" w:rsidRPr="00144A07" w:rsidRDefault="00482241" w:rsidP="00245DBC">
            <w:pPr>
              <w:pStyle w:val="Prrafodelista"/>
              <w:ind w:left="0"/>
              <w:rPr>
                <w:rFonts w:ascii="Verdana" w:hAnsi="Verdana" w:cs="Tahoma"/>
                <w:sz w:val="20"/>
                <w:szCs w:val="24"/>
              </w:rPr>
            </w:pPr>
            <w:r w:rsidRPr="00144A07">
              <w:rPr>
                <w:rFonts w:ascii="Verdana" w:hAnsi="Verdana" w:cs="Tahoma"/>
                <w:sz w:val="20"/>
                <w:szCs w:val="24"/>
              </w:rPr>
              <w:t>No de Activ. Programadas Enero</w:t>
            </w:r>
          </w:p>
        </w:tc>
        <w:tc>
          <w:tcPr>
            <w:tcW w:w="2872" w:type="dxa"/>
            <w:vAlign w:val="center"/>
            <w:hideMark/>
          </w:tcPr>
          <w:p w:rsidR="00482241" w:rsidRPr="00144A07" w:rsidRDefault="00482241" w:rsidP="00245DBC">
            <w:pPr>
              <w:pStyle w:val="Prrafodelista"/>
              <w:ind w:left="0"/>
              <w:rPr>
                <w:rFonts w:ascii="Verdana" w:hAnsi="Verdana" w:cs="Tahoma"/>
                <w:sz w:val="20"/>
                <w:szCs w:val="24"/>
              </w:rPr>
            </w:pPr>
            <w:r w:rsidRPr="00144A07">
              <w:rPr>
                <w:rFonts w:ascii="Verdana" w:hAnsi="Verdana" w:cs="Tahoma"/>
                <w:sz w:val="20"/>
                <w:szCs w:val="24"/>
              </w:rPr>
              <w:t>Valor</w:t>
            </w:r>
          </w:p>
        </w:tc>
        <w:tc>
          <w:tcPr>
            <w:tcW w:w="2514" w:type="dxa"/>
            <w:vAlign w:val="center"/>
            <w:hideMark/>
          </w:tcPr>
          <w:p w:rsidR="00482241" w:rsidRPr="00144A07" w:rsidRDefault="00482241" w:rsidP="00245DBC">
            <w:pPr>
              <w:pStyle w:val="Prrafodelista"/>
              <w:ind w:left="0"/>
              <w:rPr>
                <w:rFonts w:ascii="Verdana" w:hAnsi="Verdana" w:cs="Tahoma"/>
                <w:sz w:val="20"/>
                <w:szCs w:val="24"/>
              </w:rPr>
            </w:pPr>
            <w:r w:rsidRPr="00144A07">
              <w:rPr>
                <w:rFonts w:ascii="Verdana" w:hAnsi="Verdana" w:cs="Tahoma"/>
                <w:sz w:val="20"/>
                <w:szCs w:val="24"/>
              </w:rPr>
              <w:t>No de Activ. Programadas Nov.</w:t>
            </w:r>
          </w:p>
        </w:tc>
        <w:tc>
          <w:tcPr>
            <w:tcW w:w="2240" w:type="dxa"/>
            <w:vAlign w:val="center"/>
            <w:hideMark/>
          </w:tcPr>
          <w:p w:rsidR="00482241" w:rsidRPr="00144A07" w:rsidRDefault="00482241" w:rsidP="00245DBC">
            <w:pPr>
              <w:pStyle w:val="Prrafodelista"/>
              <w:ind w:left="0"/>
              <w:rPr>
                <w:rFonts w:ascii="Verdana" w:hAnsi="Verdana" w:cs="Tahoma"/>
                <w:sz w:val="20"/>
                <w:szCs w:val="24"/>
              </w:rPr>
            </w:pPr>
            <w:r w:rsidRPr="00144A07">
              <w:rPr>
                <w:rFonts w:ascii="Verdana" w:hAnsi="Verdana" w:cs="Tahoma"/>
                <w:sz w:val="20"/>
                <w:szCs w:val="24"/>
              </w:rPr>
              <w:t>Valor</w:t>
            </w:r>
          </w:p>
          <w:p w:rsidR="00482241" w:rsidRPr="00144A07" w:rsidRDefault="00482241" w:rsidP="00245DBC">
            <w:pPr>
              <w:pStyle w:val="Prrafodelista"/>
              <w:ind w:left="0"/>
              <w:rPr>
                <w:rFonts w:ascii="Verdana" w:hAnsi="Verdana" w:cs="Tahoma"/>
                <w:sz w:val="20"/>
                <w:szCs w:val="24"/>
              </w:rPr>
            </w:pPr>
          </w:p>
        </w:tc>
      </w:tr>
      <w:tr w:rsidR="00482241" w:rsidRPr="00144A07" w:rsidTr="00A173A7">
        <w:trPr>
          <w:trHeight w:val="595"/>
        </w:trPr>
        <w:tc>
          <w:tcPr>
            <w:tcW w:w="2235" w:type="dxa"/>
            <w:vAlign w:val="center"/>
            <w:hideMark/>
          </w:tcPr>
          <w:p w:rsidR="00482241" w:rsidRPr="00144A07" w:rsidRDefault="00482241" w:rsidP="00245DBC">
            <w:pPr>
              <w:pStyle w:val="Prrafodelista"/>
              <w:ind w:left="0"/>
              <w:rPr>
                <w:rFonts w:ascii="Verdana" w:hAnsi="Verdana" w:cs="Tahoma"/>
                <w:sz w:val="20"/>
                <w:szCs w:val="24"/>
              </w:rPr>
            </w:pPr>
            <w:r w:rsidRPr="00144A07">
              <w:rPr>
                <w:rFonts w:ascii="Verdana" w:hAnsi="Verdana" w:cs="Tahoma"/>
                <w:sz w:val="20"/>
                <w:szCs w:val="24"/>
              </w:rPr>
              <w:t>356</w:t>
            </w:r>
          </w:p>
        </w:tc>
        <w:tc>
          <w:tcPr>
            <w:tcW w:w="2872" w:type="dxa"/>
            <w:vAlign w:val="center"/>
            <w:hideMark/>
          </w:tcPr>
          <w:p w:rsidR="00482241" w:rsidRPr="00144A07" w:rsidRDefault="00482241" w:rsidP="00245DBC">
            <w:pPr>
              <w:pStyle w:val="Prrafodelista"/>
              <w:ind w:left="0"/>
              <w:rPr>
                <w:rFonts w:ascii="Verdana" w:hAnsi="Verdana" w:cs="Tahoma"/>
                <w:sz w:val="20"/>
                <w:szCs w:val="24"/>
              </w:rPr>
            </w:pPr>
            <w:r w:rsidRPr="00144A07">
              <w:rPr>
                <w:rFonts w:ascii="Verdana" w:hAnsi="Verdana" w:cs="Tahoma"/>
                <w:sz w:val="20"/>
                <w:szCs w:val="24"/>
              </w:rPr>
              <w:t>$1.367.082.137.400</w:t>
            </w:r>
          </w:p>
        </w:tc>
        <w:tc>
          <w:tcPr>
            <w:tcW w:w="2514" w:type="dxa"/>
            <w:vAlign w:val="center"/>
            <w:hideMark/>
          </w:tcPr>
          <w:p w:rsidR="00482241" w:rsidRPr="00144A07" w:rsidRDefault="00482241" w:rsidP="00245DBC">
            <w:pPr>
              <w:pStyle w:val="Prrafodelista"/>
              <w:ind w:left="0"/>
              <w:rPr>
                <w:rFonts w:ascii="Verdana" w:hAnsi="Verdana" w:cs="Tahoma"/>
                <w:sz w:val="20"/>
                <w:szCs w:val="24"/>
              </w:rPr>
            </w:pPr>
            <w:r w:rsidRPr="00144A07">
              <w:rPr>
                <w:rFonts w:ascii="Verdana" w:hAnsi="Verdana" w:cs="Tahoma"/>
                <w:sz w:val="20"/>
                <w:szCs w:val="24"/>
              </w:rPr>
              <w:t>371</w:t>
            </w:r>
          </w:p>
        </w:tc>
        <w:tc>
          <w:tcPr>
            <w:tcW w:w="2240" w:type="dxa"/>
            <w:vAlign w:val="center"/>
            <w:hideMark/>
          </w:tcPr>
          <w:p w:rsidR="00482241" w:rsidRPr="00144A07" w:rsidRDefault="00482241" w:rsidP="00245DBC">
            <w:pPr>
              <w:rPr>
                <w:rFonts w:ascii="Verdana" w:hAnsi="Verdana" w:cs="Tahoma"/>
                <w:sz w:val="20"/>
                <w:szCs w:val="24"/>
              </w:rPr>
            </w:pPr>
            <w:r w:rsidRPr="00144A07">
              <w:rPr>
                <w:rFonts w:ascii="Verdana" w:hAnsi="Verdana" w:cs="Tahoma"/>
                <w:sz w:val="20"/>
                <w:szCs w:val="24"/>
              </w:rPr>
              <w:t>$915.726.376.601</w:t>
            </w:r>
          </w:p>
        </w:tc>
      </w:tr>
    </w:tbl>
    <w:p w:rsidR="00482241" w:rsidRPr="00144A07" w:rsidRDefault="00482241" w:rsidP="00482241">
      <w:pPr>
        <w:spacing w:after="0" w:line="240" w:lineRule="auto"/>
        <w:contextualSpacing/>
        <w:jc w:val="center"/>
        <w:rPr>
          <w:rFonts w:ascii="Verdana" w:hAnsi="Verdana" w:cs="Tahoma"/>
          <w:b/>
          <w:color w:val="4F81BD" w:themeColor="accent1"/>
          <w:sz w:val="24"/>
          <w:szCs w:val="24"/>
        </w:rPr>
      </w:pPr>
    </w:p>
    <w:p w:rsidR="00482241" w:rsidRPr="00144A07" w:rsidRDefault="00482241" w:rsidP="00482241">
      <w:pPr>
        <w:spacing w:after="0" w:line="240" w:lineRule="auto"/>
        <w:contextualSpacing/>
        <w:jc w:val="both"/>
        <w:rPr>
          <w:rFonts w:ascii="Verdana" w:hAnsi="Verdana" w:cs="Tahoma"/>
          <w:b/>
          <w:color w:val="4F81BD" w:themeColor="accent1"/>
          <w:sz w:val="24"/>
          <w:szCs w:val="24"/>
        </w:rPr>
      </w:pPr>
    </w:p>
    <w:p w:rsidR="00482241" w:rsidRPr="00A173A7" w:rsidRDefault="00A173A7" w:rsidP="00A173A7">
      <w:pPr>
        <w:pStyle w:val="Prrafodelista"/>
        <w:spacing w:after="0" w:line="240" w:lineRule="auto"/>
        <w:ind w:left="0"/>
        <w:jc w:val="both"/>
        <w:rPr>
          <w:rFonts w:ascii="Verdana" w:hAnsi="Verdana" w:cs="Tahoma"/>
          <w:b/>
          <w:color w:val="4F81BD" w:themeColor="accent1"/>
          <w:sz w:val="28"/>
          <w:szCs w:val="24"/>
        </w:rPr>
      </w:pPr>
      <w:r w:rsidRPr="00FB4B77">
        <w:rPr>
          <w:rFonts w:ascii="Verdana" w:hAnsi="Verdana" w:cs="Tahoma"/>
          <w:b/>
          <w:noProof/>
          <w:color w:val="548DD4" w:themeColor="text2" w:themeTint="99"/>
          <w:sz w:val="32"/>
          <w:szCs w:val="24"/>
          <w:lang w:eastAsia="es-CO"/>
        </w:rPr>
        <w:drawing>
          <wp:inline distT="0" distB="0" distL="0" distR="0">
            <wp:extent cx="216024" cy="216024"/>
            <wp:effectExtent l="19050" t="0" r="0" b="0"/>
            <wp:docPr id="477"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6516216" y="2996952"/>
                      <a:chExt cx="216024" cy="216024"/>
                    </a:xfrm>
                  </a:grpSpPr>
                  <a:sp>
                    <a:nvSpPr>
                      <a:cNvPr id="38" name="37 Rectángulo redondeado"/>
                      <a:cNvSpPr/>
                    </a:nvSpPr>
                    <a:spPr>
                      <a:xfrm>
                        <a:off x="6516216" y="2996952"/>
                        <a:ext cx="216024" cy="216024"/>
                      </a:xfrm>
                      <a:prstGeom prst="roundRect">
                        <a:avLst/>
                      </a:prstGeom>
                      <a:gradFill flip="none" rotWithShape="1">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hAnsi="Verdana" w:cs="Tahoma"/>
          <w:b/>
          <w:color w:val="548DD4" w:themeColor="text2" w:themeTint="99"/>
          <w:sz w:val="32"/>
          <w:szCs w:val="24"/>
        </w:rPr>
        <w:t xml:space="preserve">   </w:t>
      </w:r>
      <w:r w:rsidR="00482241" w:rsidRPr="00A173A7">
        <w:rPr>
          <w:rFonts w:ascii="Verdana" w:hAnsi="Verdana" w:cs="Tahoma"/>
          <w:b/>
          <w:color w:val="548DD4" w:themeColor="text2" w:themeTint="99"/>
          <w:sz w:val="28"/>
          <w:szCs w:val="24"/>
        </w:rPr>
        <w:t>GESTIÓN MISIONAL</w:t>
      </w:r>
    </w:p>
    <w:p w:rsidR="00482241" w:rsidRPr="00144A07" w:rsidRDefault="00482241" w:rsidP="00482241">
      <w:pPr>
        <w:spacing w:after="0" w:line="240" w:lineRule="auto"/>
        <w:contextualSpacing/>
        <w:jc w:val="both"/>
        <w:rPr>
          <w:rFonts w:ascii="Verdana" w:hAnsi="Verdana" w:cs="Tahoma"/>
          <w:sz w:val="24"/>
          <w:szCs w:val="24"/>
        </w:rPr>
      </w:pPr>
    </w:p>
    <w:p w:rsidR="00482241" w:rsidRPr="00144A07" w:rsidRDefault="00482241" w:rsidP="00482241">
      <w:pPr>
        <w:pStyle w:val="Encabezado"/>
        <w:jc w:val="both"/>
        <w:rPr>
          <w:rFonts w:ascii="Verdana" w:hAnsi="Verdana" w:cs="Tahoma"/>
          <w:sz w:val="24"/>
          <w:szCs w:val="24"/>
        </w:rPr>
      </w:pPr>
      <w:r w:rsidRPr="00144A07">
        <w:rPr>
          <w:rFonts w:ascii="Verdana" w:hAnsi="Verdana" w:cs="Tahoma"/>
          <w:sz w:val="24"/>
          <w:szCs w:val="24"/>
        </w:rPr>
        <w:lastRenderedPageBreak/>
        <w:t>Las dependencias que hacen parte de la gestión misional de la entidad son aquellas que añaden valor a la víctima o inciden directamente en su satisfacción o insatisfacción. Componen la cadena del valor de la entidad, por lo tanto inciden en el cumplimiento de la misión de la entidad.</w:t>
      </w:r>
    </w:p>
    <w:p w:rsidR="00482241" w:rsidRPr="00144A07" w:rsidRDefault="00482241" w:rsidP="00482241">
      <w:pPr>
        <w:spacing w:after="0" w:line="240" w:lineRule="auto"/>
        <w:contextualSpacing/>
        <w:jc w:val="both"/>
        <w:rPr>
          <w:rFonts w:ascii="Verdana" w:hAnsi="Verdana" w:cs="Tahoma"/>
          <w:sz w:val="24"/>
          <w:szCs w:val="24"/>
          <w:lang w:val="es-MX"/>
        </w:rPr>
      </w:pPr>
    </w:p>
    <w:p w:rsidR="00482241" w:rsidRPr="00C42779" w:rsidRDefault="00482241" w:rsidP="00482241">
      <w:pPr>
        <w:spacing w:after="0" w:line="240" w:lineRule="auto"/>
        <w:contextualSpacing/>
        <w:jc w:val="both"/>
        <w:rPr>
          <w:rFonts w:ascii="Verdana" w:hAnsi="Verdana" w:cs="Tahoma"/>
          <w:b/>
          <w:color w:val="548DD4" w:themeColor="text2" w:themeTint="99"/>
          <w:sz w:val="24"/>
          <w:szCs w:val="24"/>
        </w:rPr>
      </w:pPr>
      <w:r w:rsidRPr="00C42779">
        <w:rPr>
          <w:rFonts w:ascii="Verdana" w:hAnsi="Verdana" w:cs="Tahoma"/>
          <w:b/>
          <w:color w:val="548DD4" w:themeColor="text2" w:themeTint="99"/>
          <w:sz w:val="24"/>
          <w:szCs w:val="24"/>
        </w:rPr>
        <w:t>Dirección de Registro y Gestión de la Información</w:t>
      </w:r>
    </w:p>
    <w:p w:rsidR="00482241" w:rsidRPr="00C42779" w:rsidRDefault="00482241" w:rsidP="00482241">
      <w:pPr>
        <w:spacing w:after="0" w:line="240" w:lineRule="auto"/>
        <w:jc w:val="both"/>
        <w:rPr>
          <w:rFonts w:ascii="Verdana" w:hAnsi="Verdana" w:cs="Tahoma"/>
          <w:b/>
          <w:color w:val="548DD4" w:themeColor="text2" w:themeTint="99"/>
          <w:sz w:val="24"/>
          <w:szCs w:val="24"/>
        </w:rPr>
      </w:pPr>
    </w:p>
    <w:p w:rsidR="00482241" w:rsidRDefault="00482241" w:rsidP="00482241">
      <w:pPr>
        <w:spacing w:after="0" w:line="240" w:lineRule="auto"/>
        <w:jc w:val="both"/>
        <w:rPr>
          <w:rFonts w:ascii="Verdana" w:hAnsi="Verdana" w:cs="Tahoma"/>
          <w:b/>
          <w:color w:val="548DD4" w:themeColor="text2" w:themeTint="99"/>
          <w:sz w:val="24"/>
          <w:szCs w:val="24"/>
        </w:rPr>
      </w:pPr>
      <w:r w:rsidRPr="00C42779">
        <w:rPr>
          <w:rFonts w:ascii="Verdana" w:hAnsi="Verdana" w:cs="Tahoma"/>
          <w:b/>
          <w:color w:val="548DD4" w:themeColor="text2" w:themeTint="99"/>
          <w:sz w:val="24"/>
          <w:szCs w:val="24"/>
        </w:rPr>
        <w:t>Logros 2014</w:t>
      </w:r>
    </w:p>
    <w:p w:rsidR="00A173A7" w:rsidRPr="00C42779" w:rsidRDefault="00A173A7" w:rsidP="00482241">
      <w:pPr>
        <w:spacing w:after="0" w:line="240" w:lineRule="auto"/>
        <w:jc w:val="both"/>
        <w:rPr>
          <w:rFonts w:ascii="Verdana" w:hAnsi="Verdana" w:cs="Tahoma"/>
          <w:b/>
          <w:color w:val="548DD4" w:themeColor="text2" w:themeTint="99"/>
          <w:sz w:val="24"/>
          <w:szCs w:val="24"/>
        </w:rPr>
      </w:pPr>
    </w:p>
    <w:p w:rsidR="00482241" w:rsidRPr="00A173A7" w:rsidRDefault="00482241" w:rsidP="00905C49">
      <w:pPr>
        <w:pStyle w:val="Prrafodelista"/>
        <w:numPr>
          <w:ilvl w:val="0"/>
          <w:numId w:val="72"/>
        </w:numPr>
        <w:spacing w:after="0" w:line="240" w:lineRule="auto"/>
        <w:ind w:left="709" w:hanging="283"/>
        <w:jc w:val="both"/>
        <w:rPr>
          <w:rFonts w:ascii="Verdana" w:hAnsi="Verdana" w:cs="Tahoma"/>
          <w:i/>
          <w:sz w:val="24"/>
          <w:szCs w:val="24"/>
        </w:rPr>
      </w:pPr>
      <w:r w:rsidRPr="00A173A7">
        <w:rPr>
          <w:rFonts w:ascii="Verdana" w:hAnsi="Verdana" w:cs="Tahoma"/>
          <w:i/>
          <w:sz w:val="24"/>
          <w:szCs w:val="24"/>
        </w:rPr>
        <w:t>Se definió e implemento la estrategia para la toma de declaración en línea en las oficinas del Ministerio Público y consulados, la cual consiste en adaptar los procedimientos de registro, haciendo uso de las herramientas tecnológicas, de manera que éstas proporcionen la información y facilidad suficiente para el ejercicio de la toma de la declaración, garantizando la correcta transacción de datos. Con corte a diciembre 31 de 2014, se ha recibido un total de 118.420 solicitudes de inscripción en el RUV, las cuales representan el 13.6% del total de declaraciones recibidas en el marco de la Ley 1448 de 2011.</w:t>
      </w:r>
    </w:p>
    <w:p w:rsidR="00482241" w:rsidRPr="00A173A7" w:rsidRDefault="00482241" w:rsidP="00A173A7">
      <w:pPr>
        <w:pStyle w:val="Prrafodelista"/>
        <w:spacing w:after="0" w:line="240" w:lineRule="auto"/>
        <w:ind w:left="709" w:hanging="283"/>
        <w:jc w:val="both"/>
        <w:rPr>
          <w:rFonts w:ascii="Verdana" w:hAnsi="Verdana" w:cs="Tahoma"/>
          <w:i/>
          <w:sz w:val="12"/>
          <w:szCs w:val="24"/>
        </w:rPr>
      </w:pPr>
    </w:p>
    <w:p w:rsidR="00482241" w:rsidRPr="00A173A7" w:rsidRDefault="00482241" w:rsidP="00905C49">
      <w:pPr>
        <w:pStyle w:val="Prrafodelista"/>
        <w:numPr>
          <w:ilvl w:val="0"/>
          <w:numId w:val="72"/>
        </w:numPr>
        <w:spacing w:after="0" w:line="240" w:lineRule="auto"/>
        <w:ind w:left="709" w:hanging="283"/>
        <w:jc w:val="both"/>
        <w:rPr>
          <w:rFonts w:ascii="Verdana" w:hAnsi="Verdana" w:cs="Tahoma"/>
          <w:i/>
          <w:sz w:val="24"/>
          <w:szCs w:val="24"/>
        </w:rPr>
      </w:pPr>
      <w:r w:rsidRPr="00A173A7">
        <w:rPr>
          <w:rFonts w:ascii="Verdana" w:hAnsi="Verdana" w:cs="Tahoma"/>
          <w:i/>
          <w:sz w:val="24"/>
          <w:szCs w:val="24"/>
        </w:rPr>
        <w:t xml:space="preserve">De las solicitudes valoradas hasta el cierre del 2014 bajo las diferentes normas, se han reconocido 2.639.073 víctimas del conflicto armado interno. </w:t>
      </w:r>
    </w:p>
    <w:p w:rsidR="00482241" w:rsidRPr="00A173A7" w:rsidRDefault="00482241" w:rsidP="00A173A7">
      <w:pPr>
        <w:pStyle w:val="Prrafodelista"/>
        <w:spacing w:after="0" w:line="240" w:lineRule="auto"/>
        <w:ind w:left="709" w:hanging="283"/>
        <w:jc w:val="both"/>
        <w:rPr>
          <w:rFonts w:ascii="Verdana" w:hAnsi="Verdana" w:cs="Tahoma"/>
          <w:i/>
          <w:sz w:val="12"/>
          <w:szCs w:val="24"/>
        </w:rPr>
      </w:pPr>
    </w:p>
    <w:p w:rsidR="00482241" w:rsidRPr="00A173A7" w:rsidRDefault="00482241" w:rsidP="00905C49">
      <w:pPr>
        <w:pStyle w:val="Prrafodelista"/>
        <w:numPr>
          <w:ilvl w:val="0"/>
          <w:numId w:val="72"/>
        </w:numPr>
        <w:spacing w:after="0" w:line="240" w:lineRule="auto"/>
        <w:ind w:left="709" w:hanging="283"/>
        <w:jc w:val="both"/>
        <w:rPr>
          <w:rFonts w:ascii="Verdana" w:hAnsi="Verdana" w:cs="Tahoma"/>
          <w:i/>
          <w:sz w:val="24"/>
          <w:szCs w:val="24"/>
        </w:rPr>
      </w:pPr>
      <w:r w:rsidRPr="00A173A7">
        <w:rPr>
          <w:rFonts w:ascii="Verdana" w:hAnsi="Verdana" w:cs="Tahoma"/>
          <w:i/>
          <w:sz w:val="24"/>
          <w:szCs w:val="24"/>
        </w:rPr>
        <w:t>Se aplicó un total de 524.351 novedades sobre el RUV. Sobre el total, el 51,3% corresponden a la actualización de datos de identificación y contacto, el 39,4% a inclusión de menores de edad, el 6% a división y reunificación de grupos familiares y el 2,8% a cambio de jefe de hogar, solicitudes de inclusión de mayores de edad y cambio o asignación de tutor</w:t>
      </w:r>
    </w:p>
    <w:p w:rsidR="00482241" w:rsidRPr="00A173A7" w:rsidRDefault="00482241" w:rsidP="00A173A7">
      <w:pPr>
        <w:pStyle w:val="Prrafodelista"/>
        <w:spacing w:after="0" w:line="240" w:lineRule="auto"/>
        <w:ind w:left="709" w:hanging="283"/>
        <w:jc w:val="both"/>
        <w:rPr>
          <w:rFonts w:ascii="Verdana" w:hAnsi="Verdana" w:cs="Tahoma"/>
          <w:i/>
          <w:sz w:val="24"/>
          <w:szCs w:val="24"/>
        </w:rPr>
      </w:pPr>
    </w:p>
    <w:p w:rsidR="00482241" w:rsidRPr="00A173A7" w:rsidRDefault="00482241" w:rsidP="00905C49">
      <w:pPr>
        <w:pStyle w:val="Prrafodelista"/>
        <w:numPr>
          <w:ilvl w:val="0"/>
          <w:numId w:val="72"/>
        </w:numPr>
        <w:spacing w:after="0" w:line="240" w:lineRule="auto"/>
        <w:ind w:left="709" w:hanging="283"/>
        <w:jc w:val="both"/>
        <w:rPr>
          <w:rFonts w:ascii="Verdana" w:hAnsi="Verdana" w:cs="Tahoma"/>
          <w:i/>
          <w:sz w:val="24"/>
          <w:szCs w:val="24"/>
        </w:rPr>
      </w:pPr>
      <w:r w:rsidRPr="00A173A7">
        <w:rPr>
          <w:rFonts w:ascii="Verdana" w:hAnsi="Verdana" w:cs="Tahoma"/>
          <w:i/>
          <w:sz w:val="24"/>
          <w:szCs w:val="24"/>
        </w:rPr>
        <w:t xml:space="preserve">Avances en la superación del subregistro, la cual se abordó en dos situaciones: (i) Quienes declaran y la declaración no llega a la entidad para surtir el proceso de valoración o el resultado de la valoración es no inclusión y (ii) Quienes no declaran. </w:t>
      </w:r>
    </w:p>
    <w:p w:rsidR="00482241" w:rsidRPr="00A173A7" w:rsidRDefault="00482241" w:rsidP="00A173A7">
      <w:pPr>
        <w:spacing w:after="0" w:line="240" w:lineRule="auto"/>
        <w:ind w:left="709" w:hanging="283"/>
        <w:contextualSpacing/>
        <w:jc w:val="both"/>
        <w:rPr>
          <w:rFonts w:ascii="Verdana" w:hAnsi="Verdana" w:cs="Tahoma"/>
          <w:b/>
          <w:i/>
          <w:color w:val="365F91" w:themeColor="accent1" w:themeShade="BF"/>
          <w:sz w:val="24"/>
          <w:szCs w:val="24"/>
        </w:rPr>
      </w:pPr>
    </w:p>
    <w:p w:rsidR="00482241" w:rsidRPr="00A173A7" w:rsidRDefault="00482241" w:rsidP="00905C49">
      <w:pPr>
        <w:pStyle w:val="Default"/>
        <w:numPr>
          <w:ilvl w:val="0"/>
          <w:numId w:val="73"/>
        </w:numPr>
        <w:ind w:left="709" w:hanging="283"/>
        <w:contextualSpacing/>
        <w:jc w:val="both"/>
        <w:rPr>
          <w:rFonts w:ascii="Verdana" w:hAnsi="Verdana" w:cs="Tahoma"/>
          <w:i/>
          <w:color w:val="auto"/>
        </w:rPr>
      </w:pPr>
      <w:r w:rsidRPr="00A173A7">
        <w:rPr>
          <w:rFonts w:ascii="Verdana" w:hAnsi="Verdana" w:cs="Tahoma"/>
          <w:i/>
          <w:color w:val="auto"/>
        </w:rPr>
        <w:t xml:space="preserve">40 entidades del nivel nacional y 1.102 del nivel territorial cuentan con acuerdos de intercambio y confidencialidad de información para garantizar los insumos necesarios que en materia de información se requieren para la aplicación de las medidas de asistencia, atención y reparación integral a las víctimas.  </w:t>
      </w:r>
    </w:p>
    <w:p w:rsidR="00482241" w:rsidRPr="00A173A7" w:rsidRDefault="00482241" w:rsidP="00A173A7">
      <w:pPr>
        <w:pStyle w:val="Default"/>
        <w:ind w:left="709" w:hanging="283"/>
        <w:contextualSpacing/>
        <w:jc w:val="both"/>
        <w:rPr>
          <w:rFonts w:ascii="Verdana" w:hAnsi="Verdana" w:cs="Tahoma"/>
          <w:i/>
          <w:color w:val="auto"/>
          <w:sz w:val="8"/>
        </w:rPr>
      </w:pPr>
    </w:p>
    <w:p w:rsidR="00482241" w:rsidRPr="00A173A7" w:rsidRDefault="00482241" w:rsidP="00905C49">
      <w:pPr>
        <w:pStyle w:val="Default"/>
        <w:numPr>
          <w:ilvl w:val="0"/>
          <w:numId w:val="73"/>
        </w:numPr>
        <w:adjustRightInd/>
        <w:ind w:left="709" w:hanging="283"/>
        <w:contextualSpacing/>
        <w:jc w:val="both"/>
        <w:rPr>
          <w:rFonts w:ascii="Verdana" w:hAnsi="Verdana" w:cs="Tahoma"/>
          <w:i/>
          <w:color w:val="auto"/>
        </w:rPr>
      </w:pPr>
      <w:r w:rsidRPr="00A173A7">
        <w:rPr>
          <w:rFonts w:ascii="Verdana" w:hAnsi="Verdana" w:cs="Tahoma"/>
          <w:i/>
          <w:color w:val="auto"/>
        </w:rPr>
        <w:lastRenderedPageBreak/>
        <w:t>Se construyeron diferentes instructivos, protocolos y guías, con el fin de dar orientaciones y lineamientos para la caracterización de las víctimas del conflicto; para el diseño, desarrollo, implementación y seguimiento del Plan Operativo de Sistemas de Información en todo el territorio nacional y para el intercambio de información entre la unidad y las demás entidades que conforman la Red Nacional de Información, teniendo en cuenta los estándares de legalidad, seguridad y confidencialidad de la información.</w:t>
      </w:r>
    </w:p>
    <w:p w:rsidR="00482241" w:rsidRPr="00A173A7" w:rsidRDefault="00482241" w:rsidP="00A173A7">
      <w:pPr>
        <w:pStyle w:val="Default"/>
        <w:ind w:left="709" w:hanging="283"/>
        <w:contextualSpacing/>
        <w:jc w:val="both"/>
        <w:rPr>
          <w:rFonts w:ascii="Verdana" w:hAnsi="Verdana" w:cs="Tahoma"/>
          <w:i/>
          <w:color w:val="auto"/>
          <w:sz w:val="8"/>
        </w:rPr>
      </w:pPr>
    </w:p>
    <w:p w:rsidR="00482241" w:rsidRPr="00A173A7" w:rsidRDefault="00482241" w:rsidP="00905C49">
      <w:pPr>
        <w:pStyle w:val="Default"/>
        <w:numPr>
          <w:ilvl w:val="0"/>
          <w:numId w:val="73"/>
        </w:numPr>
        <w:adjustRightInd/>
        <w:ind w:left="709" w:hanging="283"/>
        <w:contextualSpacing/>
        <w:jc w:val="both"/>
        <w:rPr>
          <w:rFonts w:ascii="Verdana" w:hAnsi="Verdana" w:cs="Tahoma"/>
          <w:i/>
          <w:color w:val="auto"/>
        </w:rPr>
      </w:pPr>
      <w:r w:rsidRPr="00A173A7">
        <w:rPr>
          <w:rFonts w:ascii="Verdana" w:hAnsi="Verdana" w:cs="Tahoma"/>
          <w:i/>
          <w:color w:val="auto"/>
        </w:rPr>
        <w:t>Implementación del Marco para la Interoperabilidad</w:t>
      </w:r>
      <w:r w:rsidRPr="00A173A7">
        <w:rPr>
          <w:rFonts w:ascii="Verdana" w:hAnsi="Verdana"/>
          <w:i/>
        </w:rPr>
        <w:footnoteReference w:id="11"/>
      </w:r>
      <w:r w:rsidRPr="00A173A7">
        <w:rPr>
          <w:rFonts w:ascii="Verdana" w:hAnsi="Verdana" w:cs="Tahoma"/>
          <w:i/>
          <w:color w:val="auto"/>
        </w:rPr>
        <w:t xml:space="preserve">: Es el proceso de coordinación que demanda cada proceso de intercambio y que permite el acceso a los datos que dispone cada entidad. </w:t>
      </w:r>
    </w:p>
    <w:p w:rsidR="00482241" w:rsidRPr="00A173A7" w:rsidRDefault="00482241" w:rsidP="00A173A7">
      <w:pPr>
        <w:pStyle w:val="Prrafodelista"/>
        <w:spacing w:after="0" w:line="240" w:lineRule="auto"/>
        <w:ind w:left="709" w:hanging="283"/>
        <w:rPr>
          <w:rFonts w:ascii="Verdana" w:hAnsi="Verdana" w:cs="Tahoma"/>
          <w:i/>
          <w:sz w:val="14"/>
          <w:szCs w:val="24"/>
        </w:rPr>
      </w:pPr>
    </w:p>
    <w:p w:rsidR="00482241" w:rsidRPr="00A173A7" w:rsidRDefault="00482241" w:rsidP="00905C49">
      <w:pPr>
        <w:pStyle w:val="Default"/>
        <w:numPr>
          <w:ilvl w:val="0"/>
          <w:numId w:val="73"/>
        </w:numPr>
        <w:adjustRightInd/>
        <w:ind w:left="709" w:hanging="283"/>
        <w:contextualSpacing/>
        <w:jc w:val="both"/>
        <w:rPr>
          <w:rFonts w:ascii="Verdana" w:hAnsi="Verdana" w:cs="Tahoma"/>
          <w:i/>
          <w:color w:val="auto"/>
        </w:rPr>
      </w:pPr>
      <w:r w:rsidRPr="00A173A7">
        <w:rPr>
          <w:rFonts w:ascii="Verdana" w:hAnsi="Verdana" w:cs="Tahoma"/>
          <w:i/>
          <w:color w:val="auto"/>
        </w:rPr>
        <w:t xml:space="preserve">Se cuenta con diferentes sistemas de información (Vivanto), instrumentos (caracterización), y herramientas tecnológicas (visor geográfico, herramienta de cruces masivos, módulo de ubicación y portal RNI) orientados a obtener la información de la población de manera que facilite la generación de políticas y toma de decisiones. </w:t>
      </w:r>
    </w:p>
    <w:p w:rsidR="00482241" w:rsidRPr="00A173A7" w:rsidRDefault="00482241" w:rsidP="00A173A7">
      <w:pPr>
        <w:spacing w:after="0" w:line="240" w:lineRule="auto"/>
        <w:ind w:left="709" w:hanging="283"/>
        <w:contextualSpacing/>
        <w:jc w:val="both"/>
        <w:rPr>
          <w:rFonts w:ascii="Verdana" w:hAnsi="Verdana" w:cs="Tahoma"/>
          <w:i/>
          <w:sz w:val="14"/>
          <w:szCs w:val="24"/>
        </w:rPr>
      </w:pPr>
    </w:p>
    <w:p w:rsidR="00482241" w:rsidRPr="00A173A7" w:rsidRDefault="00482241" w:rsidP="00905C49">
      <w:pPr>
        <w:pStyle w:val="Default"/>
        <w:numPr>
          <w:ilvl w:val="0"/>
          <w:numId w:val="73"/>
        </w:numPr>
        <w:adjustRightInd/>
        <w:ind w:left="709" w:hanging="283"/>
        <w:contextualSpacing/>
        <w:jc w:val="both"/>
        <w:rPr>
          <w:rFonts w:ascii="Verdana" w:hAnsi="Verdana" w:cs="Tahoma"/>
          <w:i/>
          <w:color w:val="auto"/>
        </w:rPr>
      </w:pPr>
      <w:r w:rsidRPr="00A173A7">
        <w:rPr>
          <w:rFonts w:ascii="Verdana" w:hAnsi="Verdana" w:cs="Tahoma"/>
          <w:i/>
          <w:color w:val="auto"/>
        </w:rPr>
        <w:t xml:space="preserve">Se realizó la medición de los Indicadores de Goce Efectivo de Derechos junto con el DANE y del Índice de Riesgo de Victimización </w:t>
      </w:r>
    </w:p>
    <w:p w:rsidR="00482241" w:rsidRPr="00A173A7" w:rsidRDefault="00482241" w:rsidP="00A173A7">
      <w:pPr>
        <w:pStyle w:val="Prrafodelista"/>
        <w:spacing w:after="0" w:line="240" w:lineRule="auto"/>
        <w:ind w:left="709" w:hanging="283"/>
        <w:rPr>
          <w:rFonts w:ascii="Verdana" w:hAnsi="Verdana" w:cs="Tahoma"/>
          <w:i/>
          <w:sz w:val="14"/>
          <w:szCs w:val="24"/>
        </w:rPr>
      </w:pPr>
    </w:p>
    <w:p w:rsidR="00482241" w:rsidRPr="00A173A7" w:rsidRDefault="00482241" w:rsidP="00905C49">
      <w:pPr>
        <w:pStyle w:val="Default"/>
        <w:numPr>
          <w:ilvl w:val="0"/>
          <w:numId w:val="74"/>
        </w:numPr>
        <w:ind w:left="709" w:hanging="283"/>
        <w:contextualSpacing/>
        <w:jc w:val="both"/>
        <w:rPr>
          <w:rFonts w:ascii="Verdana" w:hAnsi="Verdana" w:cs="Tahoma"/>
          <w:i/>
          <w:color w:val="auto"/>
        </w:rPr>
      </w:pPr>
      <w:r w:rsidRPr="00A173A7">
        <w:rPr>
          <w:rFonts w:ascii="Verdana" w:hAnsi="Verdana" w:cs="Tahoma"/>
          <w:i/>
          <w:color w:val="auto"/>
        </w:rPr>
        <w:t xml:space="preserve">Plan Operativo de Sistemas de Información - POSI: Se realizó el desarrollo de POSI, a partir de su conceptualización y definición de componentes. La implementación de la metodología POSI, permite adelantar las acciones necesarias para que la respectiva entidad supere las dificultades y alcance los grados necesarios para el intercambio de la información e interoperabilidad de los sistemas. Es así, como desde noviembre del año 2013 y hasta agosto del año 2014, se desarrolla la fase, 2 que corresponde al diagnóstico de necesidades en sistemas de información con 594 entidades que están recibiendo apoyo para esta fase. </w:t>
      </w:r>
    </w:p>
    <w:p w:rsidR="00482241" w:rsidRPr="00144A07" w:rsidRDefault="00482241" w:rsidP="00482241">
      <w:pPr>
        <w:spacing w:after="0" w:line="240" w:lineRule="auto"/>
        <w:contextualSpacing/>
        <w:jc w:val="both"/>
        <w:rPr>
          <w:rFonts w:ascii="Verdana" w:hAnsi="Verdana" w:cs="Tahoma"/>
          <w:sz w:val="24"/>
          <w:szCs w:val="24"/>
        </w:rPr>
      </w:pPr>
    </w:p>
    <w:p w:rsidR="00482241" w:rsidRPr="00C42779" w:rsidRDefault="00482241" w:rsidP="00482241">
      <w:pPr>
        <w:spacing w:after="0" w:line="240" w:lineRule="auto"/>
        <w:contextualSpacing/>
        <w:jc w:val="both"/>
        <w:rPr>
          <w:rFonts w:ascii="Verdana" w:hAnsi="Verdana" w:cs="Tahoma"/>
          <w:b/>
          <w:color w:val="548DD4" w:themeColor="text2" w:themeTint="99"/>
          <w:sz w:val="24"/>
          <w:szCs w:val="24"/>
        </w:rPr>
      </w:pPr>
      <w:r w:rsidRPr="00C42779">
        <w:rPr>
          <w:rFonts w:ascii="Verdana" w:hAnsi="Verdana" w:cs="Tahoma"/>
          <w:b/>
          <w:color w:val="548DD4" w:themeColor="text2" w:themeTint="99"/>
          <w:sz w:val="24"/>
          <w:szCs w:val="24"/>
        </w:rPr>
        <w:t>Retos 2015</w:t>
      </w:r>
    </w:p>
    <w:p w:rsidR="00482241" w:rsidRPr="00144A07" w:rsidRDefault="00482241" w:rsidP="00482241">
      <w:pPr>
        <w:spacing w:after="0" w:line="240" w:lineRule="auto"/>
        <w:ind w:left="567" w:hanging="425"/>
        <w:contextualSpacing/>
        <w:jc w:val="both"/>
        <w:rPr>
          <w:rFonts w:ascii="Verdana" w:hAnsi="Verdana" w:cs="Tahoma"/>
          <w:b/>
          <w:color w:val="365F91" w:themeColor="accent1" w:themeShade="BF"/>
          <w:sz w:val="12"/>
          <w:szCs w:val="24"/>
        </w:rPr>
      </w:pPr>
    </w:p>
    <w:p w:rsidR="00482241" w:rsidRPr="00A173A7" w:rsidRDefault="00482241" w:rsidP="00905C49">
      <w:pPr>
        <w:pStyle w:val="Prrafodelista"/>
        <w:numPr>
          <w:ilvl w:val="0"/>
          <w:numId w:val="72"/>
        </w:numPr>
        <w:spacing w:after="0" w:line="240" w:lineRule="auto"/>
        <w:ind w:left="709" w:hanging="283"/>
        <w:jc w:val="both"/>
        <w:rPr>
          <w:rFonts w:ascii="Verdana" w:hAnsi="Verdana" w:cs="Tahoma"/>
          <w:i/>
          <w:sz w:val="24"/>
          <w:szCs w:val="24"/>
        </w:rPr>
      </w:pPr>
      <w:r w:rsidRPr="00A173A7">
        <w:rPr>
          <w:rFonts w:ascii="Verdana" w:hAnsi="Verdana" w:cs="Tahoma"/>
          <w:i/>
          <w:sz w:val="24"/>
          <w:szCs w:val="24"/>
        </w:rPr>
        <w:t>Disminuir los tiempos de respuesta a las solicitudes de inscripción en el RUV, así como resolver en términos los requerimientos de aplicación de novedades y los recursos interpuestos contra las decisiones adoptadas por la Dirección de Registro y Gestión de la Información de la Unidad para las Víctimas.</w:t>
      </w:r>
    </w:p>
    <w:p w:rsidR="00482241" w:rsidRPr="00A173A7" w:rsidRDefault="00482241" w:rsidP="00A173A7">
      <w:pPr>
        <w:pStyle w:val="Prrafodelista"/>
        <w:spacing w:after="0" w:line="240" w:lineRule="auto"/>
        <w:ind w:left="709"/>
        <w:jc w:val="both"/>
        <w:rPr>
          <w:rFonts w:ascii="Verdana" w:hAnsi="Verdana" w:cs="Tahoma"/>
          <w:i/>
          <w:sz w:val="24"/>
          <w:szCs w:val="24"/>
        </w:rPr>
      </w:pPr>
    </w:p>
    <w:p w:rsidR="00482241" w:rsidRPr="00A173A7" w:rsidRDefault="00482241" w:rsidP="00905C49">
      <w:pPr>
        <w:pStyle w:val="Prrafodelista"/>
        <w:numPr>
          <w:ilvl w:val="0"/>
          <w:numId w:val="72"/>
        </w:numPr>
        <w:spacing w:after="0" w:line="240" w:lineRule="auto"/>
        <w:ind w:left="709" w:hanging="283"/>
        <w:jc w:val="both"/>
        <w:rPr>
          <w:rFonts w:ascii="Verdana" w:hAnsi="Verdana" w:cs="Tahoma"/>
          <w:i/>
          <w:sz w:val="24"/>
          <w:szCs w:val="24"/>
        </w:rPr>
      </w:pPr>
      <w:r w:rsidRPr="00A173A7">
        <w:rPr>
          <w:rFonts w:ascii="Verdana" w:hAnsi="Verdana" w:cs="Tahoma"/>
          <w:i/>
          <w:sz w:val="24"/>
          <w:szCs w:val="24"/>
        </w:rPr>
        <w:t>Fortalecer los procesos de capacitación en toma de declaración a funcionarios del Ministerio Público en todo el país incluyendo el enfoque diferencial.</w:t>
      </w:r>
    </w:p>
    <w:p w:rsidR="00482241" w:rsidRPr="00A173A7" w:rsidRDefault="00482241" w:rsidP="00A173A7">
      <w:pPr>
        <w:pStyle w:val="Prrafodelista"/>
        <w:spacing w:after="0" w:line="240" w:lineRule="auto"/>
        <w:ind w:left="709"/>
        <w:jc w:val="both"/>
        <w:rPr>
          <w:rFonts w:ascii="Verdana" w:hAnsi="Verdana" w:cs="Tahoma"/>
          <w:i/>
          <w:sz w:val="24"/>
          <w:szCs w:val="24"/>
        </w:rPr>
      </w:pPr>
    </w:p>
    <w:p w:rsidR="00482241" w:rsidRPr="00A173A7" w:rsidRDefault="00482241" w:rsidP="00905C49">
      <w:pPr>
        <w:pStyle w:val="Prrafodelista"/>
        <w:numPr>
          <w:ilvl w:val="0"/>
          <w:numId w:val="72"/>
        </w:numPr>
        <w:spacing w:after="0" w:line="240" w:lineRule="auto"/>
        <w:ind w:left="709" w:hanging="283"/>
        <w:jc w:val="both"/>
        <w:rPr>
          <w:rFonts w:ascii="Verdana" w:hAnsi="Verdana" w:cs="Tahoma"/>
          <w:i/>
          <w:sz w:val="24"/>
          <w:szCs w:val="24"/>
        </w:rPr>
      </w:pPr>
      <w:r w:rsidRPr="00A173A7">
        <w:rPr>
          <w:rFonts w:ascii="Verdana" w:hAnsi="Verdana" w:cs="Tahoma"/>
          <w:i/>
          <w:sz w:val="24"/>
          <w:szCs w:val="24"/>
        </w:rPr>
        <w:t>Superación de las dificultades en el proceso de notificación a través de la implementación de estrategias como la publicación de los Actos Administrativos en el sitio web de la entidad y jornadas masivas de notificación.</w:t>
      </w:r>
    </w:p>
    <w:p w:rsidR="00482241" w:rsidRPr="00A173A7" w:rsidRDefault="00482241" w:rsidP="00A173A7">
      <w:pPr>
        <w:pStyle w:val="Prrafodelista"/>
        <w:spacing w:after="0" w:line="240" w:lineRule="auto"/>
        <w:ind w:left="709"/>
        <w:jc w:val="both"/>
        <w:rPr>
          <w:rFonts w:ascii="Verdana" w:hAnsi="Verdana" w:cs="Tahoma"/>
          <w:i/>
          <w:sz w:val="24"/>
          <w:szCs w:val="24"/>
        </w:rPr>
      </w:pPr>
    </w:p>
    <w:p w:rsidR="00482241" w:rsidRPr="00A173A7" w:rsidRDefault="00482241" w:rsidP="00905C49">
      <w:pPr>
        <w:pStyle w:val="Prrafodelista"/>
        <w:numPr>
          <w:ilvl w:val="0"/>
          <w:numId w:val="72"/>
        </w:numPr>
        <w:spacing w:after="0" w:line="240" w:lineRule="auto"/>
        <w:ind w:left="709" w:hanging="283"/>
        <w:jc w:val="both"/>
        <w:rPr>
          <w:rFonts w:ascii="Verdana" w:hAnsi="Verdana" w:cs="Tahoma"/>
          <w:i/>
          <w:sz w:val="24"/>
          <w:szCs w:val="24"/>
        </w:rPr>
      </w:pPr>
      <w:r w:rsidRPr="00A173A7">
        <w:rPr>
          <w:rFonts w:ascii="Verdana" w:hAnsi="Verdana" w:cs="Tahoma"/>
          <w:i/>
          <w:sz w:val="24"/>
          <w:szCs w:val="24"/>
        </w:rPr>
        <w:t xml:space="preserve">Lograr la interoperabilidad del 100% de las entidades del SNARIV del orden nacional con la RNI. </w:t>
      </w:r>
    </w:p>
    <w:p w:rsidR="00482241" w:rsidRPr="00A173A7" w:rsidRDefault="00482241" w:rsidP="00A173A7">
      <w:pPr>
        <w:pStyle w:val="Prrafodelista"/>
        <w:spacing w:after="0" w:line="240" w:lineRule="auto"/>
        <w:ind w:left="709"/>
        <w:jc w:val="both"/>
        <w:rPr>
          <w:rFonts w:ascii="Verdana" w:hAnsi="Verdana" w:cs="Tahoma"/>
          <w:i/>
          <w:sz w:val="24"/>
          <w:szCs w:val="24"/>
        </w:rPr>
      </w:pPr>
    </w:p>
    <w:p w:rsidR="00482241" w:rsidRPr="00A173A7" w:rsidRDefault="00482241" w:rsidP="00905C49">
      <w:pPr>
        <w:pStyle w:val="Prrafodelista"/>
        <w:numPr>
          <w:ilvl w:val="0"/>
          <w:numId w:val="72"/>
        </w:numPr>
        <w:spacing w:after="0" w:line="240" w:lineRule="auto"/>
        <w:ind w:left="709" w:hanging="283"/>
        <w:jc w:val="both"/>
        <w:rPr>
          <w:rFonts w:ascii="Verdana" w:hAnsi="Verdana" w:cs="Tahoma"/>
          <w:i/>
          <w:sz w:val="24"/>
          <w:szCs w:val="24"/>
        </w:rPr>
      </w:pPr>
      <w:r w:rsidRPr="00A173A7">
        <w:rPr>
          <w:rFonts w:ascii="Verdana" w:hAnsi="Verdana" w:cs="Tahoma"/>
          <w:i/>
          <w:sz w:val="24"/>
          <w:szCs w:val="24"/>
        </w:rPr>
        <w:t xml:space="preserve">Desarrollar Vivanto como la herramienta que consolide todas las fuentes de información disponibles en la Unidad y en la Red Nacional de Información. </w:t>
      </w:r>
    </w:p>
    <w:p w:rsidR="00482241" w:rsidRPr="00A173A7" w:rsidRDefault="00482241" w:rsidP="00A173A7">
      <w:pPr>
        <w:pStyle w:val="Prrafodelista"/>
        <w:spacing w:after="0" w:line="240" w:lineRule="auto"/>
        <w:ind w:left="709"/>
        <w:jc w:val="both"/>
        <w:rPr>
          <w:rFonts w:ascii="Verdana" w:hAnsi="Verdana" w:cs="Tahoma"/>
          <w:i/>
          <w:sz w:val="24"/>
          <w:szCs w:val="24"/>
        </w:rPr>
      </w:pPr>
    </w:p>
    <w:p w:rsidR="00482241" w:rsidRPr="00A173A7" w:rsidRDefault="00482241" w:rsidP="00905C49">
      <w:pPr>
        <w:pStyle w:val="Prrafodelista"/>
        <w:numPr>
          <w:ilvl w:val="0"/>
          <w:numId w:val="72"/>
        </w:numPr>
        <w:spacing w:after="0" w:line="240" w:lineRule="auto"/>
        <w:ind w:left="709" w:hanging="283"/>
        <w:jc w:val="both"/>
        <w:rPr>
          <w:rFonts w:ascii="Verdana" w:hAnsi="Verdana" w:cs="Tahoma"/>
          <w:i/>
          <w:sz w:val="24"/>
          <w:szCs w:val="24"/>
        </w:rPr>
      </w:pPr>
      <w:r w:rsidRPr="00A173A7">
        <w:rPr>
          <w:rFonts w:ascii="Verdana" w:hAnsi="Verdana" w:cs="Tahoma"/>
          <w:i/>
          <w:sz w:val="24"/>
          <w:szCs w:val="24"/>
        </w:rPr>
        <w:t xml:space="preserve">Elaborar y socializar en el Subcomité Técnico Nacional de Sistemas de Información y los Subcomités Territoriales los lineamientos para el uso y manejo de la información de la población víctima. </w:t>
      </w:r>
    </w:p>
    <w:p w:rsidR="00482241" w:rsidRPr="00A173A7" w:rsidRDefault="00482241" w:rsidP="00A173A7">
      <w:pPr>
        <w:pStyle w:val="Prrafodelista"/>
        <w:spacing w:after="0" w:line="240" w:lineRule="auto"/>
        <w:ind w:left="709"/>
        <w:jc w:val="both"/>
        <w:rPr>
          <w:rFonts w:ascii="Verdana" w:hAnsi="Verdana" w:cs="Tahoma"/>
          <w:i/>
          <w:sz w:val="24"/>
          <w:szCs w:val="24"/>
        </w:rPr>
      </w:pPr>
    </w:p>
    <w:p w:rsidR="00482241" w:rsidRPr="00A173A7" w:rsidRDefault="00482241" w:rsidP="00905C49">
      <w:pPr>
        <w:pStyle w:val="Prrafodelista"/>
        <w:numPr>
          <w:ilvl w:val="0"/>
          <w:numId w:val="72"/>
        </w:numPr>
        <w:spacing w:after="0" w:line="240" w:lineRule="auto"/>
        <w:ind w:left="709" w:hanging="283"/>
        <w:jc w:val="both"/>
        <w:rPr>
          <w:rFonts w:ascii="Verdana" w:hAnsi="Verdana" w:cs="Tahoma"/>
          <w:i/>
          <w:sz w:val="24"/>
          <w:szCs w:val="24"/>
        </w:rPr>
      </w:pPr>
      <w:r w:rsidRPr="00A173A7">
        <w:rPr>
          <w:rFonts w:ascii="Verdana" w:hAnsi="Verdana" w:cs="Tahoma"/>
          <w:i/>
          <w:sz w:val="24"/>
          <w:szCs w:val="24"/>
        </w:rPr>
        <w:t xml:space="preserve">Finalizar las fases I y II del plan operativo de sistema de información en 640 entidades territoriales e iniciar la Fase III que consiste en la “Ejecución de los Planes de Mejoramiento”. </w:t>
      </w:r>
    </w:p>
    <w:p w:rsidR="00482241" w:rsidRPr="00144A07" w:rsidRDefault="00482241" w:rsidP="00482241">
      <w:pPr>
        <w:spacing w:after="0" w:line="240" w:lineRule="auto"/>
        <w:contextualSpacing/>
        <w:jc w:val="both"/>
        <w:rPr>
          <w:rFonts w:ascii="Verdana" w:hAnsi="Verdana" w:cs="Tahoma"/>
          <w:sz w:val="24"/>
          <w:szCs w:val="24"/>
        </w:rPr>
      </w:pPr>
    </w:p>
    <w:p w:rsidR="00482241" w:rsidRPr="00144A07" w:rsidRDefault="00482241" w:rsidP="00482241">
      <w:pPr>
        <w:spacing w:after="0" w:line="240" w:lineRule="auto"/>
        <w:contextualSpacing/>
        <w:jc w:val="both"/>
        <w:rPr>
          <w:rFonts w:ascii="Verdana" w:hAnsi="Verdana" w:cs="Tahoma"/>
          <w:b/>
          <w:bCs/>
          <w:color w:val="365F91" w:themeColor="accent1" w:themeShade="BF"/>
          <w:sz w:val="24"/>
          <w:szCs w:val="24"/>
        </w:rPr>
      </w:pPr>
    </w:p>
    <w:p w:rsidR="00482241" w:rsidRPr="00C42779" w:rsidRDefault="00482241" w:rsidP="00482241">
      <w:pPr>
        <w:spacing w:after="0" w:line="240" w:lineRule="auto"/>
        <w:contextualSpacing/>
        <w:jc w:val="both"/>
        <w:rPr>
          <w:rFonts w:ascii="Verdana" w:hAnsi="Verdana" w:cs="Tahoma"/>
          <w:b/>
          <w:color w:val="548DD4" w:themeColor="text2" w:themeTint="99"/>
          <w:sz w:val="24"/>
          <w:szCs w:val="24"/>
        </w:rPr>
      </w:pPr>
      <w:r w:rsidRPr="00C42779">
        <w:rPr>
          <w:rFonts w:ascii="Verdana" w:hAnsi="Verdana" w:cs="Tahoma"/>
          <w:b/>
          <w:color w:val="548DD4" w:themeColor="text2" w:themeTint="99"/>
          <w:sz w:val="24"/>
          <w:szCs w:val="24"/>
        </w:rPr>
        <w:t xml:space="preserve">Dirección de Reparación </w:t>
      </w:r>
    </w:p>
    <w:p w:rsidR="00482241" w:rsidRPr="00C42779" w:rsidRDefault="00482241" w:rsidP="00482241">
      <w:pPr>
        <w:spacing w:after="0" w:line="240" w:lineRule="auto"/>
        <w:contextualSpacing/>
        <w:jc w:val="both"/>
        <w:rPr>
          <w:rFonts w:ascii="Verdana" w:hAnsi="Verdana" w:cs="Tahoma"/>
          <w:b/>
          <w:color w:val="548DD4" w:themeColor="text2" w:themeTint="99"/>
          <w:sz w:val="24"/>
          <w:szCs w:val="24"/>
        </w:rPr>
      </w:pPr>
    </w:p>
    <w:p w:rsidR="00482241" w:rsidRPr="00C42779" w:rsidRDefault="00482241" w:rsidP="00482241">
      <w:pPr>
        <w:spacing w:after="0" w:line="240" w:lineRule="auto"/>
        <w:contextualSpacing/>
        <w:jc w:val="both"/>
        <w:rPr>
          <w:rFonts w:ascii="Verdana" w:hAnsi="Verdana" w:cs="Tahoma"/>
          <w:b/>
          <w:color w:val="548DD4" w:themeColor="text2" w:themeTint="99"/>
          <w:sz w:val="24"/>
          <w:szCs w:val="24"/>
        </w:rPr>
      </w:pPr>
      <w:r w:rsidRPr="00C42779">
        <w:rPr>
          <w:rFonts w:ascii="Verdana" w:hAnsi="Verdana" w:cs="Tahoma"/>
          <w:b/>
          <w:color w:val="548DD4" w:themeColor="text2" w:themeTint="99"/>
          <w:sz w:val="24"/>
          <w:szCs w:val="24"/>
        </w:rPr>
        <w:t>Logros 2014</w:t>
      </w:r>
    </w:p>
    <w:p w:rsidR="00482241" w:rsidRPr="00144A07" w:rsidRDefault="00482241" w:rsidP="00482241">
      <w:pPr>
        <w:spacing w:after="0" w:line="240" w:lineRule="auto"/>
        <w:contextualSpacing/>
        <w:jc w:val="both"/>
        <w:rPr>
          <w:rFonts w:ascii="Verdana" w:hAnsi="Verdana" w:cs="Tahoma"/>
          <w:b/>
          <w:color w:val="365F91" w:themeColor="accent1" w:themeShade="BF"/>
          <w:sz w:val="24"/>
          <w:szCs w:val="24"/>
        </w:rPr>
      </w:pPr>
    </w:p>
    <w:p w:rsidR="00482241" w:rsidRPr="00144A07" w:rsidRDefault="00482241" w:rsidP="00482241">
      <w:pPr>
        <w:tabs>
          <w:tab w:val="center" w:pos="4419"/>
          <w:tab w:val="left" w:pos="6070"/>
        </w:tabs>
        <w:suppressAutoHyphens/>
        <w:spacing w:after="0" w:line="240" w:lineRule="auto"/>
        <w:contextualSpacing/>
        <w:jc w:val="both"/>
        <w:rPr>
          <w:rFonts w:ascii="Verdana" w:hAnsi="Verdana" w:cs="Tahoma"/>
          <w:sz w:val="24"/>
          <w:szCs w:val="24"/>
        </w:rPr>
      </w:pPr>
      <w:r w:rsidRPr="00144A07">
        <w:rPr>
          <w:rFonts w:ascii="Verdana" w:hAnsi="Verdana" w:cs="Tahoma"/>
          <w:sz w:val="24"/>
          <w:szCs w:val="24"/>
        </w:rPr>
        <w:t xml:space="preserve">A partir de la Ley de Víctimas y Restitución de Tierras, la Unidad para las Víctimas ha realizado grandes esfuerzos por implementar la reparación integral, en tanto reparar a víctimas individuales y colectivas, en los cinco componentes establecidos: satisfacción, rehabilitación, indemnización, restitución y garantías de no repetición. Este esfuerzo se ve reflejado en las diversas estrategias de oferta directa que ha propuesto la Unidad para las Víctimas para llegar directamente a ellas, como: el Programa de Acompañamiento a la Inversión Adecuada de los Recursos, la Estrategia de Recuperación Emocional, el Acompañamiento a la </w:t>
      </w:r>
      <w:r w:rsidRPr="00144A07">
        <w:rPr>
          <w:rFonts w:ascii="Verdana" w:hAnsi="Verdana" w:cs="Tahoma"/>
          <w:sz w:val="24"/>
          <w:szCs w:val="24"/>
        </w:rPr>
        <w:lastRenderedPageBreak/>
        <w:t xml:space="preserve">entrega de restos, la Estrategia de reconstrucción del tejido social “Entrelazando”, entre otras. </w:t>
      </w:r>
    </w:p>
    <w:p w:rsidR="00482241" w:rsidRPr="00144A07" w:rsidRDefault="00482241" w:rsidP="00482241">
      <w:pPr>
        <w:tabs>
          <w:tab w:val="center" w:pos="4419"/>
          <w:tab w:val="left" w:pos="6070"/>
        </w:tabs>
        <w:suppressAutoHyphens/>
        <w:spacing w:after="0" w:line="240" w:lineRule="auto"/>
        <w:contextualSpacing/>
        <w:jc w:val="both"/>
        <w:rPr>
          <w:rFonts w:ascii="Verdana" w:hAnsi="Verdana" w:cs="Tahoma"/>
          <w:sz w:val="24"/>
          <w:szCs w:val="24"/>
        </w:rPr>
      </w:pPr>
    </w:p>
    <w:p w:rsidR="00482241" w:rsidRPr="00144A07" w:rsidRDefault="00482241" w:rsidP="00482241">
      <w:pPr>
        <w:tabs>
          <w:tab w:val="center" w:pos="4419"/>
          <w:tab w:val="left" w:pos="6070"/>
        </w:tabs>
        <w:suppressAutoHyphens/>
        <w:spacing w:after="0" w:line="240" w:lineRule="auto"/>
        <w:contextualSpacing/>
        <w:jc w:val="both"/>
        <w:rPr>
          <w:rFonts w:ascii="Verdana" w:hAnsi="Verdana" w:cs="Tahoma"/>
          <w:sz w:val="24"/>
          <w:szCs w:val="24"/>
        </w:rPr>
      </w:pPr>
      <w:r w:rsidRPr="00144A07">
        <w:rPr>
          <w:rFonts w:ascii="Verdana" w:hAnsi="Verdana" w:cs="Tahoma"/>
          <w:sz w:val="24"/>
          <w:szCs w:val="24"/>
        </w:rPr>
        <w:t>En materia de reparación individual, la Unidad para las Víctimas avanza en superar el enfoque asistencialista o economicista de la reparación, por medio de la aplicación de un enfoque de reparación integral, adecuada, diferenciada, transformadora y efectiva que empodere a las víctimas y les permita un ejercicio pleno de ciudadanía. Después de tres años de implementación se resaltan los siguientes logros:</w:t>
      </w:r>
    </w:p>
    <w:p w:rsidR="00482241" w:rsidRPr="00144A07" w:rsidRDefault="00482241" w:rsidP="00482241">
      <w:pPr>
        <w:suppressAutoHyphens/>
        <w:spacing w:after="0" w:line="240" w:lineRule="auto"/>
        <w:contextualSpacing/>
        <w:jc w:val="both"/>
        <w:rPr>
          <w:rFonts w:ascii="Verdana" w:hAnsi="Verdana" w:cs="Tahoma"/>
          <w:sz w:val="24"/>
          <w:szCs w:val="24"/>
        </w:rPr>
      </w:pPr>
    </w:p>
    <w:p w:rsidR="00482241" w:rsidRPr="00A173A7" w:rsidRDefault="00482241" w:rsidP="00905C49">
      <w:pPr>
        <w:numPr>
          <w:ilvl w:val="0"/>
          <w:numId w:val="75"/>
        </w:numPr>
        <w:suppressAutoHyphens/>
        <w:spacing w:after="0" w:line="240" w:lineRule="auto"/>
        <w:ind w:left="567" w:hanging="283"/>
        <w:contextualSpacing/>
        <w:jc w:val="both"/>
        <w:rPr>
          <w:rFonts w:ascii="Verdana" w:hAnsi="Verdana" w:cs="Tahoma"/>
          <w:i/>
          <w:sz w:val="24"/>
          <w:szCs w:val="24"/>
        </w:rPr>
      </w:pPr>
      <w:r w:rsidRPr="00A173A7">
        <w:rPr>
          <w:rFonts w:ascii="Verdana" w:hAnsi="Verdana" w:cs="Tahoma"/>
          <w:i/>
          <w:sz w:val="24"/>
          <w:szCs w:val="24"/>
        </w:rPr>
        <w:t>291.106 planes PAARI (cifra acumulada) y 101.634 en el 2014. El PAARI es el punto de partida para una reparación más específica y adecuada, que empodere a las víctimas.</w:t>
      </w:r>
    </w:p>
    <w:p w:rsidR="00482241" w:rsidRPr="00A173A7" w:rsidRDefault="00482241" w:rsidP="00482241">
      <w:pPr>
        <w:suppressAutoHyphens/>
        <w:spacing w:after="0" w:line="240" w:lineRule="auto"/>
        <w:ind w:left="567" w:hanging="283"/>
        <w:contextualSpacing/>
        <w:jc w:val="both"/>
        <w:rPr>
          <w:rFonts w:ascii="Verdana" w:hAnsi="Verdana" w:cs="Tahoma"/>
          <w:i/>
          <w:sz w:val="24"/>
          <w:szCs w:val="24"/>
        </w:rPr>
      </w:pPr>
    </w:p>
    <w:p w:rsidR="00482241" w:rsidRPr="00A173A7" w:rsidRDefault="00482241" w:rsidP="00905C49">
      <w:pPr>
        <w:numPr>
          <w:ilvl w:val="0"/>
          <w:numId w:val="76"/>
        </w:numPr>
        <w:spacing w:after="0" w:line="240" w:lineRule="auto"/>
        <w:ind w:left="567" w:hanging="283"/>
        <w:jc w:val="both"/>
        <w:rPr>
          <w:rFonts w:ascii="Verdana" w:hAnsi="Verdana" w:cs="Tahoma"/>
          <w:i/>
          <w:sz w:val="24"/>
          <w:szCs w:val="24"/>
        </w:rPr>
      </w:pPr>
      <w:r w:rsidRPr="00A173A7">
        <w:rPr>
          <w:rFonts w:ascii="Verdana" w:hAnsi="Verdana" w:cs="Tahoma"/>
          <w:i/>
          <w:sz w:val="24"/>
          <w:szCs w:val="24"/>
        </w:rPr>
        <w:t>El goce de la indemnización administrativa como medida de reparación a llegado a 482.399 víctimas del conflicto armado en el 2014. La meta definida en el CONPES 3726 de indemnización estaba definida para otros hechos victimizantes y el Decreto 1377 de 2014 reglamenta la obligatoriedad de la indemnización para desplazamiento forzado, generando un nuevo reto en la implementación de la reparación integral.</w:t>
      </w:r>
    </w:p>
    <w:p w:rsidR="00482241" w:rsidRPr="00144A07" w:rsidRDefault="00482241" w:rsidP="00482241">
      <w:pPr>
        <w:spacing w:after="0" w:line="240" w:lineRule="auto"/>
        <w:jc w:val="both"/>
        <w:rPr>
          <w:rFonts w:ascii="Verdana" w:eastAsia="Times New Roman" w:hAnsi="Verdana" w:cs="Tahoma"/>
          <w:sz w:val="24"/>
          <w:szCs w:val="24"/>
        </w:rPr>
      </w:pPr>
    </w:p>
    <w:p w:rsidR="00482241" w:rsidRPr="00144A07" w:rsidRDefault="00482241" w:rsidP="00482241">
      <w:pPr>
        <w:spacing w:after="0" w:line="240" w:lineRule="auto"/>
        <w:jc w:val="both"/>
        <w:rPr>
          <w:rFonts w:ascii="Verdana" w:eastAsia="Times New Roman" w:hAnsi="Verdana" w:cs="Tahoma"/>
          <w:sz w:val="24"/>
          <w:szCs w:val="24"/>
        </w:rPr>
      </w:pPr>
      <w:r w:rsidRPr="00144A07">
        <w:rPr>
          <w:rFonts w:ascii="Verdana" w:eastAsia="Times New Roman" w:hAnsi="Verdana" w:cs="Tahoma"/>
          <w:sz w:val="24"/>
          <w:szCs w:val="24"/>
        </w:rPr>
        <w:t>Durante 2014 fueron realizadas 90.457 indemnizaciones, de las cuales se realizaron 57.118 para víctimas de desplazamiento forzado y 33.339 a víctimas de hechos diferentes. De las indemnizaciones realizadas en el 2014 el 31% se realizaron a niños, niñas y adolescentes</w:t>
      </w:r>
      <w:r w:rsidRPr="00144A07">
        <w:rPr>
          <w:rFonts w:ascii="Verdana" w:eastAsia="Times New Roman" w:hAnsi="Verdana" w:cs="Tahoma"/>
          <w:color w:val="1F497D"/>
          <w:sz w:val="24"/>
          <w:szCs w:val="24"/>
        </w:rPr>
        <w:t xml:space="preserve"> (</w:t>
      </w:r>
      <w:r w:rsidRPr="00144A07">
        <w:rPr>
          <w:rFonts w:ascii="Verdana" w:eastAsia="Times New Roman" w:hAnsi="Verdana" w:cs="Tahoma"/>
          <w:sz w:val="24"/>
          <w:szCs w:val="24"/>
        </w:rPr>
        <w:t xml:space="preserve">28.344 víctimas) mediante la constitución de encargos fiduciarios en garantía de sus derechos. </w:t>
      </w:r>
    </w:p>
    <w:p w:rsidR="00482241" w:rsidRPr="00144A07" w:rsidRDefault="00482241" w:rsidP="00482241">
      <w:pPr>
        <w:suppressAutoHyphens/>
        <w:spacing w:after="0" w:line="240" w:lineRule="auto"/>
        <w:contextualSpacing/>
        <w:jc w:val="both"/>
        <w:rPr>
          <w:rFonts w:ascii="Verdana" w:hAnsi="Verdana" w:cs="Tahoma"/>
          <w:sz w:val="24"/>
          <w:szCs w:val="24"/>
        </w:rPr>
      </w:pPr>
    </w:p>
    <w:p w:rsidR="00482241" w:rsidRPr="00144A07" w:rsidRDefault="00482241" w:rsidP="00482241">
      <w:pPr>
        <w:suppressAutoHyphens/>
        <w:spacing w:after="0" w:line="240" w:lineRule="auto"/>
        <w:contextualSpacing/>
        <w:jc w:val="center"/>
        <w:rPr>
          <w:rFonts w:ascii="Verdana" w:hAnsi="Verdana" w:cs="Tahoma"/>
          <w:sz w:val="24"/>
          <w:szCs w:val="24"/>
        </w:rPr>
      </w:pPr>
      <w:r w:rsidRPr="00144A07">
        <w:rPr>
          <w:rFonts w:ascii="Verdana" w:hAnsi="Verdana"/>
          <w:noProof/>
          <w:szCs w:val="24"/>
          <w:lang w:eastAsia="es-CO"/>
        </w:rPr>
        <w:lastRenderedPageBreak/>
        <w:drawing>
          <wp:inline distT="0" distB="0" distL="0" distR="0">
            <wp:extent cx="6219825" cy="2466975"/>
            <wp:effectExtent l="19050" t="0" r="9525" b="0"/>
            <wp:docPr id="5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a:stretch>
                      <a:fillRect/>
                    </a:stretch>
                  </pic:blipFill>
                  <pic:spPr bwMode="auto">
                    <a:xfrm>
                      <a:off x="0" y="0"/>
                      <a:ext cx="6219825" cy="2466975"/>
                    </a:xfrm>
                    <a:prstGeom prst="rect">
                      <a:avLst/>
                    </a:prstGeom>
                    <a:noFill/>
                    <a:ln w="9525">
                      <a:noFill/>
                      <a:miter lim="800000"/>
                      <a:headEnd/>
                      <a:tailEnd/>
                    </a:ln>
                  </pic:spPr>
                </pic:pic>
              </a:graphicData>
            </a:graphic>
          </wp:inline>
        </w:drawing>
      </w:r>
    </w:p>
    <w:p w:rsidR="00482241" w:rsidRPr="00144A07" w:rsidRDefault="00482241" w:rsidP="00482241">
      <w:pPr>
        <w:suppressAutoHyphens/>
        <w:spacing w:after="0" w:line="240" w:lineRule="auto"/>
        <w:contextualSpacing/>
        <w:jc w:val="both"/>
        <w:rPr>
          <w:rFonts w:ascii="Verdana" w:hAnsi="Verdana" w:cs="Tahoma"/>
          <w:sz w:val="24"/>
          <w:szCs w:val="24"/>
        </w:rPr>
      </w:pPr>
    </w:p>
    <w:p w:rsidR="00482241" w:rsidRPr="00A173A7" w:rsidRDefault="00482241" w:rsidP="00905C49">
      <w:pPr>
        <w:numPr>
          <w:ilvl w:val="0"/>
          <w:numId w:val="76"/>
        </w:numPr>
        <w:spacing w:after="0" w:line="240" w:lineRule="auto"/>
        <w:ind w:left="567" w:hanging="283"/>
        <w:jc w:val="both"/>
        <w:rPr>
          <w:rFonts w:ascii="Verdana" w:hAnsi="Verdana" w:cs="Tahoma"/>
          <w:i/>
          <w:sz w:val="24"/>
          <w:szCs w:val="24"/>
        </w:rPr>
      </w:pPr>
      <w:r w:rsidRPr="00A173A7">
        <w:rPr>
          <w:rFonts w:ascii="Verdana" w:hAnsi="Verdana" w:cs="Tahoma"/>
          <w:i/>
          <w:sz w:val="24"/>
          <w:szCs w:val="24"/>
        </w:rPr>
        <w:t>De resaltar en especial que por primera vez en el país, y también como pionero en la comunidad internacional, el Gobierno Nacional inició el proceso de reparación integral a víctimas de desplazamiento forzado interno, mediante el reconocimiento de indemnización por vía administrativa en dinero, adicional e independiente al sistema de subsidios estatales.</w:t>
      </w:r>
    </w:p>
    <w:p w:rsidR="00482241" w:rsidRPr="00A173A7" w:rsidRDefault="00482241" w:rsidP="00A173A7">
      <w:pPr>
        <w:spacing w:after="0" w:line="240" w:lineRule="auto"/>
        <w:ind w:left="567"/>
        <w:jc w:val="both"/>
        <w:rPr>
          <w:rFonts w:ascii="Verdana" w:hAnsi="Verdana" w:cs="Tahoma"/>
          <w:i/>
          <w:sz w:val="24"/>
          <w:szCs w:val="24"/>
        </w:rPr>
      </w:pPr>
    </w:p>
    <w:p w:rsidR="00482241" w:rsidRPr="00A173A7" w:rsidRDefault="00482241" w:rsidP="00905C49">
      <w:pPr>
        <w:numPr>
          <w:ilvl w:val="0"/>
          <w:numId w:val="76"/>
        </w:numPr>
        <w:spacing w:after="0" w:line="240" w:lineRule="auto"/>
        <w:ind w:left="567" w:hanging="283"/>
        <w:jc w:val="both"/>
        <w:rPr>
          <w:rFonts w:ascii="Verdana" w:hAnsi="Verdana" w:cs="Tahoma"/>
          <w:i/>
          <w:sz w:val="24"/>
          <w:szCs w:val="24"/>
        </w:rPr>
      </w:pPr>
      <w:r w:rsidRPr="00A173A7">
        <w:rPr>
          <w:rFonts w:ascii="Verdana" w:hAnsi="Verdana" w:cs="Tahoma"/>
          <w:i/>
          <w:sz w:val="24"/>
          <w:szCs w:val="24"/>
        </w:rPr>
        <w:t>En el proceso de reparación, se ha reconocido con el mensaje estatal de dignificación a ciento noventa y ocho mil seiscientas noventa y tres mil 198.693 víctimas, de quienes 75.291 la recibieron en el año 2014.</w:t>
      </w:r>
    </w:p>
    <w:p w:rsidR="00482241" w:rsidRPr="00A173A7" w:rsidRDefault="00482241" w:rsidP="00A173A7">
      <w:pPr>
        <w:spacing w:after="0" w:line="240" w:lineRule="auto"/>
        <w:ind w:left="567"/>
        <w:jc w:val="both"/>
        <w:rPr>
          <w:rFonts w:ascii="Verdana" w:hAnsi="Verdana" w:cs="Tahoma"/>
          <w:i/>
          <w:sz w:val="24"/>
          <w:szCs w:val="24"/>
        </w:rPr>
      </w:pPr>
    </w:p>
    <w:p w:rsidR="00482241" w:rsidRPr="00A173A7" w:rsidRDefault="00482241" w:rsidP="00905C49">
      <w:pPr>
        <w:numPr>
          <w:ilvl w:val="0"/>
          <w:numId w:val="76"/>
        </w:numPr>
        <w:spacing w:after="0" w:line="240" w:lineRule="auto"/>
        <w:ind w:left="567" w:hanging="283"/>
        <w:jc w:val="both"/>
        <w:rPr>
          <w:rFonts w:ascii="Verdana" w:hAnsi="Verdana" w:cs="Tahoma"/>
          <w:i/>
          <w:sz w:val="24"/>
          <w:szCs w:val="24"/>
        </w:rPr>
      </w:pPr>
      <w:r w:rsidRPr="00A173A7">
        <w:rPr>
          <w:rFonts w:ascii="Verdana" w:hAnsi="Verdana" w:cs="Tahoma"/>
          <w:i/>
          <w:sz w:val="24"/>
          <w:szCs w:val="24"/>
        </w:rPr>
        <w:t>Como medidas de satisfacción, se han realizado 77 actos simbólicos de entrega de cartas de dignificación, distribuidos a nivel nacional en los que se realizaron diferentes actividades a través de representaciones simbólicas, como el arte y la cultura, donde las víctimas pudieron expresar sus emociones, duelos y expectativas frente a la construcción conjunta del proceso de reparación.</w:t>
      </w:r>
    </w:p>
    <w:p w:rsidR="00482241" w:rsidRPr="00A173A7" w:rsidRDefault="00482241" w:rsidP="00A173A7">
      <w:pPr>
        <w:spacing w:after="0" w:line="240" w:lineRule="auto"/>
        <w:ind w:left="567"/>
        <w:jc w:val="both"/>
        <w:rPr>
          <w:rFonts w:ascii="Verdana" w:hAnsi="Verdana" w:cs="Tahoma"/>
          <w:i/>
          <w:sz w:val="24"/>
          <w:szCs w:val="24"/>
        </w:rPr>
      </w:pPr>
    </w:p>
    <w:p w:rsidR="00482241" w:rsidRPr="00A173A7" w:rsidRDefault="00482241" w:rsidP="00905C49">
      <w:pPr>
        <w:numPr>
          <w:ilvl w:val="0"/>
          <w:numId w:val="76"/>
        </w:numPr>
        <w:spacing w:after="0" w:line="240" w:lineRule="auto"/>
        <w:ind w:left="567" w:hanging="283"/>
        <w:jc w:val="both"/>
        <w:rPr>
          <w:rFonts w:ascii="Verdana" w:hAnsi="Verdana" w:cs="Tahoma"/>
          <w:i/>
          <w:sz w:val="24"/>
          <w:szCs w:val="24"/>
        </w:rPr>
      </w:pPr>
      <w:r w:rsidRPr="00A173A7">
        <w:rPr>
          <w:rFonts w:ascii="Verdana" w:hAnsi="Verdana" w:cs="Tahoma"/>
          <w:i/>
          <w:sz w:val="24"/>
          <w:szCs w:val="24"/>
        </w:rPr>
        <w:t xml:space="preserve">La medida de exención del servicio militar y desincorporación, que corresponde misionalmente al Ministerio de Defensa Nacional con la colaboración de la Unidad para las Víctimas, benefició a 20.000 víctimas quienes han podido resolver su situación militar en el marco de la medida de exención en 2014. </w:t>
      </w:r>
    </w:p>
    <w:p w:rsidR="00482241" w:rsidRPr="00A173A7" w:rsidRDefault="00482241" w:rsidP="00A173A7">
      <w:pPr>
        <w:spacing w:after="0" w:line="240" w:lineRule="auto"/>
        <w:ind w:left="567"/>
        <w:jc w:val="both"/>
        <w:rPr>
          <w:rFonts w:ascii="Verdana" w:hAnsi="Verdana" w:cs="Tahoma"/>
          <w:i/>
          <w:sz w:val="24"/>
          <w:szCs w:val="24"/>
        </w:rPr>
      </w:pPr>
    </w:p>
    <w:p w:rsidR="00482241" w:rsidRPr="00A173A7" w:rsidRDefault="00482241" w:rsidP="00905C49">
      <w:pPr>
        <w:numPr>
          <w:ilvl w:val="0"/>
          <w:numId w:val="76"/>
        </w:numPr>
        <w:spacing w:after="0" w:line="240" w:lineRule="auto"/>
        <w:ind w:left="567" w:hanging="283"/>
        <w:jc w:val="both"/>
        <w:rPr>
          <w:rFonts w:ascii="Verdana" w:hAnsi="Verdana" w:cs="Tahoma"/>
          <w:i/>
          <w:sz w:val="24"/>
          <w:szCs w:val="24"/>
        </w:rPr>
      </w:pPr>
      <w:r w:rsidRPr="00A173A7">
        <w:rPr>
          <w:rFonts w:ascii="Verdana" w:hAnsi="Verdana" w:cs="Tahoma"/>
          <w:i/>
          <w:sz w:val="24"/>
          <w:szCs w:val="24"/>
        </w:rPr>
        <w:lastRenderedPageBreak/>
        <w:t>Han participado en la Estrategia de Recuperación Emocional 57.189 víctimas, 31.835 participaron durante 2014, lo cual ha posibilitado las víctimas elaboren sus duelos y mitiguen su dolor.</w:t>
      </w:r>
    </w:p>
    <w:p w:rsidR="00482241" w:rsidRPr="00A173A7" w:rsidRDefault="00482241" w:rsidP="00A173A7">
      <w:pPr>
        <w:spacing w:after="0" w:line="240" w:lineRule="auto"/>
        <w:ind w:left="567"/>
        <w:jc w:val="both"/>
        <w:rPr>
          <w:rFonts w:ascii="Verdana" w:hAnsi="Verdana" w:cs="Tahoma"/>
          <w:i/>
          <w:sz w:val="24"/>
          <w:szCs w:val="24"/>
        </w:rPr>
      </w:pPr>
    </w:p>
    <w:p w:rsidR="00482241" w:rsidRPr="00A173A7" w:rsidRDefault="00482241" w:rsidP="00905C49">
      <w:pPr>
        <w:numPr>
          <w:ilvl w:val="0"/>
          <w:numId w:val="76"/>
        </w:numPr>
        <w:spacing w:after="0" w:line="240" w:lineRule="auto"/>
        <w:ind w:left="567" w:hanging="283"/>
        <w:jc w:val="both"/>
        <w:rPr>
          <w:rFonts w:ascii="Verdana" w:hAnsi="Verdana" w:cs="Tahoma"/>
          <w:i/>
          <w:sz w:val="24"/>
          <w:szCs w:val="24"/>
        </w:rPr>
      </w:pPr>
      <w:r w:rsidRPr="00A173A7">
        <w:rPr>
          <w:rFonts w:ascii="Verdana" w:hAnsi="Verdana" w:cs="Tahoma"/>
          <w:i/>
          <w:sz w:val="24"/>
          <w:szCs w:val="24"/>
        </w:rPr>
        <w:t>En el Programa de Acompañamiento, que busca orientar a la víctima en el proceso de reparación integral y las medidas de reparación, en la adecuada inversión de los recursos que recibe del Estado, partiendo de la premisa que los recursos monetarios otorgados a las víctimas a título de indemnización constituyen instrumentos de inclusión social que permiten la reconstrucción de sus proyectos de vida, presenta importantes resultados: 67.966 manifestaron estar interesados en participar en el  Programa en 2014. Adicionalmente, el Programa formo en educación financiera (54.669 en 2014); ciento sesenta y tres mil ciento sesenta y ocho (163.168) orientadas en la adecuada inversión de recursos (64.999 en 2014); y ocho mil setecientos diecisiete (8.717) con asesoría específica en alguna línea de inversión (7.282 en 2014).</w:t>
      </w:r>
    </w:p>
    <w:p w:rsidR="00482241" w:rsidRPr="00A173A7" w:rsidRDefault="00482241" w:rsidP="00A173A7">
      <w:pPr>
        <w:spacing w:after="0" w:line="240" w:lineRule="auto"/>
        <w:ind w:left="567"/>
        <w:jc w:val="both"/>
        <w:rPr>
          <w:rFonts w:ascii="Verdana" w:hAnsi="Verdana" w:cs="Tahoma"/>
          <w:i/>
          <w:sz w:val="24"/>
          <w:szCs w:val="24"/>
        </w:rPr>
      </w:pPr>
    </w:p>
    <w:p w:rsidR="00482241" w:rsidRPr="00A173A7" w:rsidRDefault="00482241" w:rsidP="00905C49">
      <w:pPr>
        <w:numPr>
          <w:ilvl w:val="0"/>
          <w:numId w:val="76"/>
        </w:numPr>
        <w:spacing w:after="0" w:line="240" w:lineRule="auto"/>
        <w:ind w:left="567" w:hanging="283"/>
        <w:jc w:val="both"/>
        <w:rPr>
          <w:rFonts w:ascii="Verdana" w:hAnsi="Verdana" w:cs="Tahoma"/>
          <w:i/>
          <w:sz w:val="24"/>
          <w:szCs w:val="24"/>
        </w:rPr>
      </w:pPr>
      <w:r w:rsidRPr="00A173A7">
        <w:rPr>
          <w:rFonts w:ascii="Verdana" w:hAnsi="Verdana" w:cs="Tahoma"/>
          <w:i/>
          <w:sz w:val="24"/>
          <w:szCs w:val="24"/>
        </w:rPr>
        <w:t>Dentro del Programa de Acompañamiento se han desarrollado 80 procesos de socialización que beneficiaron a tres mil seiscientas setenta y ocho (3.678) víctimas.</w:t>
      </w:r>
    </w:p>
    <w:p w:rsidR="00482241" w:rsidRPr="00A173A7" w:rsidRDefault="00482241" w:rsidP="00A173A7">
      <w:pPr>
        <w:spacing w:after="0" w:line="240" w:lineRule="auto"/>
        <w:ind w:left="567"/>
        <w:jc w:val="both"/>
        <w:rPr>
          <w:rFonts w:ascii="Verdana" w:hAnsi="Verdana" w:cs="Tahoma"/>
          <w:i/>
          <w:sz w:val="24"/>
          <w:szCs w:val="24"/>
        </w:rPr>
      </w:pPr>
    </w:p>
    <w:p w:rsidR="00482241" w:rsidRPr="00A173A7" w:rsidRDefault="00482241" w:rsidP="00905C49">
      <w:pPr>
        <w:numPr>
          <w:ilvl w:val="0"/>
          <w:numId w:val="76"/>
        </w:numPr>
        <w:spacing w:after="0" w:line="240" w:lineRule="auto"/>
        <w:ind w:left="567" w:hanging="283"/>
        <w:jc w:val="both"/>
        <w:rPr>
          <w:rFonts w:ascii="Verdana" w:hAnsi="Verdana" w:cs="Tahoma"/>
          <w:i/>
          <w:sz w:val="24"/>
          <w:szCs w:val="24"/>
        </w:rPr>
      </w:pPr>
      <w:r w:rsidRPr="00A173A7">
        <w:rPr>
          <w:rFonts w:ascii="Verdana" w:hAnsi="Verdana" w:cs="Tahoma"/>
          <w:i/>
          <w:sz w:val="24"/>
          <w:szCs w:val="24"/>
        </w:rPr>
        <w:t xml:space="preserve">Durante la implementación de la Ley de Víctimas y Restitución de Tierras, las medidas de satisfacción han tenido un rol central para el conocimiento de los hechos, la des-estigmatización de las víctimas y la difusión de la memoria histórica, por tanto éstas se han constituido como un elemento transversal fundamental para el alcance de la reparación integral. Son de suma importancia en los procesos de reparación, buscando, no sólo la dignificación de las víctimas y su enaltecimiento, sino también la transformación de los símbolos e imaginarios individuales y colectivos que han justificado la violencia y los hechos victimizantes. En este sentido, la Unidad para las Víctimas también ha desarrollado acciones de carácter pedagógico y simbólico, dirigidos a la sociedad, como: </w:t>
      </w:r>
    </w:p>
    <w:p w:rsidR="00482241" w:rsidRPr="00A173A7" w:rsidRDefault="00482241" w:rsidP="00A173A7">
      <w:pPr>
        <w:spacing w:after="0" w:line="240" w:lineRule="auto"/>
        <w:ind w:left="567"/>
        <w:jc w:val="both"/>
        <w:rPr>
          <w:rFonts w:ascii="Verdana" w:hAnsi="Verdana" w:cs="Tahoma"/>
          <w:i/>
          <w:sz w:val="24"/>
          <w:szCs w:val="24"/>
        </w:rPr>
      </w:pPr>
    </w:p>
    <w:p w:rsidR="00482241" w:rsidRDefault="00482241" w:rsidP="00905C49">
      <w:pPr>
        <w:numPr>
          <w:ilvl w:val="0"/>
          <w:numId w:val="76"/>
        </w:numPr>
        <w:spacing w:after="0" w:line="240" w:lineRule="auto"/>
        <w:ind w:left="567" w:hanging="283"/>
        <w:jc w:val="both"/>
        <w:rPr>
          <w:rFonts w:ascii="Verdana" w:hAnsi="Verdana" w:cs="Tahoma"/>
          <w:i/>
          <w:sz w:val="24"/>
          <w:szCs w:val="24"/>
        </w:rPr>
      </w:pPr>
      <w:r w:rsidRPr="00A173A7">
        <w:rPr>
          <w:rFonts w:ascii="Verdana" w:hAnsi="Verdana" w:cs="Tahoma"/>
          <w:i/>
          <w:sz w:val="24"/>
          <w:szCs w:val="24"/>
        </w:rPr>
        <w:t xml:space="preserve">La conmemoración del Día Nacional de la Memoria y Solidaridad con las Víctimas (9 de abril) en los años 2013 y 2014 en la cual se realizan por parte del Estado eventos de memoria y reconocimiento de los hechos que han victimizado a los colombianos. </w:t>
      </w:r>
    </w:p>
    <w:p w:rsidR="00A173A7" w:rsidRPr="00A173A7" w:rsidRDefault="00A173A7" w:rsidP="00A173A7">
      <w:pPr>
        <w:spacing w:after="0" w:line="240" w:lineRule="auto"/>
        <w:ind w:left="567"/>
        <w:jc w:val="both"/>
        <w:rPr>
          <w:rFonts w:ascii="Verdana" w:hAnsi="Verdana" w:cs="Tahoma"/>
          <w:i/>
          <w:sz w:val="24"/>
          <w:szCs w:val="24"/>
        </w:rPr>
      </w:pPr>
    </w:p>
    <w:p w:rsidR="00482241" w:rsidRPr="00A173A7" w:rsidRDefault="00482241" w:rsidP="00905C49">
      <w:pPr>
        <w:numPr>
          <w:ilvl w:val="0"/>
          <w:numId w:val="76"/>
        </w:numPr>
        <w:spacing w:after="0" w:line="240" w:lineRule="auto"/>
        <w:ind w:left="567" w:hanging="283"/>
        <w:jc w:val="both"/>
        <w:rPr>
          <w:rFonts w:ascii="Verdana" w:hAnsi="Verdana" w:cs="Tahoma"/>
          <w:i/>
          <w:sz w:val="24"/>
          <w:szCs w:val="24"/>
        </w:rPr>
      </w:pPr>
      <w:r w:rsidRPr="00A173A7">
        <w:rPr>
          <w:rFonts w:ascii="Verdana" w:hAnsi="Verdana" w:cs="Tahoma"/>
          <w:i/>
          <w:sz w:val="24"/>
          <w:szCs w:val="24"/>
        </w:rPr>
        <w:lastRenderedPageBreak/>
        <w:t xml:space="preserve">Durante estos dos años se llevaron a cabo más de 140 acciones de conmemoración en diferentes regiones del país, que permitieron a través de expresiones artísticas y culturales rendir homenaje a las víctimas, su reconocimiento y dignificación. </w:t>
      </w:r>
    </w:p>
    <w:p w:rsidR="00245DBC" w:rsidRPr="00A173A7" w:rsidRDefault="00245DBC" w:rsidP="00A173A7">
      <w:pPr>
        <w:spacing w:after="0" w:line="240" w:lineRule="auto"/>
        <w:ind w:left="567"/>
        <w:jc w:val="both"/>
        <w:rPr>
          <w:rFonts w:ascii="Verdana" w:hAnsi="Verdana" w:cs="Tahoma"/>
          <w:i/>
          <w:sz w:val="24"/>
          <w:szCs w:val="24"/>
        </w:rPr>
      </w:pPr>
    </w:p>
    <w:p w:rsidR="00482241" w:rsidRPr="00A173A7" w:rsidRDefault="00482241" w:rsidP="00905C49">
      <w:pPr>
        <w:numPr>
          <w:ilvl w:val="0"/>
          <w:numId w:val="76"/>
        </w:numPr>
        <w:spacing w:after="0" w:line="240" w:lineRule="auto"/>
        <w:ind w:left="567" w:hanging="283"/>
        <w:jc w:val="both"/>
        <w:rPr>
          <w:rFonts w:ascii="Verdana" w:hAnsi="Verdana" w:cs="Tahoma"/>
          <w:i/>
          <w:sz w:val="24"/>
          <w:szCs w:val="24"/>
        </w:rPr>
      </w:pPr>
      <w:r w:rsidRPr="00A173A7">
        <w:rPr>
          <w:rFonts w:ascii="Verdana" w:hAnsi="Verdana" w:cs="Tahoma"/>
          <w:i/>
          <w:sz w:val="24"/>
          <w:szCs w:val="24"/>
        </w:rPr>
        <w:t xml:space="preserve">En el marco de la Semana de Memoria y Solidaridad con las Víctimas, se realizaron jornadas de atención, orientación e información en ocho Consulados, para las víctimas que se encuentran en el exterior (Costa Rica, Panamá, Ecuador, Chile, Estados Unidos, España). </w:t>
      </w:r>
    </w:p>
    <w:p w:rsidR="00245DBC" w:rsidRPr="00A173A7" w:rsidRDefault="00245DBC" w:rsidP="00A173A7">
      <w:pPr>
        <w:spacing w:after="0" w:line="240" w:lineRule="auto"/>
        <w:ind w:left="567"/>
        <w:jc w:val="both"/>
        <w:rPr>
          <w:rFonts w:ascii="Verdana" w:hAnsi="Verdana" w:cs="Tahoma"/>
          <w:i/>
          <w:sz w:val="24"/>
          <w:szCs w:val="24"/>
        </w:rPr>
      </w:pPr>
    </w:p>
    <w:p w:rsidR="00482241" w:rsidRPr="00A173A7" w:rsidRDefault="00482241" w:rsidP="00905C49">
      <w:pPr>
        <w:numPr>
          <w:ilvl w:val="0"/>
          <w:numId w:val="76"/>
        </w:numPr>
        <w:spacing w:after="0" w:line="240" w:lineRule="auto"/>
        <w:ind w:left="567" w:hanging="283"/>
        <w:jc w:val="both"/>
        <w:rPr>
          <w:rFonts w:ascii="Verdana" w:hAnsi="Verdana" w:cs="Tahoma"/>
          <w:i/>
          <w:sz w:val="24"/>
          <w:szCs w:val="24"/>
        </w:rPr>
      </w:pPr>
      <w:r w:rsidRPr="00A173A7">
        <w:rPr>
          <w:rFonts w:ascii="Verdana" w:hAnsi="Verdana" w:cs="Tahoma"/>
          <w:i/>
          <w:sz w:val="24"/>
          <w:szCs w:val="24"/>
        </w:rPr>
        <w:t xml:space="preserve">La conmemoración del Día Internacional del Detenido Desaparecido (30 de agosto). En el ámbito de esta conmemoración en el año 2013 se realizaron 30 actos simbólicos a nivel nacional y 14 en el año 2014. </w:t>
      </w:r>
    </w:p>
    <w:p w:rsidR="00245DBC" w:rsidRPr="00A173A7" w:rsidRDefault="00245DBC" w:rsidP="00A173A7">
      <w:pPr>
        <w:spacing w:after="0" w:line="240" w:lineRule="auto"/>
        <w:ind w:left="567"/>
        <w:jc w:val="both"/>
        <w:rPr>
          <w:rFonts w:ascii="Verdana" w:hAnsi="Verdana" w:cs="Tahoma"/>
          <w:i/>
          <w:sz w:val="24"/>
          <w:szCs w:val="24"/>
        </w:rPr>
      </w:pPr>
    </w:p>
    <w:p w:rsidR="00482241" w:rsidRPr="00A173A7" w:rsidRDefault="00482241" w:rsidP="00905C49">
      <w:pPr>
        <w:numPr>
          <w:ilvl w:val="0"/>
          <w:numId w:val="76"/>
        </w:numPr>
        <w:spacing w:after="0" w:line="240" w:lineRule="auto"/>
        <w:ind w:left="567" w:hanging="283"/>
        <w:jc w:val="both"/>
        <w:rPr>
          <w:rFonts w:ascii="Verdana" w:hAnsi="Verdana" w:cs="Tahoma"/>
          <w:i/>
          <w:sz w:val="24"/>
          <w:szCs w:val="24"/>
        </w:rPr>
      </w:pPr>
      <w:r w:rsidRPr="00A173A7">
        <w:rPr>
          <w:rFonts w:ascii="Verdana" w:hAnsi="Verdana" w:cs="Tahoma"/>
          <w:i/>
          <w:sz w:val="24"/>
          <w:szCs w:val="24"/>
        </w:rPr>
        <w:t xml:space="preserve">Del mismo modo, la Unidad para las Victimas, se ha sumado a conmemorar el Día Internacional de los Derechos Humanos (10 de diciembre), a través del apoyo a proyectos, encuentros y actos simbólicos en diferentes partes del país. </w:t>
      </w:r>
    </w:p>
    <w:p w:rsidR="00245DBC" w:rsidRPr="00A173A7" w:rsidRDefault="00245DBC" w:rsidP="00A173A7">
      <w:pPr>
        <w:spacing w:after="0" w:line="240" w:lineRule="auto"/>
        <w:ind w:left="567"/>
        <w:jc w:val="both"/>
        <w:rPr>
          <w:rFonts w:ascii="Verdana" w:hAnsi="Verdana" w:cs="Tahoma"/>
          <w:i/>
          <w:sz w:val="24"/>
          <w:szCs w:val="24"/>
        </w:rPr>
      </w:pPr>
    </w:p>
    <w:p w:rsidR="00482241" w:rsidRDefault="00482241" w:rsidP="00905C49">
      <w:pPr>
        <w:numPr>
          <w:ilvl w:val="0"/>
          <w:numId w:val="76"/>
        </w:numPr>
        <w:spacing w:after="0" w:line="240" w:lineRule="auto"/>
        <w:ind w:left="567" w:hanging="283"/>
        <w:jc w:val="both"/>
        <w:rPr>
          <w:rFonts w:ascii="Verdana" w:hAnsi="Verdana" w:cs="Tahoma"/>
          <w:i/>
          <w:sz w:val="24"/>
          <w:szCs w:val="24"/>
        </w:rPr>
      </w:pPr>
      <w:r w:rsidRPr="00A173A7">
        <w:rPr>
          <w:rFonts w:ascii="Verdana" w:hAnsi="Verdana" w:cs="Tahoma"/>
          <w:i/>
          <w:sz w:val="24"/>
          <w:szCs w:val="24"/>
        </w:rPr>
        <w:t>Se destacan acciones específicas con los grupos de enfoque diferencial como la conmemoración del Día de la Toma de Conciencia contra el Maltrato a las Personas Mayores y el Día de las Personas Mayores, Jornadas de Reparación Integral a Mujeres Víctimas de Violencia Sexual y la preparación de las Jornadas especiales para víctimas con discapacidad en el marco del Día Internacional de las Personas con Discapacidad. Igualmente, el apoyo a los talleres con familiares de Víctimas de desaparición forzada y el trabajo que se viene adelantando con Ministerio de Defensa Nacional y Fuerza Pública para la identificación y posterior implementación de medidas de satisfacción a víctimas miembros de la Fuerza Pública.</w:t>
      </w:r>
    </w:p>
    <w:p w:rsidR="00A173A7" w:rsidRPr="00A173A7" w:rsidRDefault="00A173A7" w:rsidP="00A173A7">
      <w:pPr>
        <w:spacing w:after="0" w:line="240" w:lineRule="auto"/>
        <w:jc w:val="both"/>
        <w:rPr>
          <w:rFonts w:ascii="Verdana" w:hAnsi="Verdana" w:cs="Tahoma"/>
          <w:i/>
          <w:sz w:val="24"/>
          <w:szCs w:val="24"/>
        </w:rPr>
      </w:pPr>
    </w:p>
    <w:p w:rsidR="00482241" w:rsidRPr="00A173A7" w:rsidRDefault="00482241" w:rsidP="00905C49">
      <w:pPr>
        <w:numPr>
          <w:ilvl w:val="0"/>
          <w:numId w:val="76"/>
        </w:numPr>
        <w:spacing w:after="0" w:line="240" w:lineRule="auto"/>
        <w:ind w:left="567" w:hanging="283"/>
        <w:jc w:val="both"/>
        <w:rPr>
          <w:rFonts w:ascii="Verdana" w:hAnsi="Verdana" w:cs="Tahoma"/>
          <w:i/>
          <w:sz w:val="24"/>
          <w:szCs w:val="24"/>
        </w:rPr>
      </w:pPr>
      <w:r w:rsidRPr="00A173A7">
        <w:rPr>
          <w:rFonts w:ascii="Verdana" w:hAnsi="Verdana" w:cs="Tahoma"/>
          <w:i/>
          <w:sz w:val="24"/>
          <w:szCs w:val="24"/>
        </w:rPr>
        <w:t>También fue fundamental la intervención de la Unidad para las Víctimas en el establecimiento del Día Nacional por la Dignidad de las Mujeres Víctimas de Violencia Sexual en el marco del conflicto armado interno, declarado como tal por el Sr. Presidente de la República mediante Decreto 1480 de 2014.</w:t>
      </w:r>
    </w:p>
    <w:p w:rsidR="00482241" w:rsidRPr="00A173A7" w:rsidRDefault="00482241" w:rsidP="00A173A7">
      <w:pPr>
        <w:spacing w:after="0" w:line="240" w:lineRule="auto"/>
        <w:ind w:left="567"/>
        <w:jc w:val="both"/>
        <w:rPr>
          <w:rFonts w:ascii="Verdana" w:hAnsi="Verdana" w:cs="Tahoma"/>
          <w:i/>
          <w:sz w:val="24"/>
          <w:szCs w:val="24"/>
        </w:rPr>
      </w:pPr>
    </w:p>
    <w:p w:rsidR="00482241" w:rsidRPr="00144A07" w:rsidRDefault="00482241" w:rsidP="00245DBC">
      <w:pPr>
        <w:tabs>
          <w:tab w:val="left" w:pos="426"/>
        </w:tabs>
        <w:suppressAutoHyphens/>
        <w:spacing w:after="0" w:line="240" w:lineRule="auto"/>
        <w:ind w:left="426"/>
        <w:contextualSpacing/>
        <w:jc w:val="both"/>
        <w:rPr>
          <w:rFonts w:ascii="Verdana" w:hAnsi="Verdana" w:cs="Tahoma"/>
          <w:sz w:val="24"/>
          <w:szCs w:val="24"/>
        </w:rPr>
      </w:pPr>
      <w:r w:rsidRPr="00144A07">
        <w:rPr>
          <w:rFonts w:ascii="Verdana" w:hAnsi="Verdana" w:cs="Tahoma"/>
          <w:sz w:val="24"/>
          <w:szCs w:val="24"/>
        </w:rPr>
        <w:t xml:space="preserve">En materia de restitución, la Unidad ha realizado un importante esfuerzo para fortalecer el retorno y la reubicación, pues entiende que esta es una de las </w:t>
      </w:r>
      <w:r w:rsidRPr="00144A07">
        <w:rPr>
          <w:rFonts w:ascii="Verdana" w:hAnsi="Verdana" w:cs="Tahoma"/>
          <w:sz w:val="24"/>
          <w:szCs w:val="24"/>
        </w:rPr>
        <w:lastRenderedPageBreak/>
        <w:t>medidas de restitución por excelencia. Frente a lo cual se presentan los siguientes resultados:</w:t>
      </w:r>
    </w:p>
    <w:p w:rsidR="00482241" w:rsidRPr="00144A07" w:rsidRDefault="00482241" w:rsidP="00482241">
      <w:pPr>
        <w:suppressAutoHyphens/>
        <w:spacing w:after="0" w:line="240" w:lineRule="auto"/>
        <w:ind w:left="709" w:hanging="283"/>
        <w:contextualSpacing/>
        <w:jc w:val="both"/>
        <w:rPr>
          <w:rFonts w:ascii="Verdana" w:hAnsi="Verdana" w:cs="Tahoma"/>
          <w:sz w:val="24"/>
          <w:szCs w:val="24"/>
        </w:rPr>
      </w:pPr>
    </w:p>
    <w:p w:rsidR="00482241" w:rsidRPr="00A173A7" w:rsidRDefault="00482241" w:rsidP="00905C49">
      <w:pPr>
        <w:numPr>
          <w:ilvl w:val="0"/>
          <w:numId w:val="76"/>
        </w:numPr>
        <w:spacing w:after="0" w:line="240" w:lineRule="auto"/>
        <w:ind w:left="567" w:hanging="283"/>
        <w:jc w:val="both"/>
        <w:rPr>
          <w:rFonts w:ascii="Verdana" w:hAnsi="Verdana" w:cs="Tahoma"/>
          <w:i/>
          <w:sz w:val="24"/>
          <w:szCs w:val="24"/>
        </w:rPr>
      </w:pPr>
      <w:r w:rsidRPr="00A173A7">
        <w:rPr>
          <w:rFonts w:ascii="Verdana" w:hAnsi="Verdana" w:cs="Tahoma"/>
          <w:i/>
          <w:sz w:val="24"/>
          <w:szCs w:val="24"/>
        </w:rPr>
        <w:t>Se fortaleció el retorno y la reubicación como medida de reparación dentro de la ruta individual. No sólo se consolidó la ruta para recibir y gestionar solicitudes individuales o familiares de retorno, sino que a partir de la ruta implementada con los pasados lineamientos del comité ejecutivo, logramos llegar a 20 mil hogares más en 2014.</w:t>
      </w:r>
    </w:p>
    <w:p w:rsidR="00482241" w:rsidRPr="00A173A7" w:rsidRDefault="00482241" w:rsidP="00A173A7">
      <w:pPr>
        <w:spacing w:after="0" w:line="240" w:lineRule="auto"/>
        <w:ind w:left="567"/>
        <w:jc w:val="both"/>
        <w:rPr>
          <w:rFonts w:ascii="Verdana" w:hAnsi="Verdana" w:cs="Tahoma"/>
          <w:i/>
          <w:sz w:val="24"/>
          <w:szCs w:val="24"/>
        </w:rPr>
      </w:pPr>
    </w:p>
    <w:p w:rsidR="00482241" w:rsidRPr="00A173A7" w:rsidRDefault="00482241" w:rsidP="00905C49">
      <w:pPr>
        <w:numPr>
          <w:ilvl w:val="0"/>
          <w:numId w:val="76"/>
        </w:numPr>
        <w:spacing w:after="0" w:line="240" w:lineRule="auto"/>
        <w:ind w:left="567" w:hanging="283"/>
        <w:jc w:val="both"/>
        <w:rPr>
          <w:rFonts w:ascii="Verdana" w:hAnsi="Verdana" w:cs="Tahoma"/>
          <w:i/>
          <w:sz w:val="24"/>
          <w:szCs w:val="24"/>
        </w:rPr>
      </w:pPr>
      <w:r w:rsidRPr="00A173A7">
        <w:rPr>
          <w:rFonts w:ascii="Verdana" w:hAnsi="Verdana" w:cs="Tahoma"/>
          <w:i/>
          <w:sz w:val="24"/>
          <w:szCs w:val="24"/>
        </w:rPr>
        <w:t>Se han realizado importantes mejoras a la política pública para garantizar los derechos de la población desplazada que desean retornar o reubicarse, a través del ajuste del Protocolo de Retornos y Reubicaciones, en el cual se incluyó, entre otros avances los siguientes: (i) Una ruta clara para las víctimas en el exterior; (ii) Adopción del concepto de seguridad para continuar con el proceso con las víctimas, las autoridades étnicas - cuando es del caso-, la autoridad militar, la autoridad civil y con participación de organismos de control en el Comité Territorial de Justicia Transicional, (iii) Realizar conjuntamente con el proceso de retorno, estrategias de acompañamiento psicosocial y de reconstrucción del tejido social.</w:t>
      </w:r>
    </w:p>
    <w:p w:rsidR="00482241" w:rsidRPr="00A173A7" w:rsidRDefault="00482241" w:rsidP="00A173A7">
      <w:pPr>
        <w:spacing w:after="0" w:line="240" w:lineRule="auto"/>
        <w:ind w:left="567"/>
        <w:jc w:val="both"/>
        <w:rPr>
          <w:rFonts w:ascii="Verdana" w:hAnsi="Verdana" w:cs="Tahoma"/>
          <w:i/>
          <w:sz w:val="24"/>
          <w:szCs w:val="24"/>
        </w:rPr>
      </w:pPr>
    </w:p>
    <w:p w:rsidR="00482241" w:rsidRPr="00A173A7" w:rsidRDefault="00482241" w:rsidP="00905C49">
      <w:pPr>
        <w:numPr>
          <w:ilvl w:val="0"/>
          <w:numId w:val="76"/>
        </w:numPr>
        <w:spacing w:after="0" w:line="240" w:lineRule="auto"/>
        <w:ind w:left="567" w:hanging="283"/>
        <w:jc w:val="both"/>
        <w:rPr>
          <w:rFonts w:ascii="Verdana" w:hAnsi="Verdana" w:cs="Tahoma"/>
          <w:i/>
          <w:sz w:val="24"/>
          <w:szCs w:val="24"/>
        </w:rPr>
      </w:pPr>
      <w:r w:rsidRPr="00A173A7">
        <w:rPr>
          <w:rFonts w:ascii="Verdana" w:hAnsi="Verdana" w:cs="Tahoma"/>
          <w:i/>
          <w:sz w:val="24"/>
          <w:szCs w:val="24"/>
        </w:rPr>
        <w:t>Más de 70.000 hogares acompañados en sus procesos de retornos o reubicación, bajo los principios de voluntariedad, seguridad y dignidad. Entre estos hogares se cuentan los incluidos por las entidades territoriales con sus planes de Retornos y Reubicación, los procesos masivos acompañados por la Unidad para las Víctimas, hogares vinculados al Programa Familias en su Tierra para procesos rurales y solicitudes individuales/familiares que han contado con el apoyo de la Unidad para las Víctimas.</w:t>
      </w:r>
    </w:p>
    <w:p w:rsidR="00482241" w:rsidRPr="00A173A7" w:rsidRDefault="00482241" w:rsidP="00A173A7">
      <w:pPr>
        <w:spacing w:after="0" w:line="240" w:lineRule="auto"/>
        <w:ind w:left="567"/>
        <w:jc w:val="both"/>
        <w:rPr>
          <w:rFonts w:ascii="Verdana" w:hAnsi="Verdana" w:cs="Tahoma"/>
          <w:i/>
          <w:sz w:val="24"/>
          <w:szCs w:val="24"/>
        </w:rPr>
      </w:pPr>
    </w:p>
    <w:p w:rsidR="00482241" w:rsidRPr="00A173A7" w:rsidRDefault="00482241" w:rsidP="00905C49">
      <w:pPr>
        <w:numPr>
          <w:ilvl w:val="0"/>
          <w:numId w:val="76"/>
        </w:numPr>
        <w:spacing w:after="0" w:line="240" w:lineRule="auto"/>
        <w:ind w:left="567" w:hanging="283"/>
        <w:jc w:val="both"/>
        <w:rPr>
          <w:rFonts w:ascii="Verdana" w:hAnsi="Verdana" w:cs="Tahoma"/>
          <w:i/>
          <w:sz w:val="24"/>
          <w:szCs w:val="24"/>
        </w:rPr>
      </w:pPr>
      <w:r w:rsidRPr="00A173A7">
        <w:rPr>
          <w:rFonts w:ascii="Verdana" w:hAnsi="Verdana" w:cs="Tahoma"/>
          <w:i/>
          <w:sz w:val="24"/>
          <w:szCs w:val="24"/>
        </w:rPr>
        <w:t>En 2014 se consolidó la ruta de la reubicación en sitio de recepción para aquellas familias que encuentran en las ciudades la oportunidad de reconstruir sus vidas. Esto se hace de manera articulada a la política de vivienda prioritaria, donde el 75% de los beneficiarios son población víctima de desplazamiento, y otras ofertas de arraigo recibidas con el objetivo de propender no sólo por el acompañamiento social y comunitario de los hogares, sino también por su estabilización socioeconómica en lógica de reparación.</w:t>
      </w:r>
    </w:p>
    <w:p w:rsidR="00482241" w:rsidRPr="00A173A7" w:rsidRDefault="00482241" w:rsidP="00A173A7">
      <w:pPr>
        <w:spacing w:after="0" w:line="240" w:lineRule="auto"/>
        <w:ind w:left="567"/>
        <w:jc w:val="both"/>
        <w:rPr>
          <w:rFonts w:ascii="Verdana" w:hAnsi="Verdana" w:cs="Tahoma"/>
          <w:i/>
          <w:sz w:val="24"/>
          <w:szCs w:val="24"/>
        </w:rPr>
      </w:pPr>
    </w:p>
    <w:p w:rsidR="00482241" w:rsidRPr="00A173A7" w:rsidRDefault="00482241" w:rsidP="00905C49">
      <w:pPr>
        <w:numPr>
          <w:ilvl w:val="0"/>
          <w:numId w:val="76"/>
        </w:numPr>
        <w:spacing w:after="0" w:line="240" w:lineRule="auto"/>
        <w:ind w:left="567" w:hanging="283"/>
        <w:jc w:val="both"/>
        <w:rPr>
          <w:rFonts w:ascii="Verdana" w:hAnsi="Verdana" w:cs="Tahoma"/>
          <w:i/>
          <w:sz w:val="24"/>
          <w:szCs w:val="24"/>
        </w:rPr>
      </w:pPr>
      <w:r w:rsidRPr="00A173A7">
        <w:rPr>
          <w:rFonts w:ascii="Verdana" w:hAnsi="Verdana" w:cs="Tahoma"/>
          <w:i/>
          <w:sz w:val="24"/>
          <w:szCs w:val="24"/>
        </w:rPr>
        <w:lastRenderedPageBreak/>
        <w:t xml:space="preserve">Se han aunado esfuerzos con las entidades territoriales para atender familias retornadas o reubicadas, en busca de su estabilización socioeconómica, optimizando la inversión de recursos a través de la corresponsabilidad. Así se han realizado convenios con las alcaldías y gobernaciones por más de 18 mil millones de pesos. Además en proyectos dinamizadores se han presentado desde el territorio (267) proyectos para procesos de retorno y reubicación, por poco más de 30 mil millones de pesos, donde la Unidad aporta el 70% de los recursos y lo restante lo aportan las entidades territoriales, la comunidad u otros actores estratégicos, como la cooperación internacional. De estos proyectos, en 2014 se viabilizaron 112. Los proyectos en marcha alcanzan los 48 mil millones de pesos en aportes de la Unidad y han logrado dinamizar procesos territoriales de retorno o reubicación, a partir de necesidades colectivas que impactan en la sostenibilidad y arraigo de la comunidad. </w:t>
      </w:r>
    </w:p>
    <w:p w:rsidR="00482241" w:rsidRPr="00A173A7" w:rsidRDefault="00482241" w:rsidP="00A173A7">
      <w:pPr>
        <w:spacing w:after="0" w:line="240" w:lineRule="auto"/>
        <w:ind w:left="567"/>
        <w:jc w:val="both"/>
        <w:rPr>
          <w:rFonts w:ascii="Verdana" w:hAnsi="Verdana" w:cs="Tahoma"/>
          <w:i/>
          <w:sz w:val="24"/>
          <w:szCs w:val="24"/>
        </w:rPr>
      </w:pPr>
    </w:p>
    <w:p w:rsidR="00482241" w:rsidRPr="00A173A7" w:rsidRDefault="00482241" w:rsidP="00905C49">
      <w:pPr>
        <w:numPr>
          <w:ilvl w:val="0"/>
          <w:numId w:val="76"/>
        </w:numPr>
        <w:spacing w:after="0" w:line="240" w:lineRule="auto"/>
        <w:ind w:left="567" w:hanging="283"/>
        <w:jc w:val="both"/>
        <w:rPr>
          <w:rFonts w:ascii="Verdana" w:hAnsi="Verdana" w:cs="Tahoma"/>
          <w:i/>
          <w:sz w:val="24"/>
          <w:szCs w:val="24"/>
        </w:rPr>
      </w:pPr>
      <w:r w:rsidRPr="00A173A7">
        <w:rPr>
          <w:rFonts w:ascii="Verdana" w:hAnsi="Verdana" w:cs="Tahoma"/>
          <w:i/>
          <w:sz w:val="24"/>
          <w:szCs w:val="24"/>
        </w:rPr>
        <w:t>Se ha continuado con el retorno y reubicación de grupos étnicos. Se destaca el caso de los Embera Katio y Embera Chami, que se encontraban en desplazamiento en la ciudad de Bogotá. Con el apoyo de las diferentes entidades del SNARIV hemos logrado que 372 hogares hayan podido regresar y permanecer en sus comunidades en Risaralda y Chocó. Ahora con ellos se continuará trabajando el proceso de reparación colectiva. También se ha avanzado en otros casos como los Wayuu, Wiwa, Nukak, Jiw, Wounaan, Itnú, Makaguan, Skuani y Paez, en el marco de procesos de reparación colectiva.</w:t>
      </w:r>
    </w:p>
    <w:p w:rsidR="00482241" w:rsidRPr="00A173A7" w:rsidRDefault="00482241" w:rsidP="00A173A7">
      <w:pPr>
        <w:spacing w:after="0" w:line="240" w:lineRule="auto"/>
        <w:ind w:left="567"/>
        <w:jc w:val="both"/>
        <w:rPr>
          <w:rFonts w:ascii="Verdana" w:hAnsi="Verdana" w:cs="Tahoma"/>
          <w:i/>
          <w:sz w:val="24"/>
          <w:szCs w:val="24"/>
        </w:rPr>
      </w:pPr>
    </w:p>
    <w:p w:rsidR="00482241" w:rsidRPr="00144A07" w:rsidRDefault="00482241" w:rsidP="00905C49">
      <w:pPr>
        <w:numPr>
          <w:ilvl w:val="0"/>
          <w:numId w:val="76"/>
        </w:numPr>
        <w:spacing w:after="0" w:line="240" w:lineRule="auto"/>
        <w:ind w:left="567" w:hanging="283"/>
        <w:jc w:val="both"/>
        <w:rPr>
          <w:rFonts w:ascii="Verdana" w:hAnsi="Verdana" w:cs="Tahoma"/>
          <w:sz w:val="24"/>
          <w:szCs w:val="24"/>
        </w:rPr>
      </w:pPr>
      <w:r w:rsidRPr="00A173A7">
        <w:rPr>
          <w:rFonts w:ascii="Verdana" w:hAnsi="Verdana" w:cs="Tahoma"/>
          <w:i/>
          <w:sz w:val="24"/>
          <w:szCs w:val="24"/>
        </w:rPr>
        <w:t>En el marco procesos de restitución de tierras, se ha generado una estrategia que permite evaluar la condición, voluntariedad y estado de las familias beneficiadas en los fallos de restitución de tierras, para promover la integralidad de las medidas de reparación. A la fecha se tiene que existen 1232 familias con sentencia de restitución de tierras, de las cuales se ha logrado contactar con la ruta de reparación a 981 hogares (avance del 80%). Esta muestra nos ha permitido establecer que más de la mitad de los hogares restituidos han establecido su voluntariedad de retornar</w:t>
      </w:r>
      <w:r w:rsidRPr="00144A07">
        <w:rPr>
          <w:rFonts w:ascii="Verdana" w:hAnsi="Verdana" w:cs="Tahoma"/>
          <w:sz w:val="24"/>
          <w:szCs w:val="24"/>
        </w:rPr>
        <w:t xml:space="preserve"> o reubicar a partir de la explotación económica del predio restituido.</w:t>
      </w:r>
    </w:p>
    <w:p w:rsidR="00482241" w:rsidRPr="00144A07" w:rsidRDefault="00482241" w:rsidP="00482241">
      <w:pPr>
        <w:suppressAutoHyphens/>
        <w:spacing w:after="0" w:line="240" w:lineRule="auto"/>
        <w:contextualSpacing/>
        <w:jc w:val="both"/>
        <w:rPr>
          <w:rFonts w:ascii="Verdana" w:hAnsi="Verdana" w:cs="Tahoma"/>
          <w:sz w:val="24"/>
          <w:szCs w:val="24"/>
        </w:rPr>
      </w:pPr>
    </w:p>
    <w:p w:rsidR="00482241" w:rsidRPr="00144A07" w:rsidRDefault="00482241" w:rsidP="00482241">
      <w:pPr>
        <w:suppressAutoHyphens/>
        <w:spacing w:after="0" w:line="240" w:lineRule="auto"/>
        <w:contextualSpacing/>
        <w:jc w:val="both"/>
        <w:rPr>
          <w:rFonts w:ascii="Verdana" w:hAnsi="Verdana" w:cs="Tahoma"/>
          <w:sz w:val="24"/>
          <w:szCs w:val="24"/>
        </w:rPr>
      </w:pPr>
      <w:r w:rsidRPr="00144A07">
        <w:rPr>
          <w:rFonts w:ascii="Verdana" w:hAnsi="Verdana" w:cs="Tahoma"/>
          <w:sz w:val="24"/>
          <w:szCs w:val="24"/>
        </w:rPr>
        <w:t xml:space="preserve">Adicionalmente, en el componente de restitución, la Unidad para las Víctimas ha apoyado las actividades de la política de restitución de tierras y territorio por medio de diferentes acciones, entre las cuales se destaca: i) Expedición de un bloque normativo que facilita la articulación de las Unidades de Restitución de Tierras y para las Víctimas, en donde se destaca, un protocolo de articulación, las </w:t>
      </w:r>
      <w:r w:rsidRPr="00144A07">
        <w:rPr>
          <w:rFonts w:ascii="Verdana" w:hAnsi="Verdana" w:cs="Tahoma"/>
          <w:sz w:val="24"/>
          <w:szCs w:val="24"/>
        </w:rPr>
        <w:lastRenderedPageBreak/>
        <w:t xml:space="preserve">resoluciones 223/2013, 1006/2013 y el decreto 1377 de 2014; estos últimos permiten la priorización, de víctimas reconocidas en las sentencias de restitución de tierras, para atención y reparación administrativa. ii) La formulación de una estrategia de intervención conjunta entre las dos Unidades, en algunos territorios focalizados para restitución. Y iii) Intercambio de bienes entre los Fondos de las dos entidades. </w:t>
      </w:r>
    </w:p>
    <w:p w:rsidR="00482241" w:rsidRPr="00144A07" w:rsidRDefault="00482241" w:rsidP="00482241">
      <w:pPr>
        <w:suppressAutoHyphens/>
        <w:spacing w:after="0" w:line="240" w:lineRule="auto"/>
        <w:contextualSpacing/>
        <w:jc w:val="both"/>
        <w:rPr>
          <w:rFonts w:ascii="Verdana" w:hAnsi="Verdana" w:cs="Tahoma"/>
          <w:sz w:val="24"/>
          <w:szCs w:val="24"/>
        </w:rPr>
      </w:pPr>
      <w:r w:rsidRPr="00144A07">
        <w:rPr>
          <w:rFonts w:ascii="Verdana" w:hAnsi="Verdana" w:cs="Tahoma"/>
          <w:sz w:val="24"/>
          <w:szCs w:val="24"/>
        </w:rPr>
        <w:t xml:space="preserve"> </w:t>
      </w:r>
    </w:p>
    <w:p w:rsidR="00482241" w:rsidRPr="00144A07" w:rsidRDefault="00482241" w:rsidP="00482241">
      <w:pPr>
        <w:suppressAutoHyphens/>
        <w:spacing w:after="0" w:line="240" w:lineRule="auto"/>
        <w:contextualSpacing/>
        <w:jc w:val="both"/>
        <w:rPr>
          <w:rFonts w:ascii="Verdana" w:hAnsi="Verdana" w:cs="Tahoma"/>
          <w:sz w:val="24"/>
          <w:szCs w:val="24"/>
        </w:rPr>
      </w:pPr>
      <w:r w:rsidRPr="00144A07">
        <w:rPr>
          <w:rFonts w:ascii="Verdana" w:hAnsi="Verdana" w:cs="Tahoma"/>
          <w:sz w:val="24"/>
          <w:szCs w:val="24"/>
        </w:rPr>
        <w:t>El conflicto armado en Colombia ha generado incalculables daños a nivel colectivo, los cuales se evidencian, entre otros aspectos, en una profunda afectación de activos sociales tan fundamentales como la confianza, la solidaridad, el respeto y reconocimiento de la diversidad étnica y cultural, y la legitimidad de las instituciones del Estado.  El proceso de reparación colectiva, el cual, se define y construye con cada uno de los Sujetos de Reparación Colectiva, viene haciendo contribuciones significativas a la reconstrucción del tejido social fracturado por la guerra. Dicha contribución se evidencia en la reconstrucción de las relaciones de confianza que se han fortalecido entre las comunidades y entre estas con el Estado. La naturaleza del proceso que lidera la Unidad para las Víctimas ha permitido construir una relación diferente con las comunidades, pues todo el esfuerzo ha estado centrado en garantizar la legitimidad del proceso, a partir de la participación efectiva y real, en la medida en que son los mismos actores los que identifican los daños colectivos en ellos generados, y definen las acciones con las cuales el Estado debe repararlos. Este proceso, ha logrado los siguientes avances concretos:</w:t>
      </w:r>
    </w:p>
    <w:p w:rsidR="00482241" w:rsidRPr="00144A07" w:rsidRDefault="00482241" w:rsidP="00482241">
      <w:pPr>
        <w:suppressAutoHyphens/>
        <w:spacing w:after="0" w:line="240" w:lineRule="auto"/>
        <w:contextualSpacing/>
        <w:jc w:val="both"/>
        <w:rPr>
          <w:rFonts w:ascii="Verdana" w:hAnsi="Verdana" w:cs="Tahoma"/>
          <w:sz w:val="24"/>
          <w:szCs w:val="24"/>
        </w:rPr>
      </w:pPr>
    </w:p>
    <w:p w:rsidR="00482241" w:rsidRPr="00A173A7" w:rsidRDefault="00482241" w:rsidP="00905C49">
      <w:pPr>
        <w:numPr>
          <w:ilvl w:val="0"/>
          <w:numId w:val="7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 xml:space="preserve">303 comunidades (incluidas comunidades étnicas), organizaciones y grupos se encuentran en alguna fase de la ruta de reparación colectiva. </w:t>
      </w:r>
    </w:p>
    <w:p w:rsidR="00482241" w:rsidRPr="00A173A7" w:rsidRDefault="00482241" w:rsidP="00245D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709" w:hanging="283"/>
        <w:contextualSpacing/>
        <w:jc w:val="both"/>
        <w:rPr>
          <w:rFonts w:ascii="Verdana" w:hAnsi="Verdana" w:cs="Tahoma"/>
          <w:i/>
          <w:sz w:val="24"/>
          <w:szCs w:val="24"/>
        </w:rPr>
      </w:pPr>
    </w:p>
    <w:p w:rsidR="00482241" w:rsidRPr="00A173A7" w:rsidRDefault="00482241" w:rsidP="00905C49">
      <w:pPr>
        <w:numPr>
          <w:ilvl w:val="0"/>
          <w:numId w:val="7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3071 líderes y lideresas que hoy integran los Comités de Impulso y grupos de apoyo y acompañamiento que se han conformado en aproximadamente 150 comunidades, grupos y organizaciones, quienes representan a los diferentes actores poblacionales que integran el proceso de Reparación Colectiva.</w:t>
      </w:r>
    </w:p>
    <w:p w:rsidR="00482241" w:rsidRPr="00A173A7" w:rsidRDefault="00482241" w:rsidP="00245D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709" w:hanging="283"/>
        <w:contextualSpacing/>
        <w:jc w:val="both"/>
        <w:rPr>
          <w:rFonts w:ascii="Verdana" w:hAnsi="Verdana" w:cs="Tahoma"/>
          <w:i/>
          <w:sz w:val="24"/>
          <w:szCs w:val="24"/>
        </w:rPr>
      </w:pPr>
    </w:p>
    <w:p w:rsidR="00482241" w:rsidRPr="00A173A7" w:rsidRDefault="00482241" w:rsidP="00905C49">
      <w:pPr>
        <w:numPr>
          <w:ilvl w:val="0"/>
          <w:numId w:val="7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 xml:space="preserve">Se han desarrollado alrededor de 80 medidas de satisfacción con los sujetos de reparación colectiva donde han participado alrededor de 9.700 personas.  </w:t>
      </w:r>
    </w:p>
    <w:p w:rsidR="00482241" w:rsidRPr="00A173A7" w:rsidRDefault="00482241" w:rsidP="00245D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709" w:hanging="283"/>
        <w:contextualSpacing/>
        <w:jc w:val="both"/>
        <w:rPr>
          <w:rFonts w:ascii="Verdana" w:hAnsi="Verdana" w:cs="Tahoma"/>
          <w:i/>
          <w:sz w:val="24"/>
          <w:szCs w:val="24"/>
        </w:rPr>
      </w:pPr>
    </w:p>
    <w:p w:rsidR="00482241" w:rsidRPr="00A173A7" w:rsidRDefault="00482241" w:rsidP="00905C49">
      <w:pPr>
        <w:numPr>
          <w:ilvl w:val="0"/>
          <w:numId w:val="7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163 comunidades se encuentran en la estrategia de reconstrucción del tejido social “Entrelazando.</w:t>
      </w:r>
    </w:p>
    <w:p w:rsidR="00482241" w:rsidRPr="00A173A7" w:rsidRDefault="00482241" w:rsidP="00482241">
      <w:pPr>
        <w:suppressAutoHyphens/>
        <w:spacing w:after="0" w:line="240" w:lineRule="auto"/>
        <w:contextualSpacing/>
        <w:jc w:val="both"/>
        <w:rPr>
          <w:rFonts w:ascii="Verdana" w:hAnsi="Verdana" w:cs="Tahoma"/>
          <w:i/>
          <w:sz w:val="24"/>
          <w:szCs w:val="24"/>
        </w:rPr>
      </w:pPr>
    </w:p>
    <w:p w:rsidR="00482241" w:rsidRPr="00144A07" w:rsidRDefault="00482241" w:rsidP="00482241">
      <w:pPr>
        <w:suppressAutoHyphens/>
        <w:spacing w:after="0" w:line="240" w:lineRule="auto"/>
        <w:contextualSpacing/>
        <w:jc w:val="both"/>
        <w:rPr>
          <w:rFonts w:ascii="Verdana" w:hAnsi="Verdana" w:cs="Tahoma"/>
          <w:sz w:val="24"/>
          <w:szCs w:val="24"/>
        </w:rPr>
      </w:pPr>
      <w:r w:rsidRPr="00144A07">
        <w:rPr>
          <w:rFonts w:ascii="Verdana" w:hAnsi="Verdana" w:cs="Tahoma"/>
          <w:sz w:val="24"/>
          <w:szCs w:val="24"/>
        </w:rPr>
        <w:t>El Programa promueve y aboga por la construcción, pues las medidas de reparación colectiva propenden por la reconciliación, en el entendido que la reconciliación se concibe como un proceso encaminado a construir un clima de convivencia pacífica basado en el afianzamiento de nuevas relaciones de confianza entre los ciudadanos y las instituciones del Estado y entre ellos mismos, así como la profundización de la democracia, con la participación de las instituciones y la sociedad civil.</w:t>
      </w:r>
    </w:p>
    <w:p w:rsidR="00482241" w:rsidRPr="00144A07" w:rsidRDefault="00482241" w:rsidP="00482241">
      <w:pPr>
        <w:suppressAutoHyphens/>
        <w:spacing w:after="0" w:line="240" w:lineRule="auto"/>
        <w:contextualSpacing/>
        <w:jc w:val="both"/>
        <w:rPr>
          <w:rFonts w:ascii="Verdana" w:hAnsi="Verdana" w:cs="Tahoma"/>
          <w:sz w:val="24"/>
          <w:szCs w:val="24"/>
        </w:rPr>
      </w:pPr>
    </w:p>
    <w:p w:rsidR="00482241" w:rsidRPr="00144A07" w:rsidRDefault="00482241" w:rsidP="004822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contextualSpacing/>
        <w:jc w:val="both"/>
        <w:rPr>
          <w:rFonts w:ascii="Verdana" w:hAnsi="Verdana" w:cs="Tahoma"/>
          <w:b/>
          <w:color w:val="365F91" w:themeColor="accent1" w:themeShade="BF"/>
          <w:sz w:val="24"/>
          <w:szCs w:val="24"/>
        </w:rPr>
      </w:pPr>
      <w:r w:rsidRPr="00144A07">
        <w:rPr>
          <w:rFonts w:ascii="Verdana" w:hAnsi="Verdana" w:cs="Tahoma"/>
          <w:b/>
          <w:color w:val="365F91" w:themeColor="accent1" w:themeShade="BF"/>
          <w:sz w:val="24"/>
          <w:szCs w:val="24"/>
        </w:rPr>
        <w:t>Retos 2015.</w:t>
      </w:r>
    </w:p>
    <w:p w:rsidR="00482241" w:rsidRPr="00144A07" w:rsidRDefault="00482241" w:rsidP="004822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contextualSpacing/>
        <w:jc w:val="both"/>
        <w:rPr>
          <w:rFonts w:ascii="Verdana" w:hAnsi="Verdana" w:cs="Tahoma"/>
          <w:b/>
          <w:sz w:val="24"/>
          <w:szCs w:val="24"/>
        </w:rPr>
      </w:pPr>
      <w:r w:rsidRPr="00144A07">
        <w:rPr>
          <w:rFonts w:ascii="Verdana" w:hAnsi="Verdana" w:cs="Tahoma"/>
          <w:b/>
          <w:sz w:val="24"/>
          <w:szCs w:val="24"/>
        </w:rPr>
        <w:t xml:space="preserve"> </w:t>
      </w:r>
    </w:p>
    <w:p w:rsidR="00482241" w:rsidRPr="00144A07" w:rsidRDefault="00482241" w:rsidP="00482241">
      <w:pPr>
        <w:suppressAutoHyphens/>
        <w:spacing w:after="0" w:line="240" w:lineRule="auto"/>
        <w:contextualSpacing/>
        <w:jc w:val="both"/>
        <w:rPr>
          <w:rFonts w:ascii="Verdana" w:hAnsi="Verdana" w:cs="Tahoma"/>
          <w:sz w:val="24"/>
          <w:szCs w:val="24"/>
        </w:rPr>
      </w:pPr>
      <w:r w:rsidRPr="00144A07">
        <w:rPr>
          <w:rFonts w:ascii="Verdana" w:hAnsi="Verdana" w:cs="Tahoma"/>
          <w:sz w:val="24"/>
          <w:szCs w:val="24"/>
        </w:rPr>
        <w:t>A pesar de los importantes resultados que se han conseguido en estos años de implementación de la Ley de Víctimas y Restitución de Tierras, es necesario visibilizar algunos retos para lograr la integralidad de la reparación:</w:t>
      </w:r>
    </w:p>
    <w:p w:rsidR="00482241" w:rsidRPr="00144A07" w:rsidRDefault="00482241" w:rsidP="00482241">
      <w:pPr>
        <w:suppressAutoHyphens/>
        <w:spacing w:after="0" w:line="240" w:lineRule="auto"/>
        <w:contextualSpacing/>
        <w:jc w:val="both"/>
        <w:rPr>
          <w:rFonts w:ascii="Verdana" w:hAnsi="Verdana" w:cs="Tahoma"/>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 xml:space="preserve">Optimizar la articulación de la intervención de las diferentes entidades del Estado, y lograr su convergencia respecto a las víctimas individuales y colectivas. </w:t>
      </w:r>
    </w:p>
    <w:p w:rsidR="00482241" w:rsidRPr="00A173A7" w:rsidRDefault="00482241" w:rsidP="00245DBC">
      <w:pPr>
        <w:suppressAutoHyphens/>
        <w:spacing w:after="0" w:line="240" w:lineRule="auto"/>
        <w:ind w:left="709" w:hanging="283"/>
        <w:contextualSpacing/>
        <w:jc w:val="both"/>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 xml:space="preserve">Impulsar la implementación de la Ruta Única para la Atención, Asistencia y Reparación Integral a las Víctimas, con la que se busca una articulación de la Unidad para poder atender adecuadamente a cualquier víctima en los diferentes estados de su proceso. </w:t>
      </w:r>
    </w:p>
    <w:p w:rsidR="00482241" w:rsidRPr="00A173A7" w:rsidRDefault="00482241" w:rsidP="00245DBC">
      <w:pPr>
        <w:suppressAutoHyphens/>
        <w:spacing w:after="0" w:line="240" w:lineRule="auto"/>
        <w:ind w:left="709" w:hanging="283"/>
        <w:contextualSpacing/>
        <w:jc w:val="both"/>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Materializar la medida de indemnización a las víctimas de desplazamiento forzado, acorde con lo previsto en la sentencia SU-254 de 2013 y el Decreto 1377 de 2014, para lo cual se requeriría adicionar recursos que así lo permitan.</w:t>
      </w:r>
    </w:p>
    <w:p w:rsidR="00482241" w:rsidRPr="00A173A7" w:rsidRDefault="00482241" w:rsidP="00245DBC">
      <w:pPr>
        <w:suppressAutoHyphens/>
        <w:spacing w:after="0" w:line="240" w:lineRule="auto"/>
        <w:ind w:left="709" w:hanging="283"/>
        <w:contextualSpacing/>
        <w:jc w:val="both"/>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Lograr que las víctimas accedan a oportunidades reales de inversión que se adecúen a su nivel socio económico y al monto reconocido a título de indemnización, flexibilizando y ampliando la cobertura de los programas y servicios.</w:t>
      </w:r>
    </w:p>
    <w:p w:rsidR="00482241" w:rsidRPr="00A173A7" w:rsidRDefault="00482241" w:rsidP="00245DBC">
      <w:pPr>
        <w:suppressAutoHyphens/>
        <w:spacing w:after="0" w:line="240" w:lineRule="auto"/>
        <w:ind w:left="709" w:hanging="283"/>
        <w:contextualSpacing/>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Otorgar medidas de reparación en los diferentes componentes, a todas las víctimas que pasan por la ruta de reparación integral, dado que no siempre es posible hacerlo en razón a la gradualidad y/o progresividad.</w:t>
      </w:r>
    </w:p>
    <w:p w:rsidR="00482241" w:rsidRPr="00A173A7" w:rsidRDefault="00482241" w:rsidP="00245DBC">
      <w:pPr>
        <w:suppressAutoHyphens/>
        <w:spacing w:after="0" w:line="240" w:lineRule="auto"/>
        <w:ind w:left="709" w:hanging="283"/>
        <w:contextualSpacing/>
        <w:jc w:val="both"/>
        <w:rPr>
          <w:rFonts w:ascii="Verdana" w:hAnsi="Verdana" w:cs="Tahoma"/>
          <w:i/>
          <w:sz w:val="24"/>
          <w:szCs w:val="24"/>
        </w:rPr>
      </w:pPr>
    </w:p>
    <w:p w:rsidR="00482241" w:rsidRPr="00144A07" w:rsidRDefault="00482241" w:rsidP="00905C49">
      <w:pPr>
        <w:numPr>
          <w:ilvl w:val="0"/>
          <w:numId w:val="71"/>
        </w:numPr>
        <w:suppressAutoHyphens/>
        <w:spacing w:after="0" w:line="240" w:lineRule="auto"/>
        <w:ind w:left="709" w:hanging="283"/>
        <w:contextualSpacing/>
        <w:jc w:val="both"/>
        <w:rPr>
          <w:rFonts w:ascii="Verdana" w:hAnsi="Verdana" w:cs="Tahoma"/>
          <w:sz w:val="24"/>
          <w:szCs w:val="24"/>
        </w:rPr>
      </w:pPr>
      <w:r w:rsidRPr="00A173A7">
        <w:rPr>
          <w:rFonts w:ascii="Verdana" w:hAnsi="Verdana" w:cs="Tahoma"/>
          <w:i/>
          <w:sz w:val="24"/>
          <w:szCs w:val="24"/>
        </w:rPr>
        <w:lastRenderedPageBreak/>
        <w:t>Implementar la política de medición de la superación de la condición de vulnerablidad del desplazamiento forzado</w:t>
      </w:r>
      <w:r w:rsidRPr="00144A07">
        <w:rPr>
          <w:rFonts w:ascii="Verdana" w:hAnsi="Verdana" w:cs="Tahoma"/>
          <w:sz w:val="24"/>
          <w:szCs w:val="24"/>
        </w:rPr>
        <w:t xml:space="preserve">. </w:t>
      </w:r>
    </w:p>
    <w:p w:rsidR="00482241" w:rsidRPr="00144A07" w:rsidRDefault="00482241" w:rsidP="00482241">
      <w:pPr>
        <w:suppressAutoHyphens/>
        <w:spacing w:after="0" w:line="240" w:lineRule="auto"/>
        <w:contextualSpacing/>
        <w:rPr>
          <w:rFonts w:ascii="Verdana" w:hAnsi="Verdana" w:cs="Tahoma"/>
          <w:sz w:val="24"/>
          <w:szCs w:val="24"/>
        </w:rPr>
      </w:pPr>
    </w:p>
    <w:p w:rsidR="00482241" w:rsidRPr="00144A07" w:rsidRDefault="00482241" w:rsidP="00482241">
      <w:pPr>
        <w:suppressAutoHyphens/>
        <w:spacing w:after="0" w:line="240" w:lineRule="auto"/>
        <w:contextualSpacing/>
        <w:jc w:val="both"/>
        <w:rPr>
          <w:rFonts w:ascii="Verdana" w:hAnsi="Verdana" w:cs="Tahoma"/>
          <w:sz w:val="24"/>
          <w:szCs w:val="24"/>
        </w:rPr>
      </w:pPr>
      <w:r w:rsidRPr="00144A07">
        <w:rPr>
          <w:rFonts w:ascii="Verdana" w:hAnsi="Verdana" w:cs="Tahoma"/>
          <w:sz w:val="24"/>
          <w:szCs w:val="24"/>
        </w:rPr>
        <w:t>En materia de retornos y reubicaciones:</w:t>
      </w:r>
    </w:p>
    <w:p w:rsidR="00482241" w:rsidRPr="00144A07" w:rsidRDefault="00482241" w:rsidP="00482241">
      <w:pPr>
        <w:suppressAutoHyphens/>
        <w:spacing w:after="0" w:line="240" w:lineRule="auto"/>
        <w:contextualSpacing/>
        <w:rPr>
          <w:rFonts w:ascii="Verdana" w:hAnsi="Verdana" w:cs="Tahoma"/>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 xml:space="preserve">Consolidar la estabilización socioeconómica de los hogares y comunidades acompañadas, garantizando la complementariedad de la oferta de las diferentes instituciones del Estado. </w:t>
      </w:r>
    </w:p>
    <w:p w:rsidR="00482241" w:rsidRPr="00A173A7" w:rsidRDefault="00482241" w:rsidP="00245DBC">
      <w:pPr>
        <w:suppressAutoHyphens/>
        <w:spacing w:after="0" w:line="240" w:lineRule="auto"/>
        <w:ind w:left="709" w:hanging="283"/>
        <w:contextualSpacing/>
        <w:jc w:val="both"/>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Fortalecer la implementación del retorno y la reubicación dentro de la ruta de reparación individual, con el objetivo de llegar a más de 100 mil hogares en el próximo cuatrienio, con esquema especial de acompañamiento. Para lo cual es necesario fortalecer la articulación con entidades territoriales, continuar con el esquema que desarrolla el Programa Familias en su Tierra y ampliar otro esquema desde la unidad para escenarios urbanos.</w:t>
      </w:r>
    </w:p>
    <w:p w:rsidR="00482241" w:rsidRPr="00A173A7" w:rsidRDefault="00482241" w:rsidP="00245DBC">
      <w:pPr>
        <w:suppressAutoHyphens/>
        <w:spacing w:after="0" w:line="240" w:lineRule="auto"/>
        <w:ind w:left="709" w:hanging="283"/>
        <w:contextualSpacing/>
        <w:jc w:val="both"/>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Incrementar la implementación del proceso de atención de la población que voluntariamente desee reubicarse en sitios de recepción, fundamentalmente en ciudades capitales.</w:t>
      </w:r>
    </w:p>
    <w:p w:rsidR="00482241" w:rsidRPr="00A173A7" w:rsidRDefault="00482241" w:rsidP="00245DBC">
      <w:pPr>
        <w:suppressAutoHyphens/>
        <w:spacing w:after="0" w:line="240" w:lineRule="auto"/>
        <w:ind w:left="709" w:hanging="283"/>
        <w:contextualSpacing/>
        <w:jc w:val="both"/>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Brindar oferta a las víctimas en el exterior que deseen voluntariamente regresar al territorio colombiano.</w:t>
      </w:r>
    </w:p>
    <w:p w:rsidR="00482241" w:rsidRPr="00A173A7" w:rsidRDefault="00482241" w:rsidP="00245DBC">
      <w:pPr>
        <w:suppressAutoHyphens/>
        <w:spacing w:after="0" w:line="240" w:lineRule="auto"/>
        <w:ind w:hanging="283"/>
        <w:contextualSpacing/>
        <w:jc w:val="both"/>
        <w:rPr>
          <w:rFonts w:ascii="Verdana" w:hAnsi="Verdana" w:cs="Tahoma"/>
          <w:i/>
          <w:sz w:val="24"/>
          <w:szCs w:val="24"/>
        </w:rPr>
      </w:pPr>
    </w:p>
    <w:p w:rsidR="00482241" w:rsidRPr="00144A07" w:rsidRDefault="00482241" w:rsidP="00482241">
      <w:pPr>
        <w:suppressAutoHyphens/>
        <w:spacing w:after="0" w:line="240" w:lineRule="auto"/>
        <w:contextualSpacing/>
        <w:jc w:val="both"/>
        <w:rPr>
          <w:rFonts w:ascii="Verdana" w:hAnsi="Verdana" w:cs="Tahoma"/>
          <w:sz w:val="24"/>
          <w:szCs w:val="24"/>
        </w:rPr>
      </w:pPr>
      <w:r w:rsidRPr="00144A07">
        <w:rPr>
          <w:rFonts w:ascii="Verdana" w:hAnsi="Verdana" w:cs="Tahoma"/>
          <w:sz w:val="24"/>
          <w:szCs w:val="24"/>
        </w:rPr>
        <w:t>En cuanto al Programa de Reparación Colectiva</w:t>
      </w:r>
    </w:p>
    <w:p w:rsidR="00482241" w:rsidRPr="00144A07" w:rsidRDefault="00482241" w:rsidP="00482241">
      <w:pPr>
        <w:suppressAutoHyphens/>
        <w:spacing w:after="0" w:line="240" w:lineRule="auto"/>
        <w:contextualSpacing/>
        <w:jc w:val="both"/>
        <w:rPr>
          <w:rFonts w:ascii="Verdana" w:hAnsi="Verdana" w:cs="Tahoma"/>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 xml:space="preserve">Contar con los recursos necesarios para implementar la reparación colectiva, la cual es un   Por la complejidad del proceso de Reparación Colectiva, es imperativo que se avance en la revisión y ajuste de la meta establecida en el CONPES.  </w:t>
      </w:r>
    </w:p>
    <w:p w:rsidR="00482241" w:rsidRPr="00A173A7" w:rsidRDefault="00482241" w:rsidP="00245DBC">
      <w:pPr>
        <w:suppressAutoHyphens/>
        <w:spacing w:after="0" w:line="240" w:lineRule="auto"/>
        <w:ind w:left="709"/>
        <w:contextualSpacing/>
        <w:jc w:val="both"/>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 xml:space="preserve">Garantizar la activa participación de las entidades del SNARIV durante la implementación de la Ruta de Reparación Colectiva. </w:t>
      </w:r>
    </w:p>
    <w:p w:rsidR="00482241" w:rsidRPr="00A173A7" w:rsidRDefault="00482241" w:rsidP="00482241">
      <w:pPr>
        <w:suppressAutoHyphens/>
        <w:spacing w:after="0" w:line="240" w:lineRule="auto"/>
        <w:contextualSpacing/>
        <w:rPr>
          <w:rFonts w:ascii="Verdana" w:hAnsi="Verdana" w:cs="Tahoma"/>
          <w:i/>
          <w:sz w:val="24"/>
          <w:szCs w:val="24"/>
        </w:rPr>
      </w:pPr>
    </w:p>
    <w:p w:rsidR="00482241" w:rsidRPr="00144A07" w:rsidRDefault="00482241" w:rsidP="00905C49">
      <w:pPr>
        <w:numPr>
          <w:ilvl w:val="0"/>
          <w:numId w:val="71"/>
        </w:numPr>
        <w:suppressAutoHyphens/>
        <w:spacing w:after="0" w:line="240" w:lineRule="auto"/>
        <w:ind w:left="709" w:hanging="283"/>
        <w:contextualSpacing/>
        <w:jc w:val="both"/>
        <w:rPr>
          <w:rFonts w:ascii="Verdana" w:hAnsi="Verdana" w:cs="Tahoma"/>
          <w:b/>
          <w:sz w:val="24"/>
          <w:szCs w:val="24"/>
        </w:rPr>
      </w:pPr>
      <w:r w:rsidRPr="00A173A7">
        <w:rPr>
          <w:rFonts w:ascii="Verdana" w:hAnsi="Verdana" w:cs="Tahoma"/>
          <w:i/>
          <w:sz w:val="24"/>
          <w:szCs w:val="24"/>
        </w:rPr>
        <w:t>Que los Alcaldes, Gobernadores y entidades nacionales logren mayor eficacia y eficiencia en su gestión pública y aporten al proceso de reparación colectiva, en el entendido que esto permite invertir recursos para mejorar la calidad de vida de ciudadanos y ciudadanas, pero además contribuir contundentemente a la construcción de la paz y la reconciliación.</w:t>
      </w:r>
      <w:r w:rsidRPr="00144A07">
        <w:rPr>
          <w:rFonts w:ascii="Verdana" w:hAnsi="Verdana" w:cs="Tahoma"/>
          <w:b/>
          <w:sz w:val="24"/>
          <w:szCs w:val="24"/>
        </w:rPr>
        <w:br w:type="page"/>
      </w:r>
    </w:p>
    <w:p w:rsidR="00482241" w:rsidRPr="00144A07" w:rsidRDefault="00482241" w:rsidP="00482241">
      <w:pPr>
        <w:spacing w:after="0" w:line="240" w:lineRule="auto"/>
        <w:contextualSpacing/>
        <w:jc w:val="both"/>
        <w:rPr>
          <w:rFonts w:ascii="Verdana" w:hAnsi="Verdana" w:cs="Tahoma"/>
          <w:b/>
          <w:sz w:val="24"/>
          <w:szCs w:val="24"/>
        </w:rPr>
      </w:pPr>
    </w:p>
    <w:p w:rsidR="00482241" w:rsidRPr="00144A07" w:rsidRDefault="00482241" w:rsidP="00482241">
      <w:pPr>
        <w:spacing w:after="0" w:line="240" w:lineRule="auto"/>
        <w:contextualSpacing/>
        <w:jc w:val="both"/>
        <w:rPr>
          <w:rFonts w:ascii="Verdana" w:hAnsi="Verdana" w:cs="Tahoma"/>
          <w:b/>
          <w:bCs/>
          <w:color w:val="365F91" w:themeColor="accent1" w:themeShade="BF"/>
          <w:sz w:val="24"/>
          <w:szCs w:val="24"/>
        </w:rPr>
      </w:pPr>
      <w:r w:rsidRPr="00144A07">
        <w:rPr>
          <w:rFonts w:ascii="Verdana" w:hAnsi="Verdana" w:cs="Tahoma"/>
          <w:b/>
          <w:bCs/>
          <w:color w:val="365F91" w:themeColor="accent1" w:themeShade="BF"/>
          <w:sz w:val="24"/>
          <w:szCs w:val="24"/>
        </w:rPr>
        <w:t>Dirección de Gestión Interinstitucional</w:t>
      </w:r>
    </w:p>
    <w:p w:rsidR="00482241" w:rsidRPr="00144A07" w:rsidRDefault="00482241" w:rsidP="00482241">
      <w:pPr>
        <w:spacing w:after="0" w:line="240" w:lineRule="auto"/>
        <w:contextualSpacing/>
        <w:jc w:val="both"/>
        <w:rPr>
          <w:rFonts w:ascii="Verdana" w:hAnsi="Verdana" w:cs="Tahoma"/>
          <w:b/>
          <w:bCs/>
          <w:color w:val="365F91" w:themeColor="accent1" w:themeShade="BF"/>
          <w:sz w:val="24"/>
          <w:szCs w:val="24"/>
        </w:rPr>
      </w:pPr>
      <w:r w:rsidRPr="00144A07">
        <w:rPr>
          <w:rFonts w:ascii="Verdana" w:hAnsi="Verdana" w:cs="Tahoma"/>
          <w:b/>
          <w:bCs/>
          <w:color w:val="365F91" w:themeColor="accent1" w:themeShade="BF"/>
          <w:sz w:val="24"/>
          <w:szCs w:val="24"/>
        </w:rPr>
        <w:t>Logros 2014</w:t>
      </w:r>
    </w:p>
    <w:p w:rsidR="00482241" w:rsidRPr="00144A07" w:rsidRDefault="00482241" w:rsidP="00482241">
      <w:pPr>
        <w:spacing w:after="0" w:line="240" w:lineRule="auto"/>
        <w:contextualSpacing/>
        <w:jc w:val="both"/>
        <w:rPr>
          <w:rFonts w:ascii="Verdana" w:hAnsi="Verdana" w:cs="Tahoma"/>
          <w:b/>
          <w:bCs/>
          <w:color w:val="365F91" w:themeColor="accent1" w:themeShade="BF"/>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Articulación de las instancias de coordinación del nivel nacional y territorial, a través de lineamientos brindados por parte de los 10 Subcomités del SNARIV a los Comités de Justicia Transicional mediante la implementación de la estrategia Todos y todas somos Sistema y el desarrollo del Sistema de Seguimiento a la Política de Víctimas.</w:t>
      </w: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 xml:space="preserve">Regionalización indicativa de la inversión nacional por 3.7 billones de pesos en 77 proyectos, en la cual se ve un incremento de 26% entre 2014 y 2015, así como un aumento de los recursos regionalizados en un 43% entre 2014 y 2015. </w:t>
      </w: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Certificación de las entidades del nivel nacional en su contribución al goce efectivo de derechos.</w:t>
      </w: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 xml:space="preserve">Se cuenta con un sistema de seguimiento fortalecido y posicionado a nivel nacional, a través de cual se realizó la medición de la certificación territorial para el 100% de las entidades territoriales, se hicieron ajustes en el Formulario Único Territorial y se cuenta con una batería de indicadores de coordinación. A 2014, 97% de las entidades territoriales reportan en el RUSICST. </w:t>
      </w: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 xml:space="preserve">Consolidación del universo del seguimiento a la sentencia T-025 de 2004, para lo cual se consolidó el número y tipo de autos y de órdenes, el listado de falencias estructurales, así como las entidades responsables del cumplimiento y su superación. </w:t>
      </w: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Primeras jornadas de atención a víctimas en el exterior desde la expedición de la ley 1448 de 2011. Esto se dio con ocasión del 9 de abril (día de memoria y solidaridad con las víctimas), se hizo presencia en 8 consulados (Santiago de Chile en Chile; Quito, Lago Agrio y Santo Domingo de los Tsachilas en Ecuador; Ciudad de Panamá en Panamá; Son José en Costa Rica; Miami en Estados Unidos; Madrid en España).</w:t>
      </w: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Conformación de un Banco de Gestión de Proyectos.</w:t>
      </w:r>
    </w:p>
    <w:p w:rsidR="00482241" w:rsidRPr="00144A07" w:rsidRDefault="00482241" w:rsidP="00905C49">
      <w:pPr>
        <w:numPr>
          <w:ilvl w:val="0"/>
          <w:numId w:val="71"/>
        </w:numPr>
        <w:suppressAutoHyphens/>
        <w:spacing w:after="0" w:line="240" w:lineRule="auto"/>
        <w:ind w:left="709" w:hanging="283"/>
        <w:contextualSpacing/>
        <w:jc w:val="both"/>
        <w:rPr>
          <w:rFonts w:ascii="Verdana" w:hAnsi="Verdana" w:cs="Tahoma"/>
          <w:sz w:val="24"/>
          <w:szCs w:val="24"/>
        </w:rPr>
      </w:pPr>
      <w:r w:rsidRPr="00A173A7">
        <w:rPr>
          <w:rFonts w:ascii="Verdana" w:hAnsi="Verdana" w:cs="Tahoma"/>
          <w:i/>
          <w:sz w:val="24"/>
          <w:szCs w:val="24"/>
        </w:rPr>
        <w:t>Cofinanciación de 23 proyectos, en 143 municipios de 18 departamentos (Antioquia, Arauca, Atlántico, Caldas, Cauca, Córdoba, Cundinamarca, Guajira, Huila, Magdalena, Meta, Nariño, Norte de Santander, Putumayo, Quindío, Risaralda, Santander, Valle del Cauca); con una inversión de $56.562.493.861, en la cual el 66% fue cofinanciado por la Unidad y el 34% por parte de las entidades territoriales, beneficiando a 53.978 víctimas</w:t>
      </w:r>
      <w:r w:rsidRPr="00144A07">
        <w:rPr>
          <w:rFonts w:ascii="Verdana" w:hAnsi="Verdana" w:cs="Tahoma"/>
          <w:sz w:val="24"/>
          <w:szCs w:val="24"/>
        </w:rPr>
        <w:t>.</w:t>
      </w: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lastRenderedPageBreak/>
        <w:t xml:space="preserve">Financiación de proyectos presentados por las mesas de participación relacionados con iniciativas de promoción, visibilización, difusión y fortalecimiento de la participación efectiva. </w:t>
      </w:r>
    </w:p>
    <w:p w:rsidR="00482241" w:rsidRPr="00144A07" w:rsidRDefault="00482241" w:rsidP="00482241">
      <w:pPr>
        <w:pStyle w:val="Prrafodelista"/>
        <w:spacing w:after="0" w:line="240" w:lineRule="auto"/>
        <w:ind w:left="0"/>
        <w:jc w:val="both"/>
        <w:rPr>
          <w:rFonts w:ascii="Verdana" w:hAnsi="Verdana" w:cs="Tahoma"/>
          <w:sz w:val="24"/>
          <w:szCs w:val="24"/>
        </w:rPr>
      </w:pPr>
    </w:p>
    <w:p w:rsidR="00482241" w:rsidRPr="00144A07" w:rsidRDefault="00482241" w:rsidP="00482241">
      <w:pPr>
        <w:spacing w:after="0" w:line="240" w:lineRule="auto"/>
        <w:contextualSpacing/>
        <w:jc w:val="both"/>
        <w:rPr>
          <w:rFonts w:ascii="Verdana" w:hAnsi="Verdana" w:cs="Tahoma"/>
          <w:b/>
          <w:bCs/>
          <w:color w:val="365F91" w:themeColor="accent1" w:themeShade="BF"/>
          <w:sz w:val="24"/>
          <w:szCs w:val="24"/>
        </w:rPr>
      </w:pPr>
      <w:r w:rsidRPr="00144A07">
        <w:rPr>
          <w:rFonts w:ascii="Verdana" w:hAnsi="Verdana" w:cs="Tahoma"/>
          <w:b/>
          <w:bCs/>
          <w:color w:val="365F91" w:themeColor="accent1" w:themeShade="BF"/>
          <w:sz w:val="24"/>
          <w:szCs w:val="24"/>
        </w:rPr>
        <w:t xml:space="preserve">Retos 2015 </w:t>
      </w:r>
    </w:p>
    <w:p w:rsidR="00482241" w:rsidRPr="00144A07" w:rsidRDefault="00482241" w:rsidP="00482241">
      <w:pPr>
        <w:spacing w:after="0" w:line="240" w:lineRule="auto"/>
        <w:contextualSpacing/>
        <w:jc w:val="both"/>
        <w:rPr>
          <w:rFonts w:ascii="Verdana" w:hAnsi="Verdana" w:cs="Tahoma"/>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Implementación del Decreto 2569 de 2014, referente a la gestión de la oferta en función de la superación de la vulnerabilidad de las víctimas e incorporar lo dispuesto en dicho decreto en la metodología de certificación.</w:t>
      </w: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Posicionamiento y reporte del tablero PAT a nivel nacional, de manera que se pueda contar información territorial oportuna y de calidad.</w:t>
      </w: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Medición de la contribución de las entidades nacionales y territoriales en la vigencia 2014 al cumplimiento de la Política Pública de Atención, Asistencia y Reparación Integral a las Víctimas (certificaciones nacional y territorial).</w:t>
      </w: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Coordinar y formular una ruta diferencial para la asistencia, atención y reparación integral para las víctimas pertenecientes a sujetos colectivos étnicos y no étnicos que se encuentren en el exterior.</w:t>
      </w: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Consolidar el módulo de la herramienta tecnológica que permita hacer el monitoreo y seguimiento al cumplimiento de las órdenes emitidas por la Corte Constitucional y a la superación de las falencias identificadas por la Corte.  Lo anterior desarrollado en articulación con los proceso de planeación y de certificación de las entidades nacionales y territoriales del SNARIV.</w:t>
      </w: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 xml:space="preserve">Elección e instalación de las próximas mesas de participación efectiva, con lo cual se fomenta la alternancia en los liderazgos y la representatividad.  </w:t>
      </w:r>
    </w:p>
    <w:p w:rsidR="00482241" w:rsidRPr="00144A07" w:rsidRDefault="00482241" w:rsidP="00482241">
      <w:pPr>
        <w:pStyle w:val="Prrafodelista"/>
        <w:spacing w:after="0" w:line="240" w:lineRule="auto"/>
        <w:ind w:left="0"/>
        <w:jc w:val="both"/>
        <w:rPr>
          <w:rFonts w:ascii="Verdana" w:hAnsi="Verdana" w:cs="Tahoma"/>
          <w:sz w:val="24"/>
          <w:szCs w:val="24"/>
        </w:rPr>
      </w:pPr>
    </w:p>
    <w:p w:rsidR="00482241" w:rsidRPr="00144A07" w:rsidRDefault="00482241" w:rsidP="00482241">
      <w:pPr>
        <w:spacing w:after="0" w:line="240" w:lineRule="auto"/>
        <w:contextualSpacing/>
        <w:jc w:val="both"/>
        <w:rPr>
          <w:rFonts w:ascii="Verdana" w:hAnsi="Verdana" w:cs="Tahoma"/>
          <w:sz w:val="24"/>
          <w:szCs w:val="24"/>
        </w:rPr>
      </w:pPr>
    </w:p>
    <w:p w:rsidR="00482241" w:rsidRPr="00144A07" w:rsidRDefault="00482241" w:rsidP="00482241">
      <w:pPr>
        <w:spacing w:after="0" w:line="240" w:lineRule="auto"/>
        <w:contextualSpacing/>
        <w:jc w:val="both"/>
        <w:rPr>
          <w:rFonts w:ascii="Verdana" w:hAnsi="Verdana" w:cs="Tahoma"/>
          <w:b/>
          <w:bCs/>
          <w:color w:val="365F91" w:themeColor="accent1" w:themeShade="BF"/>
          <w:sz w:val="24"/>
          <w:szCs w:val="24"/>
        </w:rPr>
      </w:pPr>
      <w:r w:rsidRPr="00144A07">
        <w:rPr>
          <w:rFonts w:ascii="Verdana" w:hAnsi="Verdana" w:cs="Tahoma"/>
          <w:b/>
          <w:bCs/>
          <w:color w:val="365F91" w:themeColor="accent1" w:themeShade="BF"/>
          <w:sz w:val="24"/>
          <w:szCs w:val="24"/>
        </w:rPr>
        <w:t xml:space="preserve">Dirección de Gestión Social Humanitaria </w:t>
      </w:r>
    </w:p>
    <w:p w:rsidR="00482241" w:rsidRPr="00144A07" w:rsidRDefault="00482241" w:rsidP="00482241">
      <w:pPr>
        <w:spacing w:after="0" w:line="240" w:lineRule="auto"/>
        <w:contextualSpacing/>
        <w:jc w:val="both"/>
        <w:rPr>
          <w:rFonts w:ascii="Verdana" w:hAnsi="Verdana" w:cs="Tahoma"/>
          <w:b/>
          <w:bCs/>
          <w:color w:val="365F91" w:themeColor="accent1" w:themeShade="BF"/>
          <w:sz w:val="24"/>
          <w:szCs w:val="24"/>
        </w:rPr>
      </w:pPr>
      <w:r w:rsidRPr="00144A07">
        <w:rPr>
          <w:rFonts w:ascii="Verdana" w:hAnsi="Verdana" w:cs="Tahoma"/>
          <w:b/>
          <w:bCs/>
          <w:color w:val="365F91" w:themeColor="accent1" w:themeShade="BF"/>
          <w:sz w:val="24"/>
          <w:szCs w:val="24"/>
        </w:rPr>
        <w:t>Logros 2014</w:t>
      </w:r>
    </w:p>
    <w:p w:rsidR="00482241" w:rsidRPr="00144A07" w:rsidRDefault="00482241" w:rsidP="00482241">
      <w:pPr>
        <w:spacing w:after="0" w:line="240" w:lineRule="auto"/>
        <w:contextualSpacing/>
        <w:jc w:val="both"/>
        <w:rPr>
          <w:rFonts w:ascii="Verdana" w:hAnsi="Verdana" w:cs="Tahoma"/>
          <w:color w:val="365F91" w:themeColor="accent1" w:themeShade="BF"/>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La Unidad para las Víctimas acompañó durante el año la atención de 918 emergencias humanitarias derivadas del conflicto armado en todo el territorio nacional. Para lograr este acompañamiento se realizaron más de 900 misiones humanitarias que resultaron entre otros, en la entrega de ayuda humanitaria en especie a más de 15.000 personas.</w:t>
      </w:r>
    </w:p>
    <w:p w:rsidR="00482241" w:rsidRPr="00A173A7" w:rsidRDefault="00482241" w:rsidP="00245DBC">
      <w:pPr>
        <w:suppressAutoHyphens/>
        <w:spacing w:after="0" w:line="240" w:lineRule="auto"/>
        <w:ind w:left="709"/>
        <w:contextualSpacing/>
        <w:jc w:val="both"/>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 xml:space="preserve">Como parte del apoyo subsidiario a las alcaldías, la Unidad para las Víctimas apoyó 487 municipios en la entrega de atención inmediata a 5.727 hogares </w:t>
      </w:r>
      <w:r w:rsidRPr="00A173A7">
        <w:rPr>
          <w:rFonts w:ascii="Verdana" w:hAnsi="Verdana" w:cs="Tahoma"/>
          <w:i/>
          <w:sz w:val="24"/>
          <w:szCs w:val="24"/>
        </w:rPr>
        <w:lastRenderedPageBreak/>
        <w:t>recientemente desplazados y a 47 municipios con 64 proyectos para fortalecer</w:t>
      </w:r>
      <w:r w:rsidRPr="00A173A7">
        <w:rPr>
          <w:rFonts w:ascii="Verdana" w:hAnsi="Verdana" w:cs="Tahoma"/>
          <w:bCs/>
          <w:i/>
          <w:sz w:val="24"/>
          <w:szCs w:val="24"/>
        </w:rPr>
        <w:t xml:space="preserve"> la infraestructura</w:t>
      </w:r>
      <w:r w:rsidRPr="00A173A7">
        <w:rPr>
          <w:rFonts w:ascii="Verdana" w:hAnsi="Verdana" w:cs="Tahoma"/>
          <w:i/>
          <w:sz w:val="24"/>
          <w:szCs w:val="24"/>
        </w:rPr>
        <w:t> social y comunitaria para la prevención y atención de emergencias humanitarias.</w:t>
      </w:r>
    </w:p>
    <w:p w:rsidR="00482241" w:rsidRPr="00A173A7" w:rsidRDefault="00482241" w:rsidP="00482241">
      <w:pPr>
        <w:pStyle w:val="Prrafodelista"/>
        <w:spacing w:after="0" w:line="240" w:lineRule="auto"/>
        <w:ind w:left="0"/>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La Unidad para las Víctimas continuó ampliando la cobertura de municipios asesorados en el diseño de sus planes de contingencia. Durante el año 71 municipios contaron con asesoría técnica para la formulación e implementación de sus planes de contingencia y 512 municipios fueron asesorados en la actualización de los mismos. </w:t>
      </w:r>
    </w:p>
    <w:p w:rsidR="00482241" w:rsidRPr="00A173A7" w:rsidRDefault="00482241" w:rsidP="00245DBC">
      <w:pPr>
        <w:suppressAutoHyphens/>
        <w:spacing w:after="0" w:line="240" w:lineRule="auto"/>
        <w:ind w:left="709"/>
        <w:contextualSpacing/>
        <w:jc w:val="both"/>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La Unidad para las Víctimas participó en la identificación y gestión de información de riesgo de 10.172 casos en el marco de escenarios de coordinación para la prevención y protección (CIAT; CIPRUNNA, GVP y CERREM).</w:t>
      </w:r>
    </w:p>
    <w:p w:rsidR="00482241" w:rsidRPr="00A173A7" w:rsidRDefault="00482241" w:rsidP="00245DBC">
      <w:pPr>
        <w:suppressAutoHyphens/>
        <w:spacing w:after="0" w:line="240" w:lineRule="auto"/>
        <w:ind w:left="709"/>
        <w:contextualSpacing/>
        <w:jc w:val="both"/>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La Unidad para las Víctimas consolidó un esquema nacional de caracterización de población víctima a través de la construcción de 389.668 Planes de Atención, Asistencia y Reparación Integral.  Estos planes, construidos de manera conjunta con los hogares, permitieron conocer mejor la situación actual de cada hogar y remitir a más de un millón de personas a los programas sociales relevantes para el restablecimiento de sus derechos.  </w:t>
      </w:r>
    </w:p>
    <w:p w:rsidR="00482241" w:rsidRPr="00A173A7" w:rsidRDefault="00482241" w:rsidP="00245DBC">
      <w:pPr>
        <w:suppressAutoHyphens/>
        <w:spacing w:after="0" w:line="240" w:lineRule="auto"/>
        <w:ind w:left="709"/>
        <w:contextualSpacing/>
        <w:jc w:val="both"/>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La Unidad para las Víctimas cumplió con su responsabilidad de brindar asistencia humanitaria a víctimas.  Se entregaron recursos por medio billón de pesos a personas y hogares víctimas.  678.415 hogares desplazados recibieron atención humanitaria y 9.976 personas víctimas de hechos victimizantes distintos al desplazamiento recibieron ayuda humanitaria.  </w:t>
      </w:r>
    </w:p>
    <w:p w:rsidR="00482241" w:rsidRPr="00A173A7" w:rsidRDefault="00482241" w:rsidP="00245DBC">
      <w:pPr>
        <w:suppressAutoHyphens/>
        <w:spacing w:after="0" w:line="240" w:lineRule="auto"/>
        <w:ind w:left="709"/>
        <w:contextualSpacing/>
        <w:jc w:val="both"/>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Como parte de las medidas de asistencia para las víctimas, la Unidad para las Víctimas definió lineamientos a los entes territoriales para la entrega de asistencia funeraria y acompañó 444 procesos de la Fiscalía General de la Nación de entrega de cuerpos y restos de víctimas de desaparición forzada y homicidio.</w:t>
      </w:r>
    </w:p>
    <w:p w:rsidR="00482241" w:rsidRPr="00A173A7" w:rsidRDefault="00482241" w:rsidP="00245DBC">
      <w:pPr>
        <w:suppressAutoHyphens/>
        <w:spacing w:after="0" w:line="240" w:lineRule="auto"/>
        <w:ind w:left="709"/>
        <w:contextualSpacing/>
        <w:jc w:val="both"/>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 xml:space="preserve">En su rol coordinador para asegurar el acceso de las víctimas a programas sociales, la Unidad para las Víctimas celebró un acuerdo con el programa Mujeres Ahorradoras en Acción del DPS que permitió vincular 22.963 </w:t>
      </w:r>
      <w:r w:rsidRPr="00A173A7">
        <w:rPr>
          <w:rFonts w:ascii="Verdana" w:hAnsi="Verdana" w:cs="Tahoma"/>
          <w:i/>
          <w:sz w:val="24"/>
          <w:szCs w:val="24"/>
        </w:rPr>
        <w:lastRenderedPageBreak/>
        <w:t>mujeres desplazadas al programa.  Así mismo celebró un acuerdo con el Fondo Financiero de Proyectos de Desarrollo – FONADE que permitió direccionar a 97 mujeres víctimas para formalizar su vinculación al programa, del cual recibirán apoyo por hasta $15.000.000 para la puesta en marcha de proyectos productivos.</w:t>
      </w:r>
    </w:p>
    <w:p w:rsidR="00482241" w:rsidRPr="00A173A7" w:rsidRDefault="00482241" w:rsidP="00482241">
      <w:pPr>
        <w:pStyle w:val="Prrafodelista"/>
        <w:spacing w:after="0" w:line="240" w:lineRule="auto"/>
        <w:ind w:left="0"/>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La Unidad para las Víctimas concretó ajustes fundamentales a la política pública de asistencia humanitaria.  La construcción de estos ajustes contó con la participación de actores claves, tales como representantes de víctimas, organizaciones no gubernamentales, organismos de cooperación y entidades del SNARIV. En diciembre se expidió el decreto 2569 por medio del cual se reforma la política de atención humanitaria y se reglamenta la medición de la superación de la situación de vulnerabilidad de la población desplazada.</w:t>
      </w:r>
    </w:p>
    <w:p w:rsidR="00482241" w:rsidRPr="00144A07" w:rsidRDefault="00482241" w:rsidP="00482241">
      <w:pPr>
        <w:spacing w:after="0" w:line="240" w:lineRule="auto"/>
        <w:rPr>
          <w:rFonts w:ascii="Verdana" w:hAnsi="Verdana" w:cs="Tahoma"/>
          <w:b/>
          <w:bCs/>
          <w:color w:val="365F91" w:themeColor="accent1" w:themeShade="BF"/>
          <w:sz w:val="24"/>
          <w:szCs w:val="24"/>
        </w:rPr>
      </w:pPr>
    </w:p>
    <w:p w:rsidR="00482241" w:rsidRPr="00144A07" w:rsidRDefault="00482241" w:rsidP="00482241">
      <w:pPr>
        <w:spacing w:after="0" w:line="240" w:lineRule="auto"/>
        <w:contextualSpacing/>
        <w:jc w:val="both"/>
        <w:rPr>
          <w:rFonts w:ascii="Verdana" w:hAnsi="Verdana" w:cs="Tahoma"/>
          <w:b/>
          <w:bCs/>
          <w:color w:val="365F91" w:themeColor="accent1" w:themeShade="BF"/>
          <w:sz w:val="24"/>
          <w:szCs w:val="24"/>
        </w:rPr>
      </w:pPr>
      <w:r w:rsidRPr="00144A07">
        <w:rPr>
          <w:rFonts w:ascii="Verdana" w:hAnsi="Verdana" w:cs="Tahoma"/>
          <w:b/>
          <w:bCs/>
          <w:color w:val="365F91" w:themeColor="accent1" w:themeShade="BF"/>
          <w:sz w:val="24"/>
          <w:szCs w:val="24"/>
        </w:rPr>
        <w:t>Retos 2015</w:t>
      </w:r>
    </w:p>
    <w:p w:rsidR="00482241" w:rsidRPr="00144A07" w:rsidRDefault="00482241" w:rsidP="00482241">
      <w:pPr>
        <w:spacing w:after="0" w:line="240" w:lineRule="auto"/>
        <w:contextualSpacing/>
        <w:jc w:val="both"/>
        <w:rPr>
          <w:rFonts w:ascii="Verdana" w:hAnsi="Verdana" w:cs="Tahoma"/>
          <w:b/>
          <w:bCs/>
          <w:color w:val="365F91" w:themeColor="accent1" w:themeShade="BF"/>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Implementar el decreto 2569 de 2014 asegurando que la atención humanitaria sea entregada de manera prioritaria y oportuna a los hogares desplazados con carencias en los componentes de su subsistencia mínima y que la población desplazada en general avance hacia la reparación integral y la superación de su situación de vulnerabilidad.</w:t>
      </w:r>
    </w:p>
    <w:p w:rsidR="00482241" w:rsidRPr="00A173A7" w:rsidRDefault="00482241" w:rsidP="00245DBC">
      <w:pPr>
        <w:suppressAutoHyphens/>
        <w:spacing w:after="0" w:line="240" w:lineRule="auto"/>
        <w:ind w:left="709"/>
        <w:contextualSpacing/>
        <w:jc w:val="both"/>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Notificar los actos administrativos de entrega de atención humanitaria explicando las razones que guían la entrega de esta ayuda y habilitando mecanismos para que las víctimas ejerzan su derecho a la contradicción.</w:t>
      </w:r>
    </w:p>
    <w:p w:rsidR="00482241" w:rsidRPr="00A173A7" w:rsidRDefault="00482241" w:rsidP="00245DBC">
      <w:pPr>
        <w:suppressAutoHyphens/>
        <w:spacing w:after="0" w:line="240" w:lineRule="auto"/>
        <w:ind w:left="709"/>
        <w:contextualSpacing/>
        <w:jc w:val="both"/>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Consolidar la estrategia Ruta integral de atención, asistencia y reparación, de modo que la respuesta institucional hacia las víctimas se brinde de una manera participativa, efectiva y coordinada.</w:t>
      </w:r>
    </w:p>
    <w:p w:rsidR="00482241" w:rsidRPr="00A173A7" w:rsidRDefault="00482241" w:rsidP="00245DBC">
      <w:pPr>
        <w:suppressAutoHyphens/>
        <w:spacing w:after="0" w:line="240" w:lineRule="auto"/>
        <w:ind w:left="709"/>
        <w:contextualSpacing/>
        <w:jc w:val="both"/>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 xml:space="preserve">Posicionar internacionalmente el caso colombiano como referente en materia de acción humanitaria y pionero en el diseño y ejecución de innovación en materia de política pública en asistencia humanitaria. </w:t>
      </w:r>
    </w:p>
    <w:p w:rsidR="00482241" w:rsidRPr="00A173A7" w:rsidRDefault="00482241" w:rsidP="00482241">
      <w:pPr>
        <w:pStyle w:val="Prrafodelista"/>
        <w:spacing w:after="0" w:line="240" w:lineRule="auto"/>
        <w:ind w:left="0"/>
        <w:rPr>
          <w:rFonts w:ascii="Verdana" w:hAnsi="Verdana" w:cs="Tahoma"/>
          <w:b/>
          <w:i/>
          <w:color w:val="365F91" w:themeColor="accent1" w:themeShade="BF"/>
          <w:sz w:val="24"/>
          <w:szCs w:val="24"/>
        </w:rPr>
      </w:pPr>
    </w:p>
    <w:p w:rsidR="00482241" w:rsidRPr="00144A07" w:rsidRDefault="00482241" w:rsidP="00482241">
      <w:pPr>
        <w:spacing w:after="0" w:line="240" w:lineRule="auto"/>
        <w:contextualSpacing/>
        <w:jc w:val="both"/>
        <w:rPr>
          <w:rFonts w:ascii="Verdana" w:hAnsi="Verdana" w:cs="Tahoma"/>
          <w:b/>
          <w:color w:val="365F91" w:themeColor="accent1" w:themeShade="BF"/>
          <w:sz w:val="24"/>
          <w:szCs w:val="24"/>
        </w:rPr>
      </w:pPr>
      <w:r w:rsidRPr="00144A07">
        <w:rPr>
          <w:rFonts w:ascii="Verdana" w:hAnsi="Verdana" w:cs="Tahoma"/>
          <w:b/>
          <w:color w:val="365F91" w:themeColor="accent1" w:themeShade="BF"/>
          <w:sz w:val="24"/>
          <w:szCs w:val="24"/>
        </w:rPr>
        <w:t>Dirección de Asuntos Étnicos</w:t>
      </w:r>
    </w:p>
    <w:p w:rsidR="00482241" w:rsidRPr="00144A07" w:rsidRDefault="00482241" w:rsidP="00482241">
      <w:pPr>
        <w:spacing w:after="0" w:line="240" w:lineRule="auto"/>
        <w:contextualSpacing/>
        <w:jc w:val="both"/>
        <w:rPr>
          <w:rFonts w:ascii="Verdana" w:hAnsi="Verdana" w:cs="Tahoma"/>
          <w:b/>
          <w:color w:val="365F91" w:themeColor="accent1" w:themeShade="BF"/>
          <w:sz w:val="24"/>
          <w:szCs w:val="24"/>
        </w:rPr>
      </w:pPr>
    </w:p>
    <w:p w:rsidR="00482241" w:rsidRPr="00144A07" w:rsidRDefault="00482241" w:rsidP="00482241">
      <w:pPr>
        <w:spacing w:after="0" w:line="240" w:lineRule="auto"/>
        <w:contextualSpacing/>
        <w:jc w:val="both"/>
        <w:rPr>
          <w:rFonts w:ascii="Verdana" w:hAnsi="Verdana" w:cs="Tahoma"/>
          <w:b/>
          <w:color w:val="365F91" w:themeColor="accent1" w:themeShade="BF"/>
          <w:sz w:val="24"/>
          <w:szCs w:val="24"/>
        </w:rPr>
      </w:pPr>
      <w:r w:rsidRPr="00144A07">
        <w:rPr>
          <w:rFonts w:ascii="Verdana" w:hAnsi="Verdana" w:cs="Tahoma"/>
          <w:b/>
          <w:color w:val="365F91" w:themeColor="accent1" w:themeShade="BF"/>
          <w:sz w:val="24"/>
          <w:szCs w:val="24"/>
        </w:rPr>
        <w:t>Logros 2014</w:t>
      </w:r>
    </w:p>
    <w:p w:rsidR="00482241" w:rsidRPr="00144A07" w:rsidRDefault="00482241" w:rsidP="00482241">
      <w:pPr>
        <w:spacing w:after="0" w:line="240" w:lineRule="auto"/>
        <w:contextualSpacing/>
        <w:jc w:val="both"/>
        <w:rPr>
          <w:rFonts w:ascii="Verdana" w:hAnsi="Verdana" w:cs="Tahoma"/>
          <w:b/>
          <w:color w:val="365F91" w:themeColor="accent1" w:themeShade="BF"/>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Construcción de documentos de protocolos de participación y habilitación de espacios afro y Rrom para la concertación de los mismos.</w:t>
      </w:r>
    </w:p>
    <w:p w:rsidR="00482241" w:rsidRPr="00A173A7" w:rsidRDefault="00482241" w:rsidP="009B0805">
      <w:pPr>
        <w:suppressAutoHyphens/>
        <w:spacing w:after="0" w:line="240" w:lineRule="auto"/>
        <w:ind w:left="709"/>
        <w:contextualSpacing/>
        <w:jc w:val="both"/>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 xml:space="preserve">Diseño de protocolo psicosocial para población étnica en armonía con los lineamientos emitidos. </w:t>
      </w:r>
      <w:r w:rsidRPr="00A173A7">
        <w:rPr>
          <w:rFonts w:ascii="Verdana" w:hAnsi="Verdana" w:cs="Tahoma"/>
          <w:i/>
          <w:sz w:val="24"/>
          <w:szCs w:val="24"/>
        </w:rPr>
        <w:tab/>
      </w:r>
    </w:p>
    <w:p w:rsidR="00482241" w:rsidRPr="00A173A7" w:rsidRDefault="00482241" w:rsidP="009B0805">
      <w:pPr>
        <w:suppressAutoHyphens/>
        <w:spacing w:after="0" w:line="240" w:lineRule="auto"/>
        <w:ind w:left="709"/>
        <w:contextualSpacing/>
        <w:jc w:val="both"/>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Apoyo al diseño de los componentes del módulo étnico del programa de acompañamiento en indemnización individual para integrantes de grupos étnicos.</w:t>
      </w:r>
    </w:p>
    <w:p w:rsidR="00482241" w:rsidRPr="00A173A7" w:rsidRDefault="00482241" w:rsidP="009B0805">
      <w:pPr>
        <w:suppressAutoHyphens/>
        <w:spacing w:after="0" w:line="240" w:lineRule="auto"/>
        <w:ind w:left="709"/>
        <w:contextualSpacing/>
        <w:jc w:val="both"/>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Consolidación del modelo de caracterización del daño para grupos étnicos</w:t>
      </w:r>
    </w:p>
    <w:p w:rsidR="00482241" w:rsidRPr="00144A07" w:rsidRDefault="00482241" w:rsidP="009B0805">
      <w:pPr>
        <w:suppressAutoHyphens/>
        <w:spacing w:after="0" w:line="240" w:lineRule="auto"/>
        <w:ind w:left="709"/>
        <w:contextualSpacing/>
        <w:jc w:val="both"/>
        <w:rPr>
          <w:rFonts w:ascii="Verdana" w:hAnsi="Verdana" w:cs="Tahoma"/>
          <w:sz w:val="24"/>
          <w:szCs w:val="24"/>
        </w:rPr>
      </w:pPr>
    </w:p>
    <w:p w:rsidR="00482241" w:rsidRPr="00144A07" w:rsidRDefault="00482241" w:rsidP="00482241">
      <w:pPr>
        <w:spacing w:after="0" w:line="240" w:lineRule="auto"/>
        <w:contextualSpacing/>
        <w:jc w:val="both"/>
        <w:rPr>
          <w:rFonts w:ascii="Verdana" w:hAnsi="Verdana" w:cs="Tahoma"/>
          <w:b/>
          <w:color w:val="365F91" w:themeColor="accent1" w:themeShade="BF"/>
          <w:sz w:val="24"/>
          <w:szCs w:val="24"/>
        </w:rPr>
      </w:pPr>
      <w:r w:rsidRPr="00144A07">
        <w:rPr>
          <w:rFonts w:ascii="Verdana" w:hAnsi="Verdana" w:cs="Tahoma"/>
          <w:b/>
          <w:color w:val="365F91" w:themeColor="accent1" w:themeShade="BF"/>
          <w:sz w:val="24"/>
          <w:szCs w:val="24"/>
        </w:rPr>
        <w:t>Retos 2015.</w:t>
      </w:r>
    </w:p>
    <w:p w:rsidR="00482241" w:rsidRPr="00144A07" w:rsidRDefault="00482241" w:rsidP="00482241">
      <w:pPr>
        <w:spacing w:after="0" w:line="240" w:lineRule="auto"/>
        <w:contextualSpacing/>
        <w:jc w:val="both"/>
        <w:rPr>
          <w:rFonts w:ascii="Verdana" w:hAnsi="Verdana" w:cs="Tahoma"/>
          <w:b/>
          <w:color w:val="365F91" w:themeColor="accent1" w:themeShade="BF"/>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Generación de lineamientos para la gestión de la oferta étnica, en entes territoriales y entidades del SNARIV.</w:t>
      </w:r>
    </w:p>
    <w:p w:rsidR="009B0805" w:rsidRPr="00A173A7" w:rsidRDefault="009B0805" w:rsidP="009B0805">
      <w:pPr>
        <w:suppressAutoHyphens/>
        <w:spacing w:after="0" w:line="240" w:lineRule="auto"/>
        <w:ind w:left="709"/>
        <w:contextualSpacing/>
        <w:jc w:val="both"/>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Concertar con las comunidades étnicas el listado de alimentos y suministros humanitarios (minutas) del modelo ecocultural para su implementación.</w:t>
      </w:r>
    </w:p>
    <w:p w:rsidR="00482241" w:rsidRPr="00A173A7" w:rsidRDefault="00482241" w:rsidP="009B0805">
      <w:pPr>
        <w:suppressAutoHyphens/>
        <w:spacing w:after="0" w:line="240" w:lineRule="auto"/>
        <w:ind w:left="709"/>
        <w:contextualSpacing/>
        <w:jc w:val="both"/>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Brindar lineamientos técnicos y recomendaciones que permitan armonizar los casos étnicos, en la ruta de reparación individual y ruta la de reparación colectiva. Al igual que acompañamiento y lineamiento técnico en la fase de caracterización del daño.</w:t>
      </w:r>
    </w:p>
    <w:p w:rsidR="00482241" w:rsidRPr="00A173A7" w:rsidRDefault="00482241" w:rsidP="009B0805">
      <w:pPr>
        <w:suppressAutoHyphens/>
        <w:spacing w:after="0" w:line="240" w:lineRule="auto"/>
        <w:ind w:left="709"/>
        <w:contextualSpacing/>
        <w:jc w:val="both"/>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Implementar el índice de adecuación Institucional en las DT, en cuanto a accesibilidad, coordinación, divulgación y comunicación, y bajo los principios de: gradualidad, progresividad y participación, que permitan garantizar la implementación del enfoque diferencial étnico.</w:t>
      </w:r>
    </w:p>
    <w:p w:rsidR="00482241" w:rsidRPr="00A173A7" w:rsidRDefault="00482241" w:rsidP="009B0805">
      <w:pPr>
        <w:suppressAutoHyphens/>
        <w:spacing w:after="0" w:line="240" w:lineRule="auto"/>
        <w:ind w:left="709"/>
        <w:contextualSpacing/>
        <w:jc w:val="both"/>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Articulación entre la DAE y la Unidad de Restitución de tierras para casos étnicos.</w:t>
      </w:r>
    </w:p>
    <w:p w:rsidR="00482241" w:rsidRPr="00A173A7" w:rsidRDefault="00482241" w:rsidP="009B0805">
      <w:pPr>
        <w:suppressAutoHyphens/>
        <w:spacing w:after="0" w:line="240" w:lineRule="auto"/>
        <w:ind w:left="709"/>
        <w:contextualSpacing/>
        <w:jc w:val="both"/>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Sesiones con el SNARIV para trabajo exclusivo sobre grupos étnicos de conformidad con cada decreto Ley.</w:t>
      </w:r>
    </w:p>
    <w:p w:rsidR="00482241" w:rsidRPr="00A173A7" w:rsidRDefault="00482241" w:rsidP="009B0805">
      <w:pPr>
        <w:suppressAutoHyphens/>
        <w:spacing w:after="0" w:line="240" w:lineRule="auto"/>
        <w:ind w:left="709"/>
        <w:contextualSpacing/>
        <w:jc w:val="both"/>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lastRenderedPageBreak/>
        <w:t xml:space="preserve">Brindar lineamientos técnicos para la atención y reparación a victimas étnicas en frontera y en el exterior. </w:t>
      </w:r>
    </w:p>
    <w:p w:rsidR="00482241" w:rsidRPr="00A173A7" w:rsidRDefault="00482241" w:rsidP="009B0805">
      <w:pPr>
        <w:suppressAutoHyphens/>
        <w:spacing w:after="0" w:line="240" w:lineRule="auto"/>
        <w:ind w:left="709"/>
        <w:contextualSpacing/>
        <w:jc w:val="both"/>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Reporte del grado de avance de las políticas de desarrollo administrativos del modelo integrados de planeación y gestión: Gestión misional y de gobierno, transparencia, participación y servicio al ciudadano, gestión del talento humano, eficiencia administrativa, gestión financiera.</w:t>
      </w:r>
    </w:p>
    <w:p w:rsidR="00482241" w:rsidRPr="00A173A7" w:rsidRDefault="00482241" w:rsidP="009B0805">
      <w:pPr>
        <w:suppressAutoHyphens/>
        <w:spacing w:after="0" w:line="240" w:lineRule="auto"/>
        <w:ind w:left="709"/>
        <w:contextualSpacing/>
        <w:jc w:val="both"/>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Metas e indicadores de gestión y/ó desempeño de acuerdo con lo planeado: % de avance metas, indicadores de gestión y/ó desempeño corte 31 diciembre de 2014.</w:t>
      </w:r>
    </w:p>
    <w:p w:rsidR="00482241" w:rsidRPr="00A173A7" w:rsidRDefault="00482241" w:rsidP="009B0805">
      <w:pPr>
        <w:suppressAutoHyphens/>
        <w:spacing w:after="0" w:line="240" w:lineRule="auto"/>
        <w:ind w:left="709"/>
        <w:contextualSpacing/>
        <w:jc w:val="both"/>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Informes de los entes de Control que vigilan a la Entidad: relación de todas las entidades que vigilan y los mecanismos de control que existen al interior y al exterior para hacer un seguimiento efectivo sobre la gestión de la misma: concepto de informes de los organismos que controlan la entidad, plan de acción de la entidad ante la calificación.</w:t>
      </w:r>
    </w:p>
    <w:p w:rsidR="00482241" w:rsidRPr="00A173A7" w:rsidRDefault="00482241" w:rsidP="009B0805">
      <w:pPr>
        <w:suppressAutoHyphens/>
        <w:spacing w:after="0" w:line="240" w:lineRule="auto"/>
        <w:ind w:left="709"/>
        <w:contextualSpacing/>
        <w:jc w:val="both"/>
        <w:rPr>
          <w:rFonts w:ascii="Verdana" w:hAnsi="Verdana" w:cs="Tahoma"/>
          <w:i/>
          <w:sz w:val="24"/>
          <w:szCs w:val="24"/>
        </w:rPr>
      </w:pPr>
    </w:p>
    <w:p w:rsidR="00482241" w:rsidRPr="00144A07" w:rsidRDefault="00482241" w:rsidP="00482241">
      <w:pPr>
        <w:spacing w:after="0" w:line="240" w:lineRule="auto"/>
        <w:contextualSpacing/>
        <w:jc w:val="both"/>
        <w:rPr>
          <w:rFonts w:ascii="Verdana" w:hAnsi="Verdana" w:cs="Tahoma"/>
          <w:color w:val="365F91" w:themeColor="accent1" w:themeShade="BF"/>
          <w:sz w:val="24"/>
          <w:szCs w:val="24"/>
        </w:rPr>
      </w:pPr>
    </w:p>
    <w:p w:rsidR="00482241" w:rsidRPr="00144A07" w:rsidRDefault="00482241" w:rsidP="00482241">
      <w:pPr>
        <w:autoSpaceDE w:val="0"/>
        <w:autoSpaceDN w:val="0"/>
        <w:spacing w:after="0" w:line="240" w:lineRule="auto"/>
        <w:contextualSpacing/>
        <w:jc w:val="both"/>
        <w:rPr>
          <w:rFonts w:ascii="Verdana" w:hAnsi="Verdana" w:cs="Tahoma"/>
          <w:b/>
          <w:color w:val="365F91" w:themeColor="accent1" w:themeShade="BF"/>
          <w:sz w:val="24"/>
          <w:szCs w:val="24"/>
        </w:rPr>
      </w:pPr>
      <w:r w:rsidRPr="00144A07">
        <w:rPr>
          <w:rFonts w:ascii="Verdana" w:hAnsi="Verdana" w:cs="Tahoma"/>
          <w:b/>
          <w:color w:val="365F91" w:themeColor="accent1" w:themeShade="BF"/>
          <w:sz w:val="24"/>
          <w:szCs w:val="24"/>
        </w:rPr>
        <w:t xml:space="preserve">Creación de Centros Regionales </w:t>
      </w:r>
    </w:p>
    <w:p w:rsidR="00A173A7" w:rsidRDefault="00A173A7" w:rsidP="00482241">
      <w:pPr>
        <w:autoSpaceDE w:val="0"/>
        <w:autoSpaceDN w:val="0"/>
        <w:spacing w:after="0" w:line="240" w:lineRule="auto"/>
        <w:contextualSpacing/>
        <w:jc w:val="both"/>
        <w:rPr>
          <w:rFonts w:ascii="Verdana" w:hAnsi="Verdana" w:cs="Tahoma"/>
          <w:b/>
          <w:color w:val="365F91" w:themeColor="accent1" w:themeShade="BF"/>
          <w:sz w:val="24"/>
          <w:szCs w:val="24"/>
        </w:rPr>
      </w:pPr>
    </w:p>
    <w:p w:rsidR="00482241" w:rsidRPr="00144A07" w:rsidRDefault="00482241" w:rsidP="00482241">
      <w:pPr>
        <w:autoSpaceDE w:val="0"/>
        <w:autoSpaceDN w:val="0"/>
        <w:spacing w:after="0" w:line="240" w:lineRule="auto"/>
        <w:contextualSpacing/>
        <w:jc w:val="both"/>
        <w:rPr>
          <w:rFonts w:ascii="Verdana" w:hAnsi="Verdana" w:cs="Tahoma"/>
          <w:b/>
          <w:color w:val="365F91" w:themeColor="accent1" w:themeShade="BF"/>
          <w:sz w:val="24"/>
          <w:szCs w:val="24"/>
        </w:rPr>
      </w:pPr>
      <w:r w:rsidRPr="00144A07">
        <w:rPr>
          <w:rFonts w:ascii="Verdana" w:hAnsi="Verdana" w:cs="Tahoma"/>
          <w:b/>
          <w:color w:val="365F91" w:themeColor="accent1" w:themeShade="BF"/>
          <w:sz w:val="24"/>
          <w:szCs w:val="24"/>
        </w:rPr>
        <w:t xml:space="preserve">Logros 2014 </w:t>
      </w:r>
    </w:p>
    <w:p w:rsidR="00482241" w:rsidRPr="00144A07" w:rsidRDefault="00482241" w:rsidP="00482241">
      <w:pPr>
        <w:autoSpaceDE w:val="0"/>
        <w:autoSpaceDN w:val="0"/>
        <w:spacing w:after="0" w:line="240" w:lineRule="auto"/>
        <w:contextualSpacing/>
        <w:jc w:val="both"/>
        <w:rPr>
          <w:rFonts w:ascii="Verdana" w:hAnsi="Verdana" w:cs="Tahoma"/>
          <w:b/>
          <w:color w:val="365F91" w:themeColor="accent1" w:themeShade="BF"/>
          <w:sz w:val="24"/>
          <w:szCs w:val="24"/>
        </w:rPr>
      </w:pPr>
    </w:p>
    <w:p w:rsidR="00482241" w:rsidRPr="00144A07" w:rsidRDefault="00482241" w:rsidP="00482241">
      <w:pPr>
        <w:autoSpaceDE w:val="0"/>
        <w:autoSpaceDN w:val="0"/>
        <w:spacing w:after="0" w:line="240" w:lineRule="auto"/>
        <w:contextualSpacing/>
        <w:jc w:val="both"/>
        <w:rPr>
          <w:rFonts w:ascii="Verdana" w:hAnsi="Verdana" w:cs="Tahoma"/>
          <w:sz w:val="24"/>
          <w:szCs w:val="24"/>
        </w:rPr>
      </w:pPr>
      <w:r w:rsidRPr="00144A07">
        <w:rPr>
          <w:rFonts w:ascii="Verdana" w:hAnsi="Verdana" w:cs="Tahoma"/>
          <w:sz w:val="24"/>
          <w:szCs w:val="24"/>
        </w:rPr>
        <w:t xml:space="preserve">Los Centros Regionales de Atención y Reparación son espacios físicos que permiten la articulación interinstitucional de la oferta del nivel nacional y territorial para las víctimas. (Artículo 121. Decreto 4800/11), con el objetivo de atender, orientar, remitir, acompañar y realizar el seguimiento a las víctimas, se implementaron de manera gradual en los municipios con mayor cantidad de víctimas, teniendo en cuenta las necesidades específicas de cada territorio, al igual que los programas, estrategias e infraestructura existentes. </w:t>
      </w:r>
    </w:p>
    <w:p w:rsidR="00482241" w:rsidRPr="00144A07" w:rsidRDefault="00482241" w:rsidP="00482241">
      <w:pPr>
        <w:spacing w:after="0" w:line="240" w:lineRule="auto"/>
        <w:contextualSpacing/>
        <w:jc w:val="both"/>
        <w:rPr>
          <w:rFonts w:ascii="Verdana" w:hAnsi="Verdana" w:cs="Tahoma"/>
          <w:sz w:val="24"/>
          <w:szCs w:val="24"/>
        </w:rPr>
      </w:pPr>
      <w:r w:rsidRPr="00144A07">
        <w:rPr>
          <w:rFonts w:ascii="Verdana" w:hAnsi="Verdana" w:cs="Tahoma"/>
          <w:sz w:val="24"/>
          <w:szCs w:val="24"/>
        </w:rPr>
        <w:t xml:space="preserve">En virtud de lo anterior la estrategia de creación de Centros Regionales se consolidó en el 2014 en la firma de 10 convenios para la construcción de Centros Regionales, éstos son: Caucasia, Neiva, Riohacha, Ocaña, Santa Marta, La Palma, Popayán, Tumaco, Cali y Barranquilla; los cuales se sumaron a los 22 Centros Regionales que ya se traían desde el año 2012. </w:t>
      </w:r>
    </w:p>
    <w:p w:rsidR="00482241" w:rsidRPr="00144A07" w:rsidRDefault="00482241" w:rsidP="00482241">
      <w:pPr>
        <w:autoSpaceDE w:val="0"/>
        <w:autoSpaceDN w:val="0"/>
        <w:spacing w:after="0" w:line="240" w:lineRule="auto"/>
        <w:contextualSpacing/>
        <w:jc w:val="both"/>
        <w:rPr>
          <w:rFonts w:ascii="Verdana" w:hAnsi="Verdana" w:cs="Tahoma"/>
          <w:sz w:val="24"/>
          <w:szCs w:val="24"/>
        </w:rPr>
      </w:pPr>
      <w:r w:rsidRPr="00144A07">
        <w:rPr>
          <w:rFonts w:ascii="Verdana" w:hAnsi="Verdana" w:cs="Tahoma"/>
          <w:sz w:val="24"/>
          <w:szCs w:val="24"/>
        </w:rPr>
        <w:t xml:space="preserve">La consolidación de la estrategia de Centros Regionales da cuenta de la necesidad que se tiene de reunir en un mismo espacio la oferta institucional del SNARIV, y </w:t>
      </w:r>
      <w:r w:rsidRPr="00144A07">
        <w:rPr>
          <w:rFonts w:ascii="Verdana" w:hAnsi="Verdana" w:cs="Tahoma"/>
          <w:sz w:val="24"/>
          <w:szCs w:val="24"/>
        </w:rPr>
        <w:lastRenderedPageBreak/>
        <w:t xml:space="preserve">de mejorar las infraestructuras en las cuales se ha venido atendiendo a las víctimas del conflicto en el País. </w:t>
      </w:r>
    </w:p>
    <w:p w:rsidR="00482241" w:rsidRPr="00144A07" w:rsidRDefault="00482241" w:rsidP="00482241">
      <w:pPr>
        <w:autoSpaceDE w:val="0"/>
        <w:autoSpaceDN w:val="0"/>
        <w:spacing w:after="0" w:line="240" w:lineRule="auto"/>
        <w:contextualSpacing/>
        <w:jc w:val="both"/>
        <w:rPr>
          <w:rFonts w:ascii="Verdana" w:hAnsi="Verdana" w:cs="Tahoma"/>
          <w:sz w:val="24"/>
          <w:szCs w:val="24"/>
        </w:rPr>
      </w:pPr>
    </w:p>
    <w:p w:rsidR="00482241" w:rsidRPr="00144A07" w:rsidRDefault="00482241" w:rsidP="00482241">
      <w:pPr>
        <w:autoSpaceDE w:val="0"/>
        <w:autoSpaceDN w:val="0"/>
        <w:spacing w:after="0" w:line="240" w:lineRule="auto"/>
        <w:contextualSpacing/>
        <w:jc w:val="both"/>
        <w:rPr>
          <w:rFonts w:ascii="Verdana" w:hAnsi="Verdana" w:cs="Tahoma"/>
          <w:b/>
          <w:color w:val="365F91" w:themeColor="accent1" w:themeShade="BF"/>
          <w:sz w:val="24"/>
          <w:szCs w:val="24"/>
        </w:rPr>
      </w:pPr>
      <w:r w:rsidRPr="00144A07">
        <w:rPr>
          <w:rFonts w:ascii="Verdana" w:hAnsi="Verdana" w:cs="Tahoma"/>
          <w:b/>
          <w:color w:val="365F91" w:themeColor="accent1" w:themeShade="BF"/>
          <w:sz w:val="24"/>
          <w:szCs w:val="24"/>
        </w:rPr>
        <w:t>Retos 2015.</w:t>
      </w:r>
    </w:p>
    <w:p w:rsidR="00482241" w:rsidRPr="00144A07" w:rsidRDefault="00482241" w:rsidP="00482241">
      <w:pPr>
        <w:autoSpaceDE w:val="0"/>
        <w:autoSpaceDN w:val="0"/>
        <w:spacing w:after="0" w:line="240" w:lineRule="auto"/>
        <w:contextualSpacing/>
        <w:jc w:val="both"/>
        <w:rPr>
          <w:rFonts w:ascii="Verdana" w:hAnsi="Verdana" w:cs="Tahoma"/>
          <w:b/>
          <w:color w:val="365F91" w:themeColor="accent1" w:themeShade="BF"/>
          <w:sz w:val="24"/>
          <w:szCs w:val="24"/>
        </w:rPr>
      </w:pPr>
      <w:r w:rsidRPr="00144A07">
        <w:rPr>
          <w:rFonts w:ascii="Verdana" w:hAnsi="Verdana" w:cs="Tahoma"/>
          <w:b/>
          <w:color w:val="365F91" w:themeColor="accent1" w:themeShade="BF"/>
          <w:sz w:val="24"/>
          <w:szCs w:val="24"/>
        </w:rPr>
        <w:t xml:space="preserve"> </w:t>
      </w:r>
    </w:p>
    <w:p w:rsidR="00482241" w:rsidRPr="00144A07" w:rsidRDefault="00482241" w:rsidP="00482241">
      <w:pPr>
        <w:spacing w:after="0" w:line="240" w:lineRule="auto"/>
        <w:contextualSpacing/>
        <w:jc w:val="both"/>
        <w:rPr>
          <w:rFonts w:ascii="Verdana" w:hAnsi="Verdana" w:cs="Tahoma"/>
          <w:sz w:val="24"/>
          <w:szCs w:val="24"/>
        </w:rPr>
      </w:pPr>
    </w:p>
    <w:p w:rsidR="00482241" w:rsidRPr="00144A07" w:rsidRDefault="00482241" w:rsidP="00482241">
      <w:pPr>
        <w:spacing w:after="0" w:line="240" w:lineRule="auto"/>
        <w:contextualSpacing/>
        <w:jc w:val="both"/>
        <w:rPr>
          <w:rFonts w:ascii="Verdana" w:hAnsi="Verdana" w:cs="Tahoma"/>
          <w:sz w:val="24"/>
          <w:szCs w:val="24"/>
        </w:rPr>
      </w:pPr>
      <w:r w:rsidRPr="00144A07">
        <w:rPr>
          <w:rFonts w:ascii="Verdana" w:hAnsi="Verdana" w:cs="Tahoma"/>
          <w:sz w:val="24"/>
          <w:szCs w:val="24"/>
        </w:rPr>
        <w:t xml:space="preserve">Para el 2015 en el programa de Centros Regionales se tienen los siguientes retos: </w:t>
      </w:r>
    </w:p>
    <w:p w:rsidR="00482241" w:rsidRPr="00144A07" w:rsidRDefault="00482241" w:rsidP="00482241">
      <w:pPr>
        <w:pStyle w:val="Prrafodelista"/>
        <w:spacing w:after="0" w:line="240" w:lineRule="auto"/>
        <w:ind w:left="0"/>
        <w:jc w:val="both"/>
        <w:rPr>
          <w:rFonts w:ascii="Verdana" w:hAnsi="Verdana" w:cs="Tahoma"/>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Que los Municipios ejecuten con prontitud sus obras de construcción, sin mayores retrasos en los cronogramas de ejecución ni en los procesos de licitación</w:t>
      </w:r>
    </w:p>
    <w:p w:rsidR="00482241" w:rsidRPr="00A173A7" w:rsidRDefault="00482241" w:rsidP="009B0805">
      <w:pPr>
        <w:suppressAutoHyphens/>
        <w:spacing w:after="0" w:line="240" w:lineRule="auto"/>
        <w:ind w:left="709"/>
        <w:contextualSpacing/>
        <w:jc w:val="both"/>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 xml:space="preserve">Que en el primer semestre de 2015 se cuente con un avance significativo en la ejecución de los convenios </w:t>
      </w:r>
    </w:p>
    <w:p w:rsidR="00482241" w:rsidRPr="00A173A7" w:rsidRDefault="00482241" w:rsidP="009B0805">
      <w:pPr>
        <w:suppressAutoHyphens/>
        <w:spacing w:after="0" w:line="240" w:lineRule="auto"/>
        <w:ind w:left="709"/>
        <w:contextualSpacing/>
        <w:jc w:val="both"/>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 xml:space="preserve">Que se consolide la oferta de las instituciones que van a hacer presencia del SNARIV al interior de cada uno de los Centros Regionales  </w:t>
      </w:r>
    </w:p>
    <w:p w:rsidR="00482241" w:rsidRPr="00A173A7" w:rsidRDefault="00482241" w:rsidP="009B0805">
      <w:pPr>
        <w:suppressAutoHyphens/>
        <w:spacing w:after="0" w:line="240" w:lineRule="auto"/>
        <w:ind w:left="709"/>
        <w:contextualSpacing/>
        <w:jc w:val="both"/>
        <w:rPr>
          <w:rFonts w:ascii="Verdana" w:hAnsi="Verdana" w:cs="Tahoma"/>
          <w:i/>
          <w:sz w:val="24"/>
          <w:szCs w:val="24"/>
        </w:rPr>
      </w:pPr>
    </w:p>
    <w:p w:rsidR="00482241" w:rsidRPr="00A173A7" w:rsidRDefault="00482241" w:rsidP="00905C49">
      <w:pPr>
        <w:numPr>
          <w:ilvl w:val="0"/>
          <w:numId w:val="71"/>
        </w:numPr>
        <w:suppressAutoHyphens/>
        <w:spacing w:after="0" w:line="240" w:lineRule="auto"/>
        <w:ind w:left="709" w:hanging="283"/>
        <w:contextualSpacing/>
        <w:jc w:val="both"/>
        <w:rPr>
          <w:rFonts w:ascii="Verdana" w:hAnsi="Verdana" w:cs="Tahoma"/>
          <w:i/>
          <w:sz w:val="24"/>
          <w:szCs w:val="24"/>
        </w:rPr>
      </w:pPr>
      <w:r w:rsidRPr="00A173A7">
        <w:rPr>
          <w:rFonts w:ascii="Verdana" w:hAnsi="Verdana" w:cs="Tahoma"/>
          <w:i/>
          <w:sz w:val="24"/>
          <w:szCs w:val="24"/>
        </w:rPr>
        <w:t xml:space="preserve">Que ser articule y materialice la ruta de atención a las víctimas en los Centros Regionales </w:t>
      </w:r>
    </w:p>
    <w:p w:rsidR="00482241" w:rsidRPr="00144A07" w:rsidRDefault="00482241" w:rsidP="00482241">
      <w:pPr>
        <w:pStyle w:val="Prrafodelista"/>
        <w:spacing w:after="0" w:line="240" w:lineRule="auto"/>
        <w:ind w:left="0"/>
        <w:jc w:val="both"/>
        <w:rPr>
          <w:rFonts w:ascii="Verdana" w:hAnsi="Verdana" w:cs="Tahoma"/>
          <w:sz w:val="24"/>
          <w:szCs w:val="24"/>
        </w:rPr>
      </w:pPr>
    </w:p>
    <w:p w:rsidR="00482241" w:rsidRPr="009B0805" w:rsidRDefault="009B0805" w:rsidP="009B0805">
      <w:pPr>
        <w:pStyle w:val="Prrafodelista"/>
        <w:spacing w:after="0" w:line="240" w:lineRule="auto"/>
        <w:ind w:left="0"/>
        <w:jc w:val="both"/>
        <w:rPr>
          <w:rFonts w:ascii="Verdana" w:hAnsi="Verdana" w:cs="Tahoma"/>
          <w:b/>
          <w:color w:val="4F81BD" w:themeColor="accent1"/>
          <w:sz w:val="28"/>
          <w:szCs w:val="24"/>
        </w:rPr>
      </w:pPr>
      <w:r w:rsidRPr="009B0805">
        <w:rPr>
          <w:rFonts w:ascii="Verdana" w:hAnsi="Verdana" w:cs="Tahoma"/>
          <w:b/>
          <w:color w:val="4F81BD" w:themeColor="accent1"/>
          <w:sz w:val="28"/>
          <w:szCs w:val="24"/>
        </w:rPr>
        <w:t>MODELO INTEGRADO DE PLANEACIÓN Y GESTIÓN.</w:t>
      </w:r>
    </w:p>
    <w:p w:rsidR="00482241" w:rsidRPr="00144A07" w:rsidRDefault="00482241" w:rsidP="00482241">
      <w:pPr>
        <w:spacing w:after="0" w:line="240" w:lineRule="auto"/>
        <w:contextualSpacing/>
        <w:jc w:val="both"/>
        <w:rPr>
          <w:rFonts w:ascii="Verdana" w:hAnsi="Verdana" w:cs="Tahoma"/>
          <w:b/>
          <w:color w:val="365F91" w:themeColor="accent1" w:themeShade="BF"/>
          <w:sz w:val="24"/>
          <w:szCs w:val="24"/>
        </w:rPr>
      </w:pPr>
      <w:r w:rsidRPr="00144A07">
        <w:rPr>
          <w:rFonts w:ascii="Verdana" w:hAnsi="Verdana" w:cs="Tahoma"/>
          <w:b/>
          <w:color w:val="365F91" w:themeColor="accent1" w:themeShade="BF"/>
          <w:sz w:val="24"/>
          <w:szCs w:val="24"/>
        </w:rPr>
        <w:t xml:space="preserve">  </w:t>
      </w:r>
    </w:p>
    <w:p w:rsidR="00482241" w:rsidRPr="00144A07" w:rsidRDefault="00482241" w:rsidP="00482241">
      <w:pPr>
        <w:pStyle w:val="Prrafodelista"/>
        <w:spacing w:after="0" w:line="240" w:lineRule="auto"/>
        <w:ind w:left="0"/>
        <w:jc w:val="both"/>
        <w:rPr>
          <w:rFonts w:ascii="Verdana" w:hAnsi="Verdana" w:cs="Tahoma"/>
          <w:sz w:val="24"/>
          <w:szCs w:val="24"/>
        </w:rPr>
      </w:pPr>
      <w:r w:rsidRPr="00144A07">
        <w:rPr>
          <w:rFonts w:ascii="Verdana" w:hAnsi="Verdana" w:cs="Tahoma"/>
          <w:sz w:val="24"/>
          <w:szCs w:val="24"/>
        </w:rPr>
        <w:t xml:space="preserve">El Modelo Integrado de Planeación y Gestión constó de 89 indicadores los cuales todos fueron evaluados a lo largo del 2014. El 80% de las actividades se concentran en las siguientes políticas: 1. Eficiencia Administrativa, 2. Gestión del Talento Humano y 3. Transparencia, Participación y servicio al Ciudadano. </w:t>
      </w:r>
    </w:p>
    <w:p w:rsidR="00482241" w:rsidRPr="00144A07" w:rsidRDefault="00482241" w:rsidP="00482241">
      <w:pPr>
        <w:pStyle w:val="Prrafodelista"/>
        <w:spacing w:after="0" w:line="240" w:lineRule="auto"/>
        <w:ind w:left="0"/>
        <w:jc w:val="both"/>
        <w:rPr>
          <w:rFonts w:ascii="Verdana" w:hAnsi="Verdana" w:cs="Tahoma"/>
          <w:sz w:val="24"/>
          <w:szCs w:val="24"/>
        </w:rPr>
      </w:pPr>
    </w:p>
    <w:p w:rsidR="00482241" w:rsidRPr="00144A07" w:rsidRDefault="00482241" w:rsidP="00482241">
      <w:pPr>
        <w:pStyle w:val="Prrafodelista"/>
        <w:spacing w:after="0" w:line="240" w:lineRule="auto"/>
        <w:ind w:left="0"/>
        <w:jc w:val="both"/>
        <w:rPr>
          <w:rFonts w:ascii="Verdana" w:hAnsi="Verdana" w:cs="Tahoma"/>
          <w:sz w:val="24"/>
          <w:szCs w:val="24"/>
        </w:rPr>
      </w:pPr>
      <w:r w:rsidRPr="00144A07">
        <w:rPr>
          <w:rFonts w:ascii="Verdana" w:hAnsi="Verdana" w:cs="Tahoma"/>
          <w:sz w:val="24"/>
          <w:szCs w:val="24"/>
        </w:rPr>
        <w:t>Con el fin de garantizar el cumplimento de las políticas, la Oficina Asesora de Planeación realizó de manera trimestral el seguimiento al modelo con corte a 31 de diciembre de 2014, en donde la Entidad presentó un avance del 93.2% considerado satisfecho; de acuerdo con los rangos establecidos por le Entidad para verificar el cumplimento. A continuación se presenta el avance del modelo Integrado de Planeación y gestión de acuerdo a las políticas y las actividades cumplidas y por cumplir:</w:t>
      </w:r>
    </w:p>
    <w:p w:rsidR="00482241" w:rsidRPr="00144A07" w:rsidRDefault="00482241" w:rsidP="00482241">
      <w:pPr>
        <w:pStyle w:val="Prrafodelista"/>
        <w:spacing w:after="0" w:line="240" w:lineRule="auto"/>
        <w:ind w:left="0"/>
        <w:jc w:val="both"/>
        <w:rPr>
          <w:rFonts w:ascii="Verdana" w:hAnsi="Verdana" w:cs="Tahoma"/>
          <w:sz w:val="24"/>
          <w:szCs w:val="24"/>
        </w:rPr>
      </w:pPr>
    </w:p>
    <w:tbl>
      <w:tblPr>
        <w:tblW w:w="5000" w:type="pct"/>
        <w:tblLook w:val="04A0"/>
      </w:tblPr>
      <w:tblGrid>
        <w:gridCol w:w="4390"/>
        <w:gridCol w:w="2616"/>
        <w:gridCol w:w="3236"/>
      </w:tblGrid>
      <w:tr w:rsidR="00482241" w:rsidRPr="00144A07" w:rsidTr="009B0805">
        <w:trPr>
          <w:trHeight w:val="467"/>
        </w:trPr>
        <w:tc>
          <w:tcPr>
            <w:tcW w:w="2143" w:type="pct"/>
            <w:vAlign w:val="center"/>
          </w:tcPr>
          <w:p w:rsidR="00482241" w:rsidRPr="00144A07" w:rsidRDefault="00482241" w:rsidP="00245DBC">
            <w:pPr>
              <w:pStyle w:val="Prrafodelista"/>
              <w:ind w:left="0"/>
              <w:rPr>
                <w:rFonts w:ascii="Verdana" w:hAnsi="Verdana" w:cs="Tahoma"/>
                <w:sz w:val="20"/>
                <w:szCs w:val="24"/>
              </w:rPr>
            </w:pPr>
            <w:r w:rsidRPr="00144A07">
              <w:rPr>
                <w:rFonts w:ascii="Verdana" w:hAnsi="Verdana" w:cs="Tahoma"/>
                <w:sz w:val="20"/>
                <w:szCs w:val="24"/>
              </w:rPr>
              <w:t>POLITICA</w:t>
            </w:r>
          </w:p>
        </w:tc>
        <w:tc>
          <w:tcPr>
            <w:tcW w:w="1277" w:type="pct"/>
            <w:vAlign w:val="center"/>
          </w:tcPr>
          <w:p w:rsidR="00482241" w:rsidRPr="00144A07" w:rsidRDefault="00482241" w:rsidP="00245DBC">
            <w:pPr>
              <w:pStyle w:val="Prrafodelista"/>
              <w:ind w:left="0"/>
              <w:rPr>
                <w:rFonts w:ascii="Verdana" w:hAnsi="Verdana" w:cs="Tahoma"/>
                <w:sz w:val="20"/>
                <w:szCs w:val="24"/>
              </w:rPr>
            </w:pPr>
            <w:r w:rsidRPr="00144A07">
              <w:rPr>
                <w:rFonts w:ascii="Verdana" w:hAnsi="Verdana" w:cs="Tahoma"/>
                <w:sz w:val="20"/>
                <w:szCs w:val="24"/>
              </w:rPr>
              <w:t>PROMEDIO AVANCE</w:t>
            </w:r>
          </w:p>
        </w:tc>
        <w:tc>
          <w:tcPr>
            <w:tcW w:w="1581" w:type="pct"/>
            <w:vAlign w:val="center"/>
          </w:tcPr>
          <w:p w:rsidR="00482241" w:rsidRPr="00144A07" w:rsidRDefault="00482241" w:rsidP="00245DBC">
            <w:pPr>
              <w:pStyle w:val="Prrafodelista"/>
              <w:ind w:left="0"/>
              <w:rPr>
                <w:rFonts w:ascii="Verdana" w:hAnsi="Verdana" w:cs="Tahoma"/>
                <w:sz w:val="20"/>
                <w:szCs w:val="24"/>
              </w:rPr>
            </w:pPr>
            <w:r w:rsidRPr="00144A07">
              <w:rPr>
                <w:rFonts w:ascii="Verdana" w:hAnsi="Verdana" w:cs="Tahoma"/>
                <w:sz w:val="20"/>
                <w:szCs w:val="24"/>
              </w:rPr>
              <w:t>CRITERIO DE EVALUACION</w:t>
            </w:r>
          </w:p>
        </w:tc>
      </w:tr>
      <w:tr w:rsidR="00482241" w:rsidRPr="00144A07" w:rsidTr="009B0805">
        <w:trPr>
          <w:trHeight w:val="454"/>
        </w:trPr>
        <w:tc>
          <w:tcPr>
            <w:tcW w:w="2143" w:type="pct"/>
            <w:vAlign w:val="center"/>
          </w:tcPr>
          <w:p w:rsidR="00482241" w:rsidRPr="00144A07" w:rsidRDefault="00482241" w:rsidP="00245DBC">
            <w:pPr>
              <w:pStyle w:val="Prrafodelista"/>
              <w:ind w:left="0"/>
              <w:rPr>
                <w:rFonts w:ascii="Verdana" w:hAnsi="Verdana" w:cs="Tahoma"/>
                <w:sz w:val="20"/>
                <w:szCs w:val="24"/>
              </w:rPr>
            </w:pPr>
            <w:r w:rsidRPr="00144A07">
              <w:rPr>
                <w:rFonts w:ascii="Verdana" w:hAnsi="Verdana" w:cs="Tahoma"/>
                <w:sz w:val="20"/>
                <w:szCs w:val="24"/>
              </w:rPr>
              <w:lastRenderedPageBreak/>
              <w:t>Eficiencia administrativa</w:t>
            </w:r>
          </w:p>
        </w:tc>
        <w:tc>
          <w:tcPr>
            <w:tcW w:w="1277" w:type="pct"/>
            <w:vAlign w:val="center"/>
          </w:tcPr>
          <w:p w:rsidR="00482241" w:rsidRPr="00144A07" w:rsidRDefault="00482241" w:rsidP="00245DBC">
            <w:pPr>
              <w:pStyle w:val="Prrafodelista"/>
              <w:ind w:left="0"/>
              <w:rPr>
                <w:rFonts w:ascii="Verdana" w:hAnsi="Verdana" w:cs="Tahoma"/>
                <w:sz w:val="20"/>
                <w:szCs w:val="24"/>
              </w:rPr>
            </w:pPr>
            <w:r w:rsidRPr="00144A07">
              <w:rPr>
                <w:rFonts w:ascii="Verdana" w:hAnsi="Verdana" w:cs="Tahoma"/>
                <w:sz w:val="20"/>
                <w:szCs w:val="24"/>
              </w:rPr>
              <w:t>84.4</w:t>
            </w:r>
          </w:p>
        </w:tc>
        <w:tc>
          <w:tcPr>
            <w:tcW w:w="1581" w:type="pct"/>
            <w:vAlign w:val="center"/>
          </w:tcPr>
          <w:p w:rsidR="00482241" w:rsidRPr="00144A07" w:rsidRDefault="00482241" w:rsidP="00245DBC">
            <w:pPr>
              <w:pStyle w:val="Prrafodelista"/>
              <w:ind w:left="0"/>
              <w:rPr>
                <w:rFonts w:ascii="Verdana" w:hAnsi="Verdana" w:cs="Tahoma"/>
                <w:sz w:val="20"/>
                <w:szCs w:val="24"/>
              </w:rPr>
            </w:pPr>
            <w:r w:rsidRPr="00144A07">
              <w:rPr>
                <w:rFonts w:ascii="Verdana" w:hAnsi="Verdana" w:cs="Tahoma"/>
                <w:sz w:val="20"/>
                <w:szCs w:val="24"/>
              </w:rPr>
              <w:t>Aceptable</w:t>
            </w:r>
          </w:p>
        </w:tc>
      </w:tr>
      <w:tr w:rsidR="00482241" w:rsidRPr="00144A07" w:rsidTr="009B0805">
        <w:trPr>
          <w:trHeight w:val="454"/>
        </w:trPr>
        <w:tc>
          <w:tcPr>
            <w:tcW w:w="2143" w:type="pct"/>
            <w:vAlign w:val="center"/>
          </w:tcPr>
          <w:p w:rsidR="00482241" w:rsidRPr="00144A07" w:rsidRDefault="00482241" w:rsidP="00245DBC">
            <w:pPr>
              <w:pStyle w:val="Prrafodelista"/>
              <w:ind w:left="0"/>
              <w:rPr>
                <w:rFonts w:ascii="Verdana" w:hAnsi="Verdana" w:cs="Tahoma"/>
                <w:sz w:val="20"/>
                <w:szCs w:val="24"/>
              </w:rPr>
            </w:pPr>
            <w:r w:rsidRPr="00144A07">
              <w:rPr>
                <w:rFonts w:ascii="Verdana" w:hAnsi="Verdana" w:cs="Tahoma"/>
                <w:sz w:val="20"/>
                <w:szCs w:val="24"/>
              </w:rPr>
              <w:t>Gestión del talento humano</w:t>
            </w:r>
          </w:p>
        </w:tc>
        <w:tc>
          <w:tcPr>
            <w:tcW w:w="1277" w:type="pct"/>
            <w:vAlign w:val="center"/>
          </w:tcPr>
          <w:p w:rsidR="00482241" w:rsidRPr="00144A07" w:rsidRDefault="00482241" w:rsidP="00245DBC">
            <w:pPr>
              <w:pStyle w:val="Prrafodelista"/>
              <w:ind w:left="0"/>
              <w:rPr>
                <w:rFonts w:ascii="Verdana" w:hAnsi="Verdana" w:cs="Tahoma"/>
                <w:sz w:val="20"/>
                <w:szCs w:val="24"/>
              </w:rPr>
            </w:pPr>
            <w:r w:rsidRPr="00144A07">
              <w:rPr>
                <w:rFonts w:ascii="Verdana" w:hAnsi="Verdana" w:cs="Tahoma"/>
                <w:sz w:val="20"/>
                <w:szCs w:val="24"/>
              </w:rPr>
              <w:t>96.4</w:t>
            </w:r>
          </w:p>
        </w:tc>
        <w:tc>
          <w:tcPr>
            <w:tcW w:w="1581" w:type="pct"/>
            <w:vAlign w:val="center"/>
          </w:tcPr>
          <w:p w:rsidR="00482241" w:rsidRPr="00144A07" w:rsidRDefault="00482241" w:rsidP="00245DBC">
            <w:pPr>
              <w:pStyle w:val="Prrafodelista"/>
              <w:ind w:left="0"/>
              <w:rPr>
                <w:rFonts w:ascii="Verdana" w:hAnsi="Verdana" w:cs="Tahoma"/>
                <w:sz w:val="20"/>
                <w:szCs w:val="24"/>
              </w:rPr>
            </w:pPr>
            <w:r w:rsidRPr="00144A07">
              <w:rPr>
                <w:rFonts w:ascii="Verdana" w:hAnsi="Verdana" w:cs="Tahoma"/>
                <w:sz w:val="20"/>
                <w:szCs w:val="24"/>
              </w:rPr>
              <w:t>Satisfactorio</w:t>
            </w:r>
          </w:p>
        </w:tc>
      </w:tr>
      <w:tr w:rsidR="00482241" w:rsidRPr="00144A07" w:rsidTr="009B0805">
        <w:trPr>
          <w:trHeight w:val="454"/>
        </w:trPr>
        <w:tc>
          <w:tcPr>
            <w:tcW w:w="2143" w:type="pct"/>
            <w:vAlign w:val="center"/>
          </w:tcPr>
          <w:p w:rsidR="00482241" w:rsidRPr="00144A07" w:rsidRDefault="00482241" w:rsidP="00245DBC">
            <w:pPr>
              <w:pStyle w:val="Prrafodelista"/>
              <w:ind w:left="0"/>
              <w:rPr>
                <w:rFonts w:ascii="Verdana" w:hAnsi="Verdana" w:cs="Tahoma"/>
                <w:sz w:val="20"/>
                <w:szCs w:val="24"/>
              </w:rPr>
            </w:pPr>
            <w:r w:rsidRPr="00144A07">
              <w:rPr>
                <w:rFonts w:ascii="Verdana" w:hAnsi="Verdana" w:cs="Tahoma"/>
                <w:sz w:val="20"/>
                <w:szCs w:val="24"/>
              </w:rPr>
              <w:t>Gestion financiera</w:t>
            </w:r>
          </w:p>
        </w:tc>
        <w:tc>
          <w:tcPr>
            <w:tcW w:w="1277" w:type="pct"/>
            <w:vAlign w:val="center"/>
          </w:tcPr>
          <w:p w:rsidR="00482241" w:rsidRPr="00144A07" w:rsidRDefault="00482241" w:rsidP="00245DBC">
            <w:pPr>
              <w:pStyle w:val="Prrafodelista"/>
              <w:ind w:left="0"/>
              <w:rPr>
                <w:rFonts w:ascii="Verdana" w:hAnsi="Verdana" w:cs="Tahoma"/>
                <w:sz w:val="20"/>
                <w:szCs w:val="24"/>
              </w:rPr>
            </w:pPr>
            <w:r w:rsidRPr="00144A07">
              <w:rPr>
                <w:rFonts w:ascii="Verdana" w:hAnsi="Verdana" w:cs="Tahoma"/>
                <w:sz w:val="20"/>
                <w:szCs w:val="24"/>
              </w:rPr>
              <w:t>100</w:t>
            </w:r>
          </w:p>
        </w:tc>
        <w:tc>
          <w:tcPr>
            <w:tcW w:w="1581" w:type="pct"/>
            <w:vAlign w:val="center"/>
          </w:tcPr>
          <w:p w:rsidR="00482241" w:rsidRPr="00144A07" w:rsidRDefault="00482241" w:rsidP="00245DBC">
            <w:pPr>
              <w:pStyle w:val="Prrafodelista"/>
              <w:ind w:left="0"/>
              <w:rPr>
                <w:rFonts w:ascii="Verdana" w:hAnsi="Verdana" w:cs="Tahoma"/>
                <w:sz w:val="20"/>
                <w:szCs w:val="24"/>
              </w:rPr>
            </w:pPr>
            <w:r w:rsidRPr="00144A07">
              <w:rPr>
                <w:rFonts w:ascii="Verdana" w:hAnsi="Verdana" w:cs="Tahoma"/>
                <w:sz w:val="20"/>
                <w:szCs w:val="24"/>
              </w:rPr>
              <w:t>Satisfactorio</w:t>
            </w:r>
          </w:p>
        </w:tc>
      </w:tr>
      <w:tr w:rsidR="00482241" w:rsidRPr="00144A07" w:rsidTr="009B0805">
        <w:trPr>
          <w:trHeight w:val="454"/>
        </w:trPr>
        <w:tc>
          <w:tcPr>
            <w:tcW w:w="2143" w:type="pct"/>
            <w:vAlign w:val="center"/>
          </w:tcPr>
          <w:p w:rsidR="00482241" w:rsidRPr="00144A07" w:rsidRDefault="00482241" w:rsidP="00245DBC">
            <w:pPr>
              <w:pStyle w:val="Prrafodelista"/>
              <w:ind w:left="0"/>
              <w:rPr>
                <w:rFonts w:ascii="Verdana" w:hAnsi="Verdana" w:cs="Tahoma"/>
                <w:sz w:val="20"/>
                <w:szCs w:val="24"/>
              </w:rPr>
            </w:pPr>
            <w:r w:rsidRPr="00144A07">
              <w:rPr>
                <w:rFonts w:ascii="Verdana" w:hAnsi="Verdana" w:cs="Tahoma"/>
                <w:sz w:val="20"/>
                <w:szCs w:val="24"/>
              </w:rPr>
              <w:t>Gestión misional y de gobierno</w:t>
            </w:r>
          </w:p>
        </w:tc>
        <w:tc>
          <w:tcPr>
            <w:tcW w:w="1277" w:type="pct"/>
            <w:vAlign w:val="center"/>
          </w:tcPr>
          <w:p w:rsidR="00482241" w:rsidRPr="00144A07" w:rsidRDefault="00482241" w:rsidP="00245DBC">
            <w:pPr>
              <w:pStyle w:val="Prrafodelista"/>
              <w:ind w:left="0"/>
              <w:rPr>
                <w:rFonts w:ascii="Verdana" w:hAnsi="Verdana" w:cs="Tahoma"/>
                <w:sz w:val="20"/>
                <w:szCs w:val="24"/>
              </w:rPr>
            </w:pPr>
            <w:r w:rsidRPr="00144A07">
              <w:rPr>
                <w:rFonts w:ascii="Verdana" w:hAnsi="Verdana" w:cs="Tahoma"/>
                <w:sz w:val="20"/>
                <w:szCs w:val="24"/>
              </w:rPr>
              <w:t>100</w:t>
            </w:r>
          </w:p>
        </w:tc>
        <w:tc>
          <w:tcPr>
            <w:tcW w:w="1581" w:type="pct"/>
            <w:vAlign w:val="center"/>
          </w:tcPr>
          <w:p w:rsidR="00482241" w:rsidRPr="00144A07" w:rsidRDefault="00482241" w:rsidP="00245DBC">
            <w:pPr>
              <w:pStyle w:val="Prrafodelista"/>
              <w:ind w:left="0"/>
              <w:rPr>
                <w:rFonts w:ascii="Verdana" w:hAnsi="Verdana" w:cs="Tahoma"/>
                <w:sz w:val="20"/>
                <w:szCs w:val="24"/>
              </w:rPr>
            </w:pPr>
            <w:r w:rsidRPr="00144A07">
              <w:rPr>
                <w:rFonts w:ascii="Verdana" w:hAnsi="Verdana" w:cs="Tahoma"/>
                <w:sz w:val="20"/>
                <w:szCs w:val="24"/>
              </w:rPr>
              <w:t>Satisfactorio</w:t>
            </w:r>
          </w:p>
        </w:tc>
      </w:tr>
      <w:tr w:rsidR="00482241" w:rsidRPr="00144A07" w:rsidTr="009B0805">
        <w:trPr>
          <w:trHeight w:val="454"/>
        </w:trPr>
        <w:tc>
          <w:tcPr>
            <w:tcW w:w="2143" w:type="pct"/>
            <w:vAlign w:val="center"/>
          </w:tcPr>
          <w:p w:rsidR="00482241" w:rsidRPr="00144A07" w:rsidRDefault="00482241" w:rsidP="00245DBC">
            <w:pPr>
              <w:pStyle w:val="Prrafodelista"/>
              <w:ind w:left="0"/>
              <w:rPr>
                <w:rFonts w:ascii="Verdana" w:hAnsi="Verdana" w:cs="Tahoma"/>
                <w:sz w:val="20"/>
                <w:szCs w:val="24"/>
              </w:rPr>
            </w:pPr>
            <w:r w:rsidRPr="00144A07">
              <w:rPr>
                <w:rFonts w:ascii="Verdana" w:hAnsi="Verdana" w:cs="Tahoma"/>
                <w:sz w:val="20"/>
                <w:szCs w:val="24"/>
              </w:rPr>
              <w:t>Requerimientos generales</w:t>
            </w:r>
          </w:p>
        </w:tc>
        <w:tc>
          <w:tcPr>
            <w:tcW w:w="1277" w:type="pct"/>
            <w:vAlign w:val="center"/>
          </w:tcPr>
          <w:p w:rsidR="00482241" w:rsidRPr="00144A07" w:rsidRDefault="00482241" w:rsidP="00245DBC">
            <w:pPr>
              <w:pStyle w:val="Prrafodelista"/>
              <w:ind w:left="0"/>
              <w:rPr>
                <w:rFonts w:ascii="Verdana" w:hAnsi="Verdana" w:cs="Tahoma"/>
                <w:sz w:val="20"/>
                <w:szCs w:val="24"/>
              </w:rPr>
            </w:pPr>
            <w:r w:rsidRPr="00144A07">
              <w:rPr>
                <w:rFonts w:ascii="Verdana" w:hAnsi="Verdana" w:cs="Tahoma"/>
                <w:sz w:val="20"/>
                <w:szCs w:val="24"/>
              </w:rPr>
              <w:t>87.5</w:t>
            </w:r>
          </w:p>
        </w:tc>
        <w:tc>
          <w:tcPr>
            <w:tcW w:w="1581" w:type="pct"/>
            <w:vAlign w:val="center"/>
          </w:tcPr>
          <w:p w:rsidR="00482241" w:rsidRPr="00144A07" w:rsidRDefault="00482241" w:rsidP="00245DBC">
            <w:pPr>
              <w:pStyle w:val="Prrafodelista"/>
              <w:ind w:left="0"/>
              <w:rPr>
                <w:rFonts w:ascii="Verdana" w:hAnsi="Verdana" w:cs="Tahoma"/>
                <w:sz w:val="20"/>
                <w:szCs w:val="24"/>
              </w:rPr>
            </w:pPr>
            <w:r w:rsidRPr="00144A07">
              <w:rPr>
                <w:rFonts w:ascii="Verdana" w:hAnsi="Verdana" w:cs="Tahoma"/>
                <w:sz w:val="20"/>
                <w:szCs w:val="24"/>
              </w:rPr>
              <w:t>Aceptable</w:t>
            </w:r>
          </w:p>
        </w:tc>
      </w:tr>
      <w:tr w:rsidR="00482241" w:rsidRPr="00144A07" w:rsidTr="009B0805">
        <w:trPr>
          <w:trHeight w:val="454"/>
        </w:trPr>
        <w:tc>
          <w:tcPr>
            <w:tcW w:w="2143" w:type="pct"/>
            <w:vAlign w:val="center"/>
          </w:tcPr>
          <w:p w:rsidR="00482241" w:rsidRPr="00144A07" w:rsidRDefault="00482241" w:rsidP="00245DBC">
            <w:pPr>
              <w:pStyle w:val="Prrafodelista"/>
              <w:ind w:left="0"/>
              <w:rPr>
                <w:rFonts w:ascii="Verdana" w:hAnsi="Verdana" w:cs="Tahoma"/>
                <w:sz w:val="20"/>
                <w:szCs w:val="24"/>
              </w:rPr>
            </w:pPr>
            <w:r w:rsidRPr="00144A07">
              <w:rPr>
                <w:rFonts w:ascii="Verdana" w:hAnsi="Verdana" w:cs="Tahoma"/>
                <w:sz w:val="20"/>
                <w:szCs w:val="24"/>
              </w:rPr>
              <w:t>Transparencia, participación y servicio al ciudadano</w:t>
            </w:r>
          </w:p>
        </w:tc>
        <w:tc>
          <w:tcPr>
            <w:tcW w:w="1277" w:type="pct"/>
            <w:vAlign w:val="center"/>
          </w:tcPr>
          <w:p w:rsidR="00482241" w:rsidRPr="00144A07" w:rsidRDefault="00482241" w:rsidP="00245DBC">
            <w:pPr>
              <w:pStyle w:val="Prrafodelista"/>
              <w:ind w:left="0"/>
              <w:rPr>
                <w:rFonts w:ascii="Verdana" w:hAnsi="Verdana" w:cs="Tahoma"/>
                <w:sz w:val="20"/>
                <w:szCs w:val="24"/>
              </w:rPr>
            </w:pPr>
            <w:r w:rsidRPr="00144A07">
              <w:rPr>
                <w:rFonts w:ascii="Verdana" w:hAnsi="Verdana" w:cs="Tahoma"/>
                <w:sz w:val="20"/>
                <w:szCs w:val="24"/>
              </w:rPr>
              <w:t>91.1</w:t>
            </w:r>
          </w:p>
        </w:tc>
        <w:tc>
          <w:tcPr>
            <w:tcW w:w="1581" w:type="pct"/>
            <w:vAlign w:val="center"/>
          </w:tcPr>
          <w:p w:rsidR="00482241" w:rsidRPr="00144A07" w:rsidRDefault="00482241" w:rsidP="00245DBC">
            <w:pPr>
              <w:pStyle w:val="Prrafodelista"/>
              <w:ind w:left="0"/>
              <w:rPr>
                <w:rFonts w:ascii="Verdana" w:hAnsi="Verdana" w:cs="Tahoma"/>
                <w:sz w:val="20"/>
                <w:szCs w:val="24"/>
              </w:rPr>
            </w:pPr>
            <w:r w:rsidRPr="00144A07">
              <w:rPr>
                <w:rFonts w:ascii="Verdana" w:hAnsi="Verdana" w:cs="Tahoma"/>
                <w:sz w:val="20"/>
                <w:szCs w:val="24"/>
              </w:rPr>
              <w:t>Satisfactorio</w:t>
            </w:r>
          </w:p>
        </w:tc>
      </w:tr>
      <w:tr w:rsidR="00482241" w:rsidRPr="00144A07" w:rsidTr="009B0805">
        <w:trPr>
          <w:trHeight w:val="328"/>
        </w:trPr>
        <w:tc>
          <w:tcPr>
            <w:tcW w:w="2143" w:type="pct"/>
            <w:vAlign w:val="center"/>
          </w:tcPr>
          <w:p w:rsidR="00482241" w:rsidRPr="00144A07" w:rsidRDefault="00482241" w:rsidP="00245DBC">
            <w:pPr>
              <w:pStyle w:val="Prrafodelista"/>
              <w:ind w:left="0"/>
              <w:rPr>
                <w:rFonts w:ascii="Verdana" w:hAnsi="Verdana" w:cs="Tahoma"/>
                <w:sz w:val="20"/>
                <w:szCs w:val="24"/>
              </w:rPr>
            </w:pPr>
            <w:r w:rsidRPr="00144A07">
              <w:rPr>
                <w:rFonts w:ascii="Verdana" w:hAnsi="Verdana" w:cs="Tahoma"/>
                <w:sz w:val="20"/>
                <w:szCs w:val="24"/>
              </w:rPr>
              <w:t>TOTAL GENERAL</w:t>
            </w:r>
          </w:p>
        </w:tc>
        <w:tc>
          <w:tcPr>
            <w:tcW w:w="2857" w:type="pct"/>
            <w:gridSpan w:val="2"/>
            <w:vAlign w:val="center"/>
          </w:tcPr>
          <w:p w:rsidR="00482241" w:rsidRPr="00144A07" w:rsidRDefault="00482241" w:rsidP="00245DBC">
            <w:pPr>
              <w:pStyle w:val="Prrafodelista"/>
              <w:ind w:left="0"/>
              <w:rPr>
                <w:rFonts w:ascii="Verdana" w:hAnsi="Verdana" w:cs="Tahoma"/>
                <w:sz w:val="20"/>
                <w:szCs w:val="24"/>
              </w:rPr>
            </w:pPr>
            <w:r w:rsidRPr="00144A07">
              <w:rPr>
                <w:rFonts w:ascii="Verdana" w:hAnsi="Verdana" w:cs="Tahoma"/>
                <w:sz w:val="20"/>
                <w:szCs w:val="24"/>
              </w:rPr>
              <w:t>93.2</w:t>
            </w:r>
          </w:p>
        </w:tc>
      </w:tr>
    </w:tbl>
    <w:p w:rsidR="00482241" w:rsidRPr="00144A07" w:rsidRDefault="00482241" w:rsidP="00482241">
      <w:pPr>
        <w:pStyle w:val="Prrafodelista"/>
        <w:spacing w:after="0" w:line="240" w:lineRule="auto"/>
        <w:ind w:left="0"/>
        <w:jc w:val="both"/>
        <w:rPr>
          <w:rFonts w:ascii="Verdana" w:hAnsi="Verdana" w:cs="Tahoma"/>
          <w:sz w:val="24"/>
          <w:szCs w:val="24"/>
        </w:rPr>
      </w:pPr>
    </w:p>
    <w:p w:rsidR="009B0805" w:rsidRDefault="009B0805" w:rsidP="009B0805">
      <w:pPr>
        <w:pStyle w:val="Prrafodelista"/>
        <w:spacing w:after="0" w:line="240" w:lineRule="auto"/>
        <w:ind w:left="0"/>
        <w:jc w:val="both"/>
        <w:rPr>
          <w:rFonts w:ascii="Verdana" w:hAnsi="Verdana" w:cs="Tahoma"/>
          <w:b/>
          <w:color w:val="4F81BD" w:themeColor="accent1"/>
          <w:sz w:val="24"/>
          <w:szCs w:val="24"/>
        </w:rPr>
      </w:pPr>
    </w:p>
    <w:p w:rsidR="00482241" w:rsidRPr="009B0805" w:rsidRDefault="009B0805" w:rsidP="009B0805">
      <w:pPr>
        <w:pStyle w:val="Prrafodelista"/>
        <w:spacing w:after="0" w:line="240" w:lineRule="auto"/>
        <w:ind w:left="0"/>
        <w:jc w:val="both"/>
        <w:rPr>
          <w:rFonts w:ascii="Verdana" w:hAnsi="Verdana" w:cs="Tahoma"/>
          <w:b/>
          <w:color w:val="4F81BD" w:themeColor="accent1"/>
          <w:sz w:val="28"/>
          <w:szCs w:val="24"/>
        </w:rPr>
      </w:pPr>
      <w:r w:rsidRPr="009B0805">
        <w:rPr>
          <w:rFonts w:ascii="Verdana" w:hAnsi="Verdana" w:cs="Tahoma"/>
          <w:b/>
          <w:color w:val="4F81BD" w:themeColor="accent1"/>
          <w:sz w:val="28"/>
          <w:szCs w:val="24"/>
        </w:rPr>
        <w:t>INFORMES DEL ENTE DE CONTROL</w:t>
      </w:r>
    </w:p>
    <w:p w:rsidR="00482241" w:rsidRPr="00144A07" w:rsidRDefault="00482241" w:rsidP="00482241">
      <w:pPr>
        <w:pStyle w:val="Prrafodelista"/>
        <w:spacing w:after="0" w:line="240" w:lineRule="auto"/>
        <w:ind w:left="0"/>
        <w:jc w:val="both"/>
        <w:rPr>
          <w:rFonts w:ascii="Verdana" w:hAnsi="Verdana" w:cs="Tahoma"/>
          <w:b/>
          <w:color w:val="4F81BD" w:themeColor="accent1"/>
          <w:sz w:val="24"/>
          <w:szCs w:val="24"/>
        </w:rPr>
      </w:pPr>
    </w:p>
    <w:p w:rsidR="00482241" w:rsidRPr="00144A07" w:rsidRDefault="00482241" w:rsidP="00482241">
      <w:pPr>
        <w:spacing w:after="0" w:line="240" w:lineRule="auto"/>
        <w:contextualSpacing/>
        <w:jc w:val="both"/>
        <w:rPr>
          <w:rFonts w:ascii="Verdana" w:hAnsi="Verdana" w:cs="Tahoma"/>
          <w:sz w:val="24"/>
          <w:szCs w:val="24"/>
        </w:rPr>
      </w:pPr>
      <w:r w:rsidRPr="00144A07">
        <w:rPr>
          <w:rFonts w:ascii="Verdana" w:hAnsi="Verdana" w:cs="Tahoma"/>
          <w:sz w:val="24"/>
          <w:szCs w:val="24"/>
        </w:rPr>
        <w:t>La CGR ha emitido 6 informes de plan de mejoramiento durante los años 2013 y 2014, el primer informe sobre la vigencia 2013 lo emitió en el mes de julio de 2014, realizando evaluación de la ejecución presupuestal, evaluación financiera y contable, evaluación contractual; así mismo pronunciándose sobre el control interno contable.</w:t>
      </w:r>
    </w:p>
    <w:p w:rsidR="00482241" w:rsidRPr="00144A07" w:rsidRDefault="00482241" w:rsidP="00482241">
      <w:pPr>
        <w:spacing w:after="0" w:line="240" w:lineRule="auto"/>
        <w:contextualSpacing/>
        <w:jc w:val="both"/>
        <w:rPr>
          <w:rFonts w:ascii="Verdana" w:hAnsi="Verdana" w:cs="Tahoma"/>
          <w:sz w:val="24"/>
          <w:szCs w:val="24"/>
        </w:rPr>
      </w:pPr>
      <w:r w:rsidRPr="00144A07">
        <w:rPr>
          <w:rFonts w:ascii="Verdana" w:hAnsi="Verdana" w:cs="Tahoma"/>
          <w:sz w:val="24"/>
          <w:szCs w:val="24"/>
        </w:rPr>
        <w:t>La opinión de la CGR frente a los estados financieros: “En nuestra opinión, los Estados Financieros NO presentan razonablemente la situación financiera y los resultados de las operaciones de la Unidad para la Atención y Reparación Integral a las Víctimas, a 31 de diciembre de 2013, en todos los aspectos importantes de conformidad con las normas y principios de contabilidad generalmente aceptados y lo establecido por la Contaduría General de la Nación”.</w:t>
      </w:r>
    </w:p>
    <w:p w:rsidR="00482241" w:rsidRPr="00144A07" w:rsidRDefault="00482241" w:rsidP="00482241">
      <w:pPr>
        <w:spacing w:after="0" w:line="240" w:lineRule="auto"/>
        <w:contextualSpacing/>
        <w:jc w:val="both"/>
        <w:rPr>
          <w:rFonts w:ascii="Verdana" w:hAnsi="Verdana" w:cs="Tahoma"/>
          <w:sz w:val="24"/>
          <w:szCs w:val="24"/>
        </w:rPr>
      </w:pPr>
    </w:p>
    <w:p w:rsidR="00482241" w:rsidRPr="00144A07" w:rsidRDefault="00482241" w:rsidP="00482241">
      <w:pPr>
        <w:spacing w:after="0" w:line="240" w:lineRule="auto"/>
        <w:contextualSpacing/>
        <w:jc w:val="both"/>
        <w:rPr>
          <w:rFonts w:ascii="Verdana" w:hAnsi="Verdana" w:cs="Tahoma"/>
          <w:sz w:val="24"/>
          <w:szCs w:val="24"/>
        </w:rPr>
      </w:pPr>
      <w:r w:rsidRPr="00144A07">
        <w:rPr>
          <w:rFonts w:ascii="Verdana" w:hAnsi="Verdana" w:cs="Tahoma"/>
          <w:sz w:val="24"/>
          <w:szCs w:val="24"/>
        </w:rPr>
        <w:t>En cuanto a la evaluación a la gestión el ente de control se pronunció mediante informe emitido en el mes de febrero de 2015.</w:t>
      </w:r>
    </w:p>
    <w:p w:rsidR="00482241" w:rsidRPr="00144A07" w:rsidRDefault="00482241" w:rsidP="00482241">
      <w:pPr>
        <w:spacing w:after="0" w:line="240" w:lineRule="auto"/>
        <w:contextualSpacing/>
        <w:jc w:val="both"/>
        <w:rPr>
          <w:rFonts w:ascii="Verdana" w:hAnsi="Verdana" w:cs="Tahoma"/>
          <w:sz w:val="24"/>
          <w:szCs w:val="24"/>
        </w:rPr>
      </w:pPr>
    </w:p>
    <w:p w:rsidR="00482241" w:rsidRPr="00144A07" w:rsidRDefault="00482241" w:rsidP="00482241">
      <w:pPr>
        <w:spacing w:after="0" w:line="240" w:lineRule="auto"/>
        <w:contextualSpacing/>
        <w:jc w:val="both"/>
        <w:rPr>
          <w:rFonts w:ascii="Verdana" w:hAnsi="Verdana" w:cs="Tahoma"/>
          <w:sz w:val="24"/>
          <w:szCs w:val="24"/>
        </w:rPr>
      </w:pPr>
      <w:r w:rsidRPr="00144A07">
        <w:rPr>
          <w:rFonts w:ascii="Verdana" w:hAnsi="Verdana" w:cs="Tahoma"/>
          <w:sz w:val="24"/>
          <w:szCs w:val="24"/>
        </w:rPr>
        <w:t>El concepto se emite obteniendo la calificación de la Gestión y Resultados la cual fue del 46,048%, lo que conlleva al no fenecimiento de la cuenta fiscal de la entidad por la vigencia 2013.</w:t>
      </w:r>
    </w:p>
    <w:p w:rsidR="00482241" w:rsidRPr="00144A07" w:rsidRDefault="00482241" w:rsidP="00482241">
      <w:pPr>
        <w:spacing w:after="0" w:line="240" w:lineRule="auto"/>
        <w:contextualSpacing/>
        <w:jc w:val="both"/>
        <w:rPr>
          <w:rFonts w:ascii="Verdana" w:hAnsi="Verdana" w:cs="Tahoma"/>
          <w:sz w:val="24"/>
          <w:szCs w:val="24"/>
        </w:rPr>
      </w:pPr>
    </w:p>
    <w:p w:rsidR="00482241" w:rsidRPr="00144A07" w:rsidRDefault="00482241" w:rsidP="00482241">
      <w:pPr>
        <w:spacing w:after="0" w:line="240" w:lineRule="auto"/>
        <w:contextualSpacing/>
        <w:jc w:val="both"/>
        <w:rPr>
          <w:rFonts w:ascii="Verdana" w:hAnsi="Verdana" w:cs="Tahoma"/>
          <w:sz w:val="24"/>
          <w:szCs w:val="24"/>
        </w:rPr>
      </w:pPr>
      <w:r w:rsidRPr="00144A07">
        <w:rPr>
          <w:rFonts w:ascii="Verdana" w:hAnsi="Verdana" w:cs="Tahoma"/>
          <w:sz w:val="24"/>
          <w:szCs w:val="24"/>
        </w:rPr>
        <w:t>Sobre el Plan de Acción, en último informe de la CGR vigencia fiscal 2013 no ha habido pronunciamiento.</w:t>
      </w:r>
    </w:p>
    <w:p w:rsidR="00482241" w:rsidRPr="00144A07" w:rsidRDefault="00482241" w:rsidP="00482241">
      <w:pPr>
        <w:spacing w:after="0" w:line="240" w:lineRule="auto"/>
        <w:contextualSpacing/>
        <w:jc w:val="both"/>
        <w:rPr>
          <w:rFonts w:ascii="Verdana" w:hAnsi="Verdana" w:cs="Tahoma"/>
          <w:sz w:val="24"/>
          <w:szCs w:val="24"/>
        </w:rPr>
      </w:pPr>
    </w:p>
    <w:p w:rsidR="00482241" w:rsidRPr="00144A07" w:rsidRDefault="00482241" w:rsidP="009B0805">
      <w:pPr>
        <w:pStyle w:val="Prrafodelista"/>
        <w:spacing w:after="0" w:line="240" w:lineRule="auto"/>
        <w:ind w:left="0"/>
        <w:jc w:val="both"/>
        <w:rPr>
          <w:rFonts w:ascii="Verdana" w:hAnsi="Verdana" w:cs="Tahoma"/>
          <w:b/>
          <w:color w:val="4F81BD" w:themeColor="accent1"/>
          <w:sz w:val="24"/>
          <w:szCs w:val="24"/>
        </w:rPr>
      </w:pPr>
      <w:r w:rsidRPr="00144A07">
        <w:rPr>
          <w:rFonts w:ascii="Verdana" w:hAnsi="Verdana" w:cs="Tahoma"/>
          <w:b/>
          <w:color w:val="4F81BD" w:themeColor="accent1"/>
          <w:sz w:val="24"/>
          <w:szCs w:val="24"/>
        </w:rPr>
        <w:lastRenderedPageBreak/>
        <w:t>Mecanismos de Control al Interior de la Unidad para Hacer un Seguimiento sobre la Gestión.</w:t>
      </w:r>
    </w:p>
    <w:p w:rsidR="00482241" w:rsidRPr="00144A07" w:rsidRDefault="00482241" w:rsidP="00482241">
      <w:pPr>
        <w:spacing w:after="0" w:line="240" w:lineRule="auto"/>
        <w:contextualSpacing/>
        <w:jc w:val="both"/>
        <w:rPr>
          <w:rFonts w:ascii="Verdana" w:hAnsi="Verdana" w:cs="Tahoma"/>
          <w:b/>
          <w:sz w:val="24"/>
          <w:szCs w:val="24"/>
        </w:rPr>
      </w:pPr>
    </w:p>
    <w:p w:rsidR="00482241" w:rsidRPr="00144A07" w:rsidRDefault="00482241" w:rsidP="00482241">
      <w:pPr>
        <w:spacing w:after="0" w:line="240" w:lineRule="auto"/>
        <w:contextualSpacing/>
        <w:jc w:val="both"/>
        <w:rPr>
          <w:rFonts w:ascii="Verdana" w:hAnsi="Verdana" w:cs="Tahoma"/>
          <w:sz w:val="24"/>
          <w:szCs w:val="24"/>
        </w:rPr>
      </w:pPr>
      <w:r w:rsidRPr="00D0498B">
        <w:rPr>
          <w:rFonts w:ascii="Verdana" w:hAnsi="Verdana" w:cs="Tahoma"/>
          <w:sz w:val="24"/>
          <w:szCs w:val="24"/>
        </w:rPr>
        <w:t>Procedimientos: La OCI cuenta con el procedimiento “informes de ley ente</w:t>
      </w:r>
      <w:r w:rsidR="00175410" w:rsidRPr="00D0498B">
        <w:rPr>
          <w:rFonts w:ascii="Verdana" w:hAnsi="Verdana" w:cs="Tahoma"/>
          <w:sz w:val="24"/>
          <w:szCs w:val="24"/>
        </w:rPr>
        <w:t>s externos”.</w:t>
      </w:r>
    </w:p>
    <w:p w:rsidR="00482241" w:rsidRPr="00144A07" w:rsidRDefault="00482241" w:rsidP="00482241">
      <w:pPr>
        <w:spacing w:after="0" w:line="240" w:lineRule="auto"/>
        <w:contextualSpacing/>
        <w:jc w:val="both"/>
        <w:rPr>
          <w:rFonts w:ascii="Verdana" w:hAnsi="Verdana" w:cs="Tahoma"/>
          <w:sz w:val="24"/>
          <w:szCs w:val="24"/>
        </w:rPr>
      </w:pPr>
    </w:p>
    <w:p w:rsidR="00482241" w:rsidRPr="00144A07" w:rsidRDefault="00482241" w:rsidP="00482241">
      <w:pPr>
        <w:spacing w:after="0" w:line="240" w:lineRule="auto"/>
        <w:contextualSpacing/>
        <w:jc w:val="both"/>
        <w:rPr>
          <w:rFonts w:ascii="Verdana" w:hAnsi="Verdana" w:cs="Tahoma"/>
          <w:sz w:val="24"/>
          <w:szCs w:val="24"/>
        </w:rPr>
      </w:pPr>
      <w:r w:rsidRPr="00144A07">
        <w:rPr>
          <w:rFonts w:ascii="Verdana" w:hAnsi="Verdana" w:cs="Tahoma"/>
          <w:sz w:val="24"/>
          <w:szCs w:val="24"/>
        </w:rPr>
        <w:t xml:space="preserve">Programa de auditoría: La OCI por orden legal elabora un programa de auditorías dentro del cual se definen las auditorías, informes de seguimiento y demás tareas a desarrollar, para la vigencia 2014 se realizaron 15 auditorías de gestión.  </w:t>
      </w:r>
    </w:p>
    <w:p w:rsidR="00482241" w:rsidRPr="00144A07" w:rsidRDefault="00482241" w:rsidP="00482241">
      <w:pPr>
        <w:spacing w:after="0" w:line="240" w:lineRule="auto"/>
        <w:contextualSpacing/>
        <w:jc w:val="both"/>
        <w:rPr>
          <w:rFonts w:ascii="Verdana" w:hAnsi="Verdana" w:cs="Tahoma"/>
          <w:sz w:val="24"/>
          <w:szCs w:val="24"/>
        </w:rPr>
      </w:pPr>
    </w:p>
    <w:p w:rsidR="00482241" w:rsidRPr="00144A07" w:rsidRDefault="00482241" w:rsidP="00482241">
      <w:pPr>
        <w:spacing w:after="0" w:line="240" w:lineRule="auto"/>
        <w:contextualSpacing/>
        <w:jc w:val="both"/>
        <w:rPr>
          <w:rFonts w:ascii="Verdana" w:hAnsi="Verdana" w:cs="Tahoma"/>
          <w:sz w:val="24"/>
          <w:szCs w:val="24"/>
        </w:rPr>
      </w:pPr>
      <w:r w:rsidRPr="00144A07">
        <w:rPr>
          <w:rFonts w:ascii="Verdana" w:hAnsi="Verdana" w:cs="Tahoma"/>
          <w:sz w:val="24"/>
          <w:szCs w:val="24"/>
        </w:rPr>
        <w:t xml:space="preserve">Dentro del programa se establece el seguimiento trimestral a los planes de mejora suscritos con la CGR. </w:t>
      </w:r>
    </w:p>
    <w:p w:rsidR="00201A56" w:rsidRPr="00CA18B1" w:rsidRDefault="00201A56" w:rsidP="00201A56">
      <w:pPr>
        <w:spacing w:after="0" w:line="240" w:lineRule="auto"/>
        <w:contextualSpacing/>
        <w:jc w:val="both"/>
        <w:rPr>
          <w:rFonts w:ascii="Tahoma" w:hAnsi="Tahoma" w:cs="Tahoma"/>
          <w:b/>
          <w:color w:val="4F81BD" w:themeColor="accent1"/>
          <w:sz w:val="24"/>
          <w:szCs w:val="24"/>
        </w:rPr>
      </w:pPr>
      <w:r w:rsidRPr="00CA18B1">
        <w:rPr>
          <w:rFonts w:ascii="Tahoma" w:hAnsi="Tahoma" w:cs="Tahoma"/>
          <w:b/>
          <w:color w:val="4F81BD" w:themeColor="accent1"/>
          <w:sz w:val="24"/>
          <w:szCs w:val="24"/>
        </w:rPr>
        <w:t xml:space="preserve">                                                                             </w:t>
      </w:r>
    </w:p>
    <w:p w:rsidR="00201A56" w:rsidRDefault="00201A56" w:rsidP="00201A56">
      <w:pPr>
        <w:spacing w:after="0" w:line="240" w:lineRule="auto"/>
        <w:ind w:left="360"/>
        <w:contextualSpacing/>
        <w:jc w:val="both"/>
        <w:rPr>
          <w:rFonts w:ascii="Verdana" w:hAnsi="Verdana" w:cs="Tahoma"/>
          <w:b/>
          <w:color w:val="365F91" w:themeColor="accent1" w:themeShade="BF"/>
          <w:sz w:val="24"/>
          <w:szCs w:val="24"/>
        </w:rPr>
      </w:pPr>
    </w:p>
    <w:p w:rsidR="00201A56" w:rsidRPr="00201A56" w:rsidRDefault="00201A56" w:rsidP="00201A56">
      <w:pPr>
        <w:spacing w:after="0" w:line="240" w:lineRule="auto"/>
        <w:contextualSpacing/>
        <w:jc w:val="both"/>
        <w:rPr>
          <w:rFonts w:ascii="Verdana" w:hAnsi="Verdana" w:cs="Tahoma"/>
          <w:b/>
          <w:color w:val="4F81BD" w:themeColor="accent1"/>
          <w:sz w:val="24"/>
          <w:szCs w:val="24"/>
        </w:rPr>
      </w:pPr>
      <w:r w:rsidRPr="00201A56">
        <w:rPr>
          <w:rFonts w:ascii="Verdana" w:hAnsi="Verdana" w:cs="Tahoma"/>
          <w:b/>
          <w:noProof/>
          <w:color w:val="365F91" w:themeColor="accent1" w:themeShade="BF"/>
          <w:sz w:val="24"/>
          <w:szCs w:val="24"/>
          <w:lang w:eastAsia="es-CO"/>
        </w:rPr>
        <w:drawing>
          <wp:inline distT="0" distB="0" distL="0" distR="0">
            <wp:extent cx="216024" cy="216024"/>
            <wp:effectExtent l="19050" t="0" r="0" b="0"/>
            <wp:docPr id="68"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6516216" y="2996952"/>
                      <a:chExt cx="216024" cy="216024"/>
                    </a:xfrm>
                  </a:grpSpPr>
                  <a:sp>
                    <a:nvSpPr>
                      <a:cNvPr id="38" name="37 Rectángulo redondeado"/>
                      <a:cNvSpPr/>
                    </a:nvSpPr>
                    <a:spPr>
                      <a:xfrm>
                        <a:off x="6516216" y="2996952"/>
                        <a:ext cx="216024" cy="216024"/>
                      </a:xfrm>
                      <a:prstGeom prst="roundRect">
                        <a:avLst/>
                      </a:prstGeom>
                      <a:gradFill flip="none" rotWithShape="1">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hAnsi="Verdana" w:cs="Tahoma"/>
          <w:b/>
          <w:color w:val="365F91" w:themeColor="accent1" w:themeShade="BF"/>
          <w:sz w:val="24"/>
          <w:szCs w:val="24"/>
        </w:rPr>
        <w:t xml:space="preserve">  </w:t>
      </w:r>
      <w:r w:rsidRPr="00201A56">
        <w:rPr>
          <w:rFonts w:ascii="Verdana" w:hAnsi="Verdana" w:cs="Tahoma"/>
          <w:b/>
          <w:color w:val="4F81BD" w:themeColor="accent1"/>
          <w:sz w:val="24"/>
          <w:szCs w:val="24"/>
        </w:rPr>
        <w:t>GESTIÓN CONTRACTUAL</w:t>
      </w:r>
    </w:p>
    <w:p w:rsidR="00201A56" w:rsidRPr="00201A56" w:rsidRDefault="00201A56" w:rsidP="00201A56">
      <w:pPr>
        <w:spacing w:after="0" w:line="240" w:lineRule="auto"/>
        <w:contextualSpacing/>
        <w:jc w:val="both"/>
        <w:rPr>
          <w:rFonts w:ascii="Verdana" w:hAnsi="Verdana" w:cs="Tahoma"/>
          <w:b/>
          <w:color w:val="365F91" w:themeColor="accent1" w:themeShade="BF"/>
          <w:sz w:val="24"/>
          <w:szCs w:val="24"/>
        </w:rPr>
      </w:pPr>
    </w:p>
    <w:p w:rsidR="00201A56" w:rsidRPr="00201A56" w:rsidRDefault="00201A56" w:rsidP="00201A56">
      <w:pPr>
        <w:jc w:val="both"/>
        <w:rPr>
          <w:rFonts w:ascii="Verdana" w:hAnsi="Verdana" w:cs="Tahoma"/>
          <w:sz w:val="24"/>
          <w:szCs w:val="24"/>
        </w:rPr>
      </w:pPr>
      <w:r w:rsidRPr="00201A56">
        <w:rPr>
          <w:rFonts w:ascii="Verdana" w:hAnsi="Verdana" w:cs="Tahoma"/>
          <w:sz w:val="24"/>
          <w:szCs w:val="24"/>
        </w:rPr>
        <w:t>La Unidad para la Atención y Reparación Integral a las Víctimas durante la vigencia 2014, con corte a 31 de diciembre, adelantó las siguientes contrataciones:</w:t>
      </w:r>
    </w:p>
    <w:p w:rsidR="00201A56" w:rsidRPr="00201A56" w:rsidRDefault="00201A56" w:rsidP="00201A56">
      <w:pPr>
        <w:contextualSpacing/>
        <w:jc w:val="both"/>
        <w:rPr>
          <w:rFonts w:ascii="Verdana" w:hAnsi="Verdana" w:cs="Tahoma"/>
          <w:sz w:val="24"/>
          <w:szCs w:val="24"/>
        </w:rPr>
      </w:pPr>
    </w:p>
    <w:p w:rsidR="00201A56" w:rsidRPr="00201A56" w:rsidRDefault="00201A56" w:rsidP="00201A56">
      <w:pPr>
        <w:jc w:val="both"/>
        <w:rPr>
          <w:rFonts w:ascii="Verdana" w:hAnsi="Verdana" w:cs="Tahoma"/>
          <w:sz w:val="24"/>
          <w:szCs w:val="24"/>
          <w:highlight w:val="yellow"/>
        </w:rPr>
      </w:pPr>
      <w:r w:rsidRPr="00201A56">
        <w:rPr>
          <w:rFonts w:ascii="Verdana" w:hAnsi="Verdana" w:cs="Tahoma"/>
          <w:b/>
          <w:color w:val="4F81BD" w:themeColor="accent1"/>
          <w:sz w:val="24"/>
          <w:szCs w:val="24"/>
        </w:rPr>
        <w:t>VIGENCIA 2014</w:t>
      </w:r>
    </w:p>
    <w:tbl>
      <w:tblPr>
        <w:tblStyle w:val="GridTable5DarkAccent1"/>
        <w:tblW w:w="5000" w:type="pct"/>
        <w:jc w:val="center"/>
        <w:tblLook w:val="04A0"/>
      </w:tblPr>
      <w:tblGrid>
        <w:gridCol w:w="2146"/>
        <w:gridCol w:w="2736"/>
        <w:gridCol w:w="2198"/>
        <w:gridCol w:w="1501"/>
        <w:gridCol w:w="1661"/>
      </w:tblGrid>
      <w:tr w:rsidR="00201A56" w:rsidRPr="00201A56" w:rsidTr="00201A56">
        <w:trPr>
          <w:cnfStyle w:val="100000000000"/>
          <w:trHeight w:val="495"/>
          <w:tblHeader/>
          <w:jc w:val="center"/>
        </w:trPr>
        <w:tc>
          <w:tcPr>
            <w:cnfStyle w:val="001000000000"/>
            <w:tcW w:w="1047" w:type="pct"/>
            <w:hideMark/>
          </w:tcPr>
          <w:p w:rsidR="00201A56" w:rsidRPr="00201A56" w:rsidRDefault="00201A56" w:rsidP="00201A56">
            <w:pPr>
              <w:jc w:val="center"/>
              <w:rPr>
                <w:rFonts w:ascii="Verdana" w:hAnsi="Verdana" w:cs="Tahoma"/>
                <w:sz w:val="18"/>
                <w:szCs w:val="18"/>
                <w:lang w:eastAsia="es-CO"/>
              </w:rPr>
            </w:pPr>
            <w:r w:rsidRPr="00201A56">
              <w:rPr>
                <w:rFonts w:ascii="Verdana" w:hAnsi="Verdana" w:cs="Tahoma"/>
                <w:b w:val="0"/>
                <w:bCs w:val="0"/>
                <w:sz w:val="18"/>
                <w:szCs w:val="18"/>
                <w:lang w:eastAsia="es-CO"/>
              </w:rPr>
              <w:t>MODALIDAD DE SELECCIÓN</w:t>
            </w:r>
          </w:p>
        </w:tc>
        <w:tc>
          <w:tcPr>
            <w:tcW w:w="1335" w:type="pct"/>
            <w:hideMark/>
          </w:tcPr>
          <w:p w:rsidR="00201A56" w:rsidRPr="00201A56" w:rsidRDefault="00201A56" w:rsidP="00201A56">
            <w:pPr>
              <w:jc w:val="center"/>
              <w:cnfStyle w:val="100000000000"/>
              <w:rPr>
                <w:rFonts w:ascii="Verdana" w:hAnsi="Verdana" w:cs="Tahoma"/>
                <w:sz w:val="18"/>
                <w:szCs w:val="18"/>
                <w:lang w:eastAsia="es-CO"/>
              </w:rPr>
            </w:pPr>
            <w:r w:rsidRPr="00201A56">
              <w:rPr>
                <w:rFonts w:ascii="Verdana" w:hAnsi="Verdana" w:cs="Tahoma"/>
                <w:b w:val="0"/>
                <w:bCs w:val="0"/>
                <w:sz w:val="18"/>
                <w:szCs w:val="18"/>
                <w:lang w:eastAsia="es-CO"/>
              </w:rPr>
              <w:t>CLASE DE CONTRATO</w:t>
            </w:r>
          </w:p>
        </w:tc>
        <w:tc>
          <w:tcPr>
            <w:tcW w:w="1073" w:type="pct"/>
            <w:hideMark/>
          </w:tcPr>
          <w:p w:rsidR="00201A56" w:rsidRPr="00201A56" w:rsidRDefault="00201A56" w:rsidP="00201A56">
            <w:pPr>
              <w:jc w:val="center"/>
              <w:cnfStyle w:val="100000000000"/>
              <w:rPr>
                <w:rFonts w:ascii="Verdana" w:hAnsi="Verdana" w:cs="Tahoma"/>
                <w:sz w:val="18"/>
                <w:szCs w:val="18"/>
                <w:lang w:eastAsia="es-CO"/>
              </w:rPr>
            </w:pPr>
            <w:r w:rsidRPr="00201A56">
              <w:rPr>
                <w:rFonts w:ascii="Verdana" w:hAnsi="Verdana" w:cs="Tahoma"/>
                <w:b w:val="0"/>
                <w:bCs w:val="0"/>
                <w:sz w:val="18"/>
                <w:szCs w:val="18"/>
                <w:lang w:eastAsia="es-CO"/>
              </w:rPr>
              <w:t>VALOR</w:t>
            </w:r>
          </w:p>
        </w:tc>
        <w:tc>
          <w:tcPr>
            <w:tcW w:w="733" w:type="pct"/>
            <w:hideMark/>
          </w:tcPr>
          <w:p w:rsidR="00201A56" w:rsidRPr="00201A56" w:rsidRDefault="00201A56" w:rsidP="00201A56">
            <w:pPr>
              <w:jc w:val="center"/>
              <w:cnfStyle w:val="100000000000"/>
              <w:rPr>
                <w:rFonts w:ascii="Verdana" w:hAnsi="Verdana" w:cs="Tahoma"/>
                <w:sz w:val="18"/>
                <w:szCs w:val="18"/>
                <w:lang w:eastAsia="es-CO"/>
              </w:rPr>
            </w:pPr>
            <w:r w:rsidRPr="00201A56">
              <w:rPr>
                <w:rFonts w:ascii="Verdana" w:hAnsi="Verdana" w:cs="Tahoma"/>
                <w:b w:val="0"/>
                <w:bCs w:val="0"/>
                <w:sz w:val="18"/>
                <w:szCs w:val="18"/>
                <w:lang w:eastAsia="es-CO"/>
              </w:rPr>
              <w:t>CANTIDAD CONTRATOS</w:t>
            </w:r>
          </w:p>
        </w:tc>
        <w:tc>
          <w:tcPr>
            <w:tcW w:w="811" w:type="pct"/>
            <w:hideMark/>
          </w:tcPr>
          <w:p w:rsidR="00201A56" w:rsidRPr="00201A56" w:rsidRDefault="00201A56" w:rsidP="00201A56">
            <w:pPr>
              <w:jc w:val="center"/>
              <w:cnfStyle w:val="100000000000"/>
              <w:rPr>
                <w:rFonts w:ascii="Verdana" w:hAnsi="Verdana" w:cs="Tahoma"/>
                <w:sz w:val="18"/>
                <w:szCs w:val="18"/>
                <w:lang w:eastAsia="es-CO"/>
              </w:rPr>
            </w:pPr>
            <w:r w:rsidRPr="00201A56">
              <w:rPr>
                <w:rFonts w:ascii="Verdana" w:hAnsi="Verdana" w:cs="Tahoma"/>
                <w:b w:val="0"/>
                <w:bCs w:val="0"/>
                <w:sz w:val="18"/>
                <w:szCs w:val="18"/>
                <w:lang w:eastAsia="es-CO"/>
              </w:rPr>
              <w:t>ESTADO</w:t>
            </w:r>
          </w:p>
        </w:tc>
      </w:tr>
      <w:tr w:rsidR="00201A56" w:rsidRPr="00201A56" w:rsidTr="00201A56">
        <w:trPr>
          <w:cnfStyle w:val="000000100000"/>
          <w:trHeight w:val="300"/>
          <w:jc w:val="center"/>
        </w:trPr>
        <w:tc>
          <w:tcPr>
            <w:cnfStyle w:val="001000000000"/>
            <w:tcW w:w="1047" w:type="pct"/>
            <w:hideMark/>
          </w:tcPr>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CONCURSO DE MERITOS</w:t>
            </w:r>
          </w:p>
        </w:tc>
        <w:tc>
          <w:tcPr>
            <w:tcW w:w="1335"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CONTRATO DE CONSULTORIA</w:t>
            </w:r>
          </w:p>
        </w:tc>
        <w:tc>
          <w:tcPr>
            <w:tcW w:w="107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$ 1.935.212.883</w:t>
            </w:r>
          </w:p>
        </w:tc>
        <w:tc>
          <w:tcPr>
            <w:tcW w:w="73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3</w:t>
            </w:r>
          </w:p>
        </w:tc>
        <w:tc>
          <w:tcPr>
            <w:tcW w:w="811"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EJECUTADO</w:t>
            </w:r>
          </w:p>
        </w:tc>
      </w:tr>
      <w:tr w:rsidR="00201A56" w:rsidRPr="00201A56" w:rsidTr="00201A56">
        <w:trPr>
          <w:trHeight w:val="300"/>
          <w:jc w:val="center"/>
        </w:trPr>
        <w:tc>
          <w:tcPr>
            <w:cnfStyle w:val="001000000000"/>
            <w:tcW w:w="1047" w:type="pct"/>
            <w:hideMark/>
          </w:tcPr>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Total CONCURSO DE MERITOS</w:t>
            </w:r>
          </w:p>
        </w:tc>
        <w:tc>
          <w:tcPr>
            <w:tcW w:w="1335"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 </w:t>
            </w:r>
          </w:p>
        </w:tc>
        <w:tc>
          <w:tcPr>
            <w:tcW w:w="107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$ 1.935.212.883</w:t>
            </w:r>
          </w:p>
        </w:tc>
        <w:tc>
          <w:tcPr>
            <w:tcW w:w="73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3</w:t>
            </w:r>
          </w:p>
        </w:tc>
        <w:tc>
          <w:tcPr>
            <w:tcW w:w="811"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 </w:t>
            </w:r>
          </w:p>
        </w:tc>
      </w:tr>
      <w:tr w:rsidR="00201A56" w:rsidRPr="00201A56" w:rsidTr="00201A56">
        <w:trPr>
          <w:cnfStyle w:val="000000100000"/>
          <w:trHeight w:val="300"/>
          <w:jc w:val="center"/>
        </w:trPr>
        <w:tc>
          <w:tcPr>
            <w:cnfStyle w:val="001000000000"/>
            <w:tcW w:w="1047" w:type="pct"/>
            <w:vMerge w:val="restart"/>
            <w:hideMark/>
          </w:tcPr>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CONTRATACION DIRECTA</w:t>
            </w:r>
          </w:p>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 </w:t>
            </w:r>
          </w:p>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 </w:t>
            </w:r>
          </w:p>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 </w:t>
            </w:r>
          </w:p>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 </w:t>
            </w:r>
          </w:p>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 </w:t>
            </w:r>
          </w:p>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 </w:t>
            </w:r>
          </w:p>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 </w:t>
            </w:r>
          </w:p>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 </w:t>
            </w:r>
          </w:p>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 </w:t>
            </w:r>
          </w:p>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 </w:t>
            </w:r>
          </w:p>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 </w:t>
            </w:r>
          </w:p>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lastRenderedPageBreak/>
              <w:t> </w:t>
            </w:r>
          </w:p>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 </w:t>
            </w:r>
          </w:p>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 </w:t>
            </w:r>
          </w:p>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 </w:t>
            </w:r>
          </w:p>
        </w:tc>
        <w:tc>
          <w:tcPr>
            <w:tcW w:w="1335"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lastRenderedPageBreak/>
              <w:t>CARTA DE ENTENDIMIENTO</w:t>
            </w:r>
          </w:p>
        </w:tc>
        <w:tc>
          <w:tcPr>
            <w:tcW w:w="107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$ 0</w:t>
            </w:r>
          </w:p>
        </w:tc>
        <w:tc>
          <w:tcPr>
            <w:tcW w:w="73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1</w:t>
            </w:r>
          </w:p>
        </w:tc>
        <w:tc>
          <w:tcPr>
            <w:tcW w:w="811"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EN EJECUCION</w:t>
            </w:r>
          </w:p>
        </w:tc>
      </w:tr>
      <w:tr w:rsidR="00201A56" w:rsidRPr="00201A56" w:rsidTr="00201A56">
        <w:trPr>
          <w:trHeight w:val="300"/>
          <w:jc w:val="center"/>
        </w:trPr>
        <w:tc>
          <w:tcPr>
            <w:cnfStyle w:val="001000000000"/>
            <w:tcW w:w="1047" w:type="pct"/>
            <w:vMerge/>
            <w:hideMark/>
          </w:tcPr>
          <w:p w:rsidR="00201A56" w:rsidRPr="00201A56" w:rsidRDefault="00201A56" w:rsidP="00201A56">
            <w:pPr>
              <w:rPr>
                <w:rFonts w:ascii="Verdana" w:hAnsi="Verdana" w:cs="Tahoma"/>
                <w:sz w:val="18"/>
                <w:szCs w:val="18"/>
                <w:lang w:eastAsia="es-CO"/>
              </w:rPr>
            </w:pPr>
          </w:p>
        </w:tc>
        <w:tc>
          <w:tcPr>
            <w:tcW w:w="1335"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CONTRATO ALQUILER MAQUINARIA</w:t>
            </w:r>
          </w:p>
        </w:tc>
        <w:tc>
          <w:tcPr>
            <w:tcW w:w="107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$ 29.070.000</w:t>
            </w:r>
          </w:p>
        </w:tc>
        <w:tc>
          <w:tcPr>
            <w:tcW w:w="73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1</w:t>
            </w:r>
          </w:p>
        </w:tc>
        <w:tc>
          <w:tcPr>
            <w:tcW w:w="811"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EJECUTADO</w:t>
            </w:r>
          </w:p>
        </w:tc>
      </w:tr>
      <w:tr w:rsidR="00201A56" w:rsidRPr="00201A56" w:rsidTr="00201A56">
        <w:trPr>
          <w:cnfStyle w:val="000000100000"/>
          <w:trHeight w:val="525"/>
          <w:jc w:val="center"/>
        </w:trPr>
        <w:tc>
          <w:tcPr>
            <w:cnfStyle w:val="001000000000"/>
            <w:tcW w:w="1047" w:type="pct"/>
            <w:vMerge/>
            <w:hideMark/>
          </w:tcPr>
          <w:p w:rsidR="00201A56" w:rsidRPr="00201A56" w:rsidRDefault="00201A56" w:rsidP="00201A56">
            <w:pPr>
              <w:rPr>
                <w:rFonts w:ascii="Verdana" w:hAnsi="Verdana" w:cs="Tahoma"/>
                <w:sz w:val="18"/>
                <w:szCs w:val="18"/>
                <w:lang w:eastAsia="es-CO"/>
              </w:rPr>
            </w:pPr>
          </w:p>
        </w:tc>
        <w:tc>
          <w:tcPr>
            <w:tcW w:w="1335"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CONTRATO DE ARRENDAMIENTO</w:t>
            </w:r>
          </w:p>
        </w:tc>
        <w:tc>
          <w:tcPr>
            <w:tcW w:w="107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$ 16.842.267.528</w:t>
            </w:r>
          </w:p>
        </w:tc>
        <w:tc>
          <w:tcPr>
            <w:tcW w:w="73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71</w:t>
            </w:r>
          </w:p>
        </w:tc>
        <w:tc>
          <w:tcPr>
            <w:tcW w:w="811"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32 EJECUTADOS 39 EN EJECUCION</w:t>
            </w:r>
          </w:p>
        </w:tc>
      </w:tr>
      <w:tr w:rsidR="00201A56" w:rsidRPr="00201A56" w:rsidTr="00201A56">
        <w:trPr>
          <w:trHeight w:val="300"/>
          <w:jc w:val="center"/>
        </w:trPr>
        <w:tc>
          <w:tcPr>
            <w:cnfStyle w:val="001000000000"/>
            <w:tcW w:w="1047" w:type="pct"/>
            <w:vMerge/>
            <w:hideMark/>
          </w:tcPr>
          <w:p w:rsidR="00201A56" w:rsidRPr="00201A56" w:rsidRDefault="00201A56" w:rsidP="00201A56">
            <w:pPr>
              <w:rPr>
                <w:rFonts w:ascii="Verdana" w:hAnsi="Verdana" w:cs="Tahoma"/>
                <w:sz w:val="18"/>
                <w:szCs w:val="18"/>
                <w:lang w:eastAsia="es-CO"/>
              </w:rPr>
            </w:pPr>
          </w:p>
        </w:tc>
        <w:tc>
          <w:tcPr>
            <w:tcW w:w="1335"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CONTRATO DE COMODATO</w:t>
            </w:r>
          </w:p>
        </w:tc>
        <w:tc>
          <w:tcPr>
            <w:tcW w:w="107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$ 0</w:t>
            </w:r>
          </w:p>
        </w:tc>
        <w:tc>
          <w:tcPr>
            <w:tcW w:w="73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1</w:t>
            </w:r>
          </w:p>
        </w:tc>
        <w:tc>
          <w:tcPr>
            <w:tcW w:w="811"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EN EJECUCION</w:t>
            </w:r>
          </w:p>
        </w:tc>
      </w:tr>
      <w:tr w:rsidR="00201A56" w:rsidRPr="00201A56" w:rsidTr="00201A56">
        <w:trPr>
          <w:cnfStyle w:val="000000100000"/>
          <w:trHeight w:val="300"/>
          <w:jc w:val="center"/>
        </w:trPr>
        <w:tc>
          <w:tcPr>
            <w:cnfStyle w:val="001000000000"/>
            <w:tcW w:w="1047" w:type="pct"/>
            <w:vMerge/>
            <w:hideMark/>
          </w:tcPr>
          <w:p w:rsidR="00201A56" w:rsidRPr="00201A56" w:rsidRDefault="00201A56" w:rsidP="00201A56">
            <w:pPr>
              <w:rPr>
                <w:rFonts w:ascii="Verdana" w:hAnsi="Verdana" w:cs="Tahoma"/>
                <w:sz w:val="18"/>
                <w:szCs w:val="18"/>
                <w:lang w:eastAsia="es-CO"/>
              </w:rPr>
            </w:pPr>
          </w:p>
        </w:tc>
        <w:tc>
          <w:tcPr>
            <w:tcW w:w="1335"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CONTRATO DE COMPRAVENTA</w:t>
            </w:r>
          </w:p>
        </w:tc>
        <w:tc>
          <w:tcPr>
            <w:tcW w:w="107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$ 115.978.540</w:t>
            </w:r>
          </w:p>
        </w:tc>
        <w:tc>
          <w:tcPr>
            <w:tcW w:w="73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1</w:t>
            </w:r>
          </w:p>
        </w:tc>
        <w:tc>
          <w:tcPr>
            <w:tcW w:w="811"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EJECUTADO</w:t>
            </w:r>
          </w:p>
        </w:tc>
      </w:tr>
      <w:tr w:rsidR="00201A56" w:rsidRPr="00201A56" w:rsidTr="00201A56">
        <w:trPr>
          <w:trHeight w:val="300"/>
          <w:jc w:val="center"/>
        </w:trPr>
        <w:tc>
          <w:tcPr>
            <w:cnfStyle w:val="001000000000"/>
            <w:tcW w:w="1047" w:type="pct"/>
            <w:vMerge/>
            <w:hideMark/>
          </w:tcPr>
          <w:p w:rsidR="00201A56" w:rsidRPr="00201A56" w:rsidRDefault="00201A56" w:rsidP="00201A56">
            <w:pPr>
              <w:rPr>
                <w:rFonts w:ascii="Verdana" w:hAnsi="Verdana" w:cs="Tahoma"/>
                <w:sz w:val="18"/>
                <w:szCs w:val="18"/>
                <w:lang w:eastAsia="es-CO"/>
              </w:rPr>
            </w:pPr>
          </w:p>
        </w:tc>
        <w:tc>
          <w:tcPr>
            <w:tcW w:w="1335"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CONTRATO DE DEPOSITO MERCANTIL</w:t>
            </w:r>
          </w:p>
        </w:tc>
        <w:tc>
          <w:tcPr>
            <w:tcW w:w="107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$ 37.512.000</w:t>
            </w:r>
          </w:p>
        </w:tc>
        <w:tc>
          <w:tcPr>
            <w:tcW w:w="73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4</w:t>
            </w:r>
          </w:p>
        </w:tc>
        <w:tc>
          <w:tcPr>
            <w:tcW w:w="811"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EJECUTADO</w:t>
            </w:r>
          </w:p>
        </w:tc>
      </w:tr>
      <w:tr w:rsidR="00201A56" w:rsidRPr="00201A56" w:rsidTr="00201A56">
        <w:trPr>
          <w:cnfStyle w:val="000000100000"/>
          <w:trHeight w:val="300"/>
          <w:jc w:val="center"/>
        </w:trPr>
        <w:tc>
          <w:tcPr>
            <w:cnfStyle w:val="001000000000"/>
            <w:tcW w:w="1047" w:type="pct"/>
            <w:vMerge/>
            <w:hideMark/>
          </w:tcPr>
          <w:p w:rsidR="00201A56" w:rsidRPr="00201A56" w:rsidRDefault="00201A56" w:rsidP="00201A56">
            <w:pPr>
              <w:rPr>
                <w:rFonts w:ascii="Verdana" w:hAnsi="Verdana" w:cs="Tahoma"/>
                <w:sz w:val="18"/>
                <w:szCs w:val="18"/>
                <w:lang w:eastAsia="es-CO"/>
              </w:rPr>
            </w:pPr>
          </w:p>
        </w:tc>
        <w:tc>
          <w:tcPr>
            <w:tcW w:w="1335"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CONTRATO DE ENCARGO FIDUCIARIO</w:t>
            </w:r>
          </w:p>
        </w:tc>
        <w:tc>
          <w:tcPr>
            <w:tcW w:w="107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$ 151.496.000</w:t>
            </w:r>
          </w:p>
        </w:tc>
        <w:tc>
          <w:tcPr>
            <w:tcW w:w="73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1</w:t>
            </w:r>
          </w:p>
        </w:tc>
        <w:tc>
          <w:tcPr>
            <w:tcW w:w="811"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EN EJECUCION</w:t>
            </w:r>
          </w:p>
        </w:tc>
      </w:tr>
      <w:tr w:rsidR="00201A56" w:rsidRPr="00201A56" w:rsidTr="00201A56">
        <w:trPr>
          <w:trHeight w:val="525"/>
          <w:jc w:val="center"/>
        </w:trPr>
        <w:tc>
          <w:tcPr>
            <w:cnfStyle w:val="001000000000"/>
            <w:tcW w:w="1047" w:type="pct"/>
            <w:vMerge/>
            <w:hideMark/>
          </w:tcPr>
          <w:p w:rsidR="00201A56" w:rsidRPr="00201A56" w:rsidRDefault="00201A56" w:rsidP="00201A56">
            <w:pPr>
              <w:rPr>
                <w:rFonts w:ascii="Verdana" w:hAnsi="Verdana" w:cs="Tahoma"/>
                <w:sz w:val="18"/>
                <w:szCs w:val="18"/>
                <w:lang w:eastAsia="es-CO"/>
              </w:rPr>
            </w:pPr>
          </w:p>
        </w:tc>
        <w:tc>
          <w:tcPr>
            <w:tcW w:w="1335"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CONTRATO INTERADMINISTRATIVO</w:t>
            </w:r>
          </w:p>
        </w:tc>
        <w:tc>
          <w:tcPr>
            <w:tcW w:w="107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$ 460.623.348.375</w:t>
            </w:r>
          </w:p>
        </w:tc>
        <w:tc>
          <w:tcPr>
            <w:tcW w:w="73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17</w:t>
            </w:r>
          </w:p>
        </w:tc>
        <w:tc>
          <w:tcPr>
            <w:tcW w:w="811"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12 EJECUTADOS 5 EN EJECUCION</w:t>
            </w:r>
          </w:p>
        </w:tc>
      </w:tr>
      <w:tr w:rsidR="00201A56" w:rsidRPr="00201A56" w:rsidTr="00201A56">
        <w:trPr>
          <w:cnfStyle w:val="000000100000"/>
          <w:trHeight w:val="525"/>
          <w:jc w:val="center"/>
        </w:trPr>
        <w:tc>
          <w:tcPr>
            <w:cnfStyle w:val="001000000000"/>
            <w:tcW w:w="1047" w:type="pct"/>
            <w:vMerge/>
            <w:hideMark/>
          </w:tcPr>
          <w:p w:rsidR="00201A56" w:rsidRPr="00201A56" w:rsidRDefault="00201A56" w:rsidP="00201A56">
            <w:pPr>
              <w:rPr>
                <w:rFonts w:ascii="Verdana" w:hAnsi="Verdana" w:cs="Tahoma"/>
                <w:sz w:val="18"/>
                <w:szCs w:val="18"/>
                <w:lang w:eastAsia="es-CO"/>
              </w:rPr>
            </w:pPr>
          </w:p>
        </w:tc>
        <w:tc>
          <w:tcPr>
            <w:tcW w:w="1335"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CONVENIO DE ASOCIACION</w:t>
            </w:r>
          </w:p>
        </w:tc>
        <w:tc>
          <w:tcPr>
            <w:tcW w:w="107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$ 36.429.379.529</w:t>
            </w:r>
          </w:p>
        </w:tc>
        <w:tc>
          <w:tcPr>
            <w:tcW w:w="73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21</w:t>
            </w:r>
          </w:p>
        </w:tc>
        <w:tc>
          <w:tcPr>
            <w:tcW w:w="811"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19 EJECUTADOS 2 EN EJECUCION</w:t>
            </w:r>
          </w:p>
        </w:tc>
      </w:tr>
      <w:tr w:rsidR="00201A56" w:rsidRPr="00201A56" w:rsidTr="00201A56">
        <w:trPr>
          <w:trHeight w:val="300"/>
          <w:jc w:val="center"/>
        </w:trPr>
        <w:tc>
          <w:tcPr>
            <w:cnfStyle w:val="001000000000"/>
            <w:tcW w:w="1047" w:type="pct"/>
            <w:vMerge/>
            <w:hideMark/>
          </w:tcPr>
          <w:p w:rsidR="00201A56" w:rsidRPr="00201A56" w:rsidRDefault="00201A56" w:rsidP="00201A56">
            <w:pPr>
              <w:rPr>
                <w:rFonts w:ascii="Verdana" w:hAnsi="Verdana" w:cs="Tahoma"/>
                <w:sz w:val="18"/>
                <w:szCs w:val="18"/>
                <w:lang w:eastAsia="es-CO"/>
              </w:rPr>
            </w:pPr>
          </w:p>
        </w:tc>
        <w:tc>
          <w:tcPr>
            <w:tcW w:w="1335"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CONVENIO DE COOPERACION</w:t>
            </w:r>
          </w:p>
        </w:tc>
        <w:tc>
          <w:tcPr>
            <w:tcW w:w="107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$ 11.620.934.996</w:t>
            </w:r>
          </w:p>
        </w:tc>
        <w:tc>
          <w:tcPr>
            <w:tcW w:w="73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7</w:t>
            </w:r>
          </w:p>
        </w:tc>
        <w:tc>
          <w:tcPr>
            <w:tcW w:w="811"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EN EJECUCION</w:t>
            </w:r>
          </w:p>
        </w:tc>
      </w:tr>
      <w:tr w:rsidR="00201A56" w:rsidRPr="00201A56" w:rsidTr="00201A56">
        <w:trPr>
          <w:cnfStyle w:val="000000100000"/>
          <w:trHeight w:val="525"/>
          <w:jc w:val="center"/>
        </w:trPr>
        <w:tc>
          <w:tcPr>
            <w:cnfStyle w:val="001000000000"/>
            <w:tcW w:w="1047" w:type="pct"/>
            <w:vMerge/>
            <w:hideMark/>
          </w:tcPr>
          <w:p w:rsidR="00201A56" w:rsidRPr="00201A56" w:rsidRDefault="00201A56" w:rsidP="00201A56">
            <w:pPr>
              <w:rPr>
                <w:rFonts w:ascii="Verdana" w:hAnsi="Verdana" w:cs="Tahoma"/>
                <w:sz w:val="18"/>
                <w:szCs w:val="18"/>
                <w:lang w:eastAsia="es-CO"/>
              </w:rPr>
            </w:pPr>
          </w:p>
        </w:tc>
        <w:tc>
          <w:tcPr>
            <w:tcW w:w="1335"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CONVENIO DE COOPERACION INTERNACIONAL</w:t>
            </w:r>
          </w:p>
        </w:tc>
        <w:tc>
          <w:tcPr>
            <w:tcW w:w="107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$ 3.083.974.586</w:t>
            </w:r>
          </w:p>
        </w:tc>
        <w:tc>
          <w:tcPr>
            <w:tcW w:w="73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1</w:t>
            </w:r>
          </w:p>
        </w:tc>
        <w:tc>
          <w:tcPr>
            <w:tcW w:w="811"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EJECUTADO</w:t>
            </w:r>
          </w:p>
        </w:tc>
      </w:tr>
      <w:tr w:rsidR="00201A56" w:rsidRPr="00201A56" w:rsidTr="00201A56">
        <w:trPr>
          <w:trHeight w:val="525"/>
          <w:jc w:val="center"/>
        </w:trPr>
        <w:tc>
          <w:tcPr>
            <w:cnfStyle w:val="001000000000"/>
            <w:tcW w:w="1047" w:type="pct"/>
            <w:vMerge/>
            <w:hideMark/>
          </w:tcPr>
          <w:p w:rsidR="00201A56" w:rsidRPr="00201A56" w:rsidRDefault="00201A56" w:rsidP="00201A56">
            <w:pPr>
              <w:rPr>
                <w:rFonts w:ascii="Verdana" w:hAnsi="Verdana" w:cs="Tahoma"/>
                <w:sz w:val="18"/>
                <w:szCs w:val="18"/>
                <w:lang w:eastAsia="es-CO"/>
              </w:rPr>
            </w:pPr>
          </w:p>
        </w:tc>
        <w:tc>
          <w:tcPr>
            <w:tcW w:w="1335"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CONVENIO DE INTERCAMBIO Y CONFIDENCIALIDAD DE LA INFORMACION</w:t>
            </w:r>
          </w:p>
        </w:tc>
        <w:tc>
          <w:tcPr>
            <w:tcW w:w="107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$ 0</w:t>
            </w:r>
          </w:p>
        </w:tc>
        <w:tc>
          <w:tcPr>
            <w:tcW w:w="73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1</w:t>
            </w:r>
          </w:p>
        </w:tc>
        <w:tc>
          <w:tcPr>
            <w:tcW w:w="811"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EN EJECUCION</w:t>
            </w:r>
          </w:p>
        </w:tc>
      </w:tr>
      <w:tr w:rsidR="00201A56" w:rsidRPr="00201A56" w:rsidTr="00201A56">
        <w:trPr>
          <w:cnfStyle w:val="000000100000"/>
          <w:trHeight w:val="300"/>
          <w:jc w:val="center"/>
        </w:trPr>
        <w:tc>
          <w:tcPr>
            <w:cnfStyle w:val="001000000000"/>
            <w:tcW w:w="1047" w:type="pct"/>
            <w:vMerge/>
            <w:hideMark/>
          </w:tcPr>
          <w:p w:rsidR="00201A56" w:rsidRPr="00201A56" w:rsidRDefault="00201A56" w:rsidP="00201A56">
            <w:pPr>
              <w:rPr>
                <w:rFonts w:ascii="Verdana" w:hAnsi="Verdana" w:cs="Tahoma"/>
                <w:sz w:val="18"/>
                <w:szCs w:val="18"/>
                <w:lang w:eastAsia="es-CO"/>
              </w:rPr>
            </w:pPr>
          </w:p>
        </w:tc>
        <w:tc>
          <w:tcPr>
            <w:tcW w:w="1335"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CONVENIO DE RECAUDO</w:t>
            </w:r>
          </w:p>
        </w:tc>
        <w:tc>
          <w:tcPr>
            <w:tcW w:w="107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$ 0</w:t>
            </w:r>
          </w:p>
        </w:tc>
        <w:tc>
          <w:tcPr>
            <w:tcW w:w="73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2</w:t>
            </w:r>
          </w:p>
        </w:tc>
        <w:tc>
          <w:tcPr>
            <w:tcW w:w="811"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EN EJECUCION</w:t>
            </w:r>
          </w:p>
        </w:tc>
      </w:tr>
      <w:tr w:rsidR="00201A56" w:rsidRPr="00201A56" w:rsidTr="00201A56">
        <w:trPr>
          <w:trHeight w:val="525"/>
          <w:jc w:val="center"/>
        </w:trPr>
        <w:tc>
          <w:tcPr>
            <w:cnfStyle w:val="001000000000"/>
            <w:tcW w:w="1047" w:type="pct"/>
            <w:vMerge/>
            <w:hideMark/>
          </w:tcPr>
          <w:p w:rsidR="00201A56" w:rsidRPr="00201A56" w:rsidRDefault="00201A56" w:rsidP="00201A56">
            <w:pPr>
              <w:rPr>
                <w:rFonts w:ascii="Verdana" w:hAnsi="Verdana" w:cs="Tahoma"/>
                <w:sz w:val="18"/>
                <w:szCs w:val="18"/>
                <w:lang w:eastAsia="es-CO"/>
              </w:rPr>
            </w:pPr>
          </w:p>
        </w:tc>
        <w:tc>
          <w:tcPr>
            <w:tcW w:w="1335"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CONVENIO INTERADMINISTRATIVO</w:t>
            </w:r>
          </w:p>
        </w:tc>
        <w:tc>
          <w:tcPr>
            <w:tcW w:w="107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$ 40.955.946.660</w:t>
            </w:r>
          </w:p>
        </w:tc>
        <w:tc>
          <w:tcPr>
            <w:tcW w:w="73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30</w:t>
            </w:r>
          </w:p>
        </w:tc>
        <w:tc>
          <w:tcPr>
            <w:tcW w:w="811"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7 EJECUTADOS 23 EN EJECUCION</w:t>
            </w:r>
          </w:p>
        </w:tc>
      </w:tr>
      <w:tr w:rsidR="00201A56" w:rsidRPr="00201A56" w:rsidTr="00201A56">
        <w:trPr>
          <w:cnfStyle w:val="000000100000"/>
          <w:trHeight w:val="525"/>
          <w:jc w:val="center"/>
        </w:trPr>
        <w:tc>
          <w:tcPr>
            <w:cnfStyle w:val="001000000000"/>
            <w:tcW w:w="1047" w:type="pct"/>
            <w:vMerge/>
            <w:hideMark/>
          </w:tcPr>
          <w:p w:rsidR="00201A56" w:rsidRPr="00201A56" w:rsidRDefault="00201A56" w:rsidP="00201A56">
            <w:pPr>
              <w:rPr>
                <w:rFonts w:ascii="Verdana" w:hAnsi="Verdana" w:cs="Tahoma"/>
                <w:sz w:val="18"/>
                <w:szCs w:val="18"/>
                <w:lang w:eastAsia="es-CO"/>
              </w:rPr>
            </w:pPr>
          </w:p>
        </w:tc>
        <w:tc>
          <w:tcPr>
            <w:tcW w:w="1335"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PRESTACION DE SERVICIOS</w:t>
            </w:r>
          </w:p>
        </w:tc>
        <w:tc>
          <w:tcPr>
            <w:tcW w:w="107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$ 798.390.480</w:t>
            </w:r>
          </w:p>
        </w:tc>
        <w:tc>
          <w:tcPr>
            <w:tcW w:w="73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10</w:t>
            </w:r>
          </w:p>
        </w:tc>
        <w:tc>
          <w:tcPr>
            <w:tcW w:w="811"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8 EJECUTADOS 2 EN EJECUCION</w:t>
            </w:r>
          </w:p>
        </w:tc>
      </w:tr>
      <w:tr w:rsidR="00201A56" w:rsidRPr="00201A56" w:rsidTr="00201A56">
        <w:trPr>
          <w:trHeight w:val="525"/>
          <w:jc w:val="center"/>
        </w:trPr>
        <w:tc>
          <w:tcPr>
            <w:cnfStyle w:val="001000000000"/>
            <w:tcW w:w="1047" w:type="pct"/>
            <w:vMerge/>
            <w:hideMark/>
          </w:tcPr>
          <w:p w:rsidR="00201A56" w:rsidRPr="00201A56" w:rsidRDefault="00201A56" w:rsidP="00201A56">
            <w:pPr>
              <w:rPr>
                <w:rFonts w:ascii="Verdana" w:hAnsi="Verdana" w:cs="Tahoma"/>
                <w:sz w:val="18"/>
                <w:szCs w:val="18"/>
                <w:lang w:eastAsia="es-CO"/>
              </w:rPr>
            </w:pPr>
          </w:p>
        </w:tc>
        <w:tc>
          <w:tcPr>
            <w:tcW w:w="1335"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PRESTACION DE SERVICIOS PROFESIONALES Y DE APOYO A LA GESTION</w:t>
            </w:r>
          </w:p>
        </w:tc>
        <w:tc>
          <w:tcPr>
            <w:tcW w:w="107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$ 51.263.523.179</w:t>
            </w:r>
          </w:p>
        </w:tc>
        <w:tc>
          <w:tcPr>
            <w:tcW w:w="73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1362</w:t>
            </w:r>
          </w:p>
        </w:tc>
        <w:tc>
          <w:tcPr>
            <w:tcW w:w="811"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EJECUTADO</w:t>
            </w:r>
          </w:p>
        </w:tc>
      </w:tr>
      <w:tr w:rsidR="00201A56" w:rsidRPr="00201A56" w:rsidTr="00201A56">
        <w:trPr>
          <w:cnfStyle w:val="000000100000"/>
          <w:trHeight w:val="300"/>
          <w:jc w:val="center"/>
        </w:trPr>
        <w:tc>
          <w:tcPr>
            <w:cnfStyle w:val="001000000000"/>
            <w:tcW w:w="1047" w:type="pct"/>
            <w:hideMark/>
          </w:tcPr>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Total CONTRATACION DIRECTA</w:t>
            </w:r>
          </w:p>
        </w:tc>
        <w:tc>
          <w:tcPr>
            <w:tcW w:w="1335"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w:t>
            </w:r>
          </w:p>
        </w:tc>
        <w:tc>
          <w:tcPr>
            <w:tcW w:w="107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$ 621.951.821.873</w:t>
            </w:r>
          </w:p>
        </w:tc>
        <w:tc>
          <w:tcPr>
            <w:tcW w:w="73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1531</w:t>
            </w:r>
          </w:p>
        </w:tc>
        <w:tc>
          <w:tcPr>
            <w:tcW w:w="811"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w:t>
            </w:r>
          </w:p>
        </w:tc>
      </w:tr>
      <w:tr w:rsidR="00201A56" w:rsidRPr="00201A56" w:rsidTr="00201A56">
        <w:trPr>
          <w:trHeight w:val="300"/>
          <w:jc w:val="center"/>
        </w:trPr>
        <w:tc>
          <w:tcPr>
            <w:cnfStyle w:val="001000000000"/>
            <w:tcW w:w="1047" w:type="pct"/>
            <w:vMerge w:val="restart"/>
            <w:hideMark/>
          </w:tcPr>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LICITACION PUBLICA</w:t>
            </w:r>
          </w:p>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 </w:t>
            </w:r>
          </w:p>
        </w:tc>
        <w:tc>
          <w:tcPr>
            <w:tcW w:w="1335"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CONTRATO DE SUMINISTRO</w:t>
            </w:r>
          </w:p>
        </w:tc>
        <w:tc>
          <w:tcPr>
            <w:tcW w:w="107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$ 2.000.000.000</w:t>
            </w:r>
          </w:p>
        </w:tc>
        <w:tc>
          <w:tcPr>
            <w:tcW w:w="73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1</w:t>
            </w:r>
          </w:p>
        </w:tc>
        <w:tc>
          <w:tcPr>
            <w:tcW w:w="811"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EN EJECUCION</w:t>
            </w:r>
          </w:p>
        </w:tc>
      </w:tr>
      <w:tr w:rsidR="00201A56" w:rsidRPr="00201A56" w:rsidTr="00201A56">
        <w:trPr>
          <w:cnfStyle w:val="000000100000"/>
          <w:trHeight w:val="300"/>
          <w:jc w:val="center"/>
        </w:trPr>
        <w:tc>
          <w:tcPr>
            <w:cnfStyle w:val="001000000000"/>
            <w:tcW w:w="1047" w:type="pct"/>
            <w:vMerge/>
            <w:hideMark/>
          </w:tcPr>
          <w:p w:rsidR="00201A56" w:rsidRPr="00201A56" w:rsidRDefault="00201A56" w:rsidP="00201A56">
            <w:pPr>
              <w:rPr>
                <w:rFonts w:ascii="Verdana" w:hAnsi="Verdana" w:cs="Tahoma"/>
                <w:sz w:val="18"/>
                <w:szCs w:val="18"/>
                <w:lang w:eastAsia="es-CO"/>
              </w:rPr>
            </w:pPr>
          </w:p>
        </w:tc>
        <w:tc>
          <w:tcPr>
            <w:tcW w:w="1335"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PRESTACION DE SERVICIOS</w:t>
            </w:r>
          </w:p>
        </w:tc>
        <w:tc>
          <w:tcPr>
            <w:tcW w:w="107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$ 16.423.978.247</w:t>
            </w:r>
          </w:p>
        </w:tc>
        <w:tc>
          <w:tcPr>
            <w:tcW w:w="73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2</w:t>
            </w:r>
          </w:p>
        </w:tc>
        <w:tc>
          <w:tcPr>
            <w:tcW w:w="811"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EN EJECUCION</w:t>
            </w:r>
          </w:p>
        </w:tc>
      </w:tr>
      <w:tr w:rsidR="00201A56" w:rsidRPr="00201A56" w:rsidTr="00201A56">
        <w:trPr>
          <w:trHeight w:val="300"/>
          <w:jc w:val="center"/>
        </w:trPr>
        <w:tc>
          <w:tcPr>
            <w:cnfStyle w:val="001000000000"/>
            <w:tcW w:w="1047" w:type="pct"/>
            <w:hideMark/>
          </w:tcPr>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Total LICITACION PUBLICA</w:t>
            </w:r>
          </w:p>
        </w:tc>
        <w:tc>
          <w:tcPr>
            <w:tcW w:w="1335"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 </w:t>
            </w:r>
          </w:p>
        </w:tc>
        <w:tc>
          <w:tcPr>
            <w:tcW w:w="107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$ 18.423.978.247</w:t>
            </w:r>
          </w:p>
        </w:tc>
        <w:tc>
          <w:tcPr>
            <w:tcW w:w="73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3</w:t>
            </w:r>
          </w:p>
        </w:tc>
        <w:tc>
          <w:tcPr>
            <w:tcW w:w="811"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 </w:t>
            </w:r>
          </w:p>
        </w:tc>
      </w:tr>
      <w:tr w:rsidR="00201A56" w:rsidRPr="00201A56" w:rsidTr="00201A56">
        <w:trPr>
          <w:cnfStyle w:val="000000100000"/>
          <w:trHeight w:val="525"/>
          <w:jc w:val="center"/>
        </w:trPr>
        <w:tc>
          <w:tcPr>
            <w:cnfStyle w:val="001000000000"/>
            <w:tcW w:w="1047" w:type="pct"/>
            <w:vMerge w:val="restart"/>
            <w:hideMark/>
          </w:tcPr>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MINIMA CUANTIA</w:t>
            </w:r>
          </w:p>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 </w:t>
            </w:r>
          </w:p>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 </w:t>
            </w:r>
          </w:p>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 </w:t>
            </w:r>
          </w:p>
        </w:tc>
        <w:tc>
          <w:tcPr>
            <w:tcW w:w="1335"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CONTRATO DE COMPRAVENTA Y/O SUMINISTRO</w:t>
            </w:r>
          </w:p>
        </w:tc>
        <w:tc>
          <w:tcPr>
            <w:tcW w:w="107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$ 380.097.330</w:t>
            </w:r>
          </w:p>
        </w:tc>
        <w:tc>
          <w:tcPr>
            <w:tcW w:w="73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20</w:t>
            </w:r>
          </w:p>
        </w:tc>
        <w:tc>
          <w:tcPr>
            <w:tcW w:w="811"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EJECUTADO</w:t>
            </w:r>
          </w:p>
        </w:tc>
      </w:tr>
      <w:tr w:rsidR="00201A56" w:rsidRPr="00201A56" w:rsidTr="00201A56">
        <w:trPr>
          <w:trHeight w:val="300"/>
          <w:jc w:val="center"/>
        </w:trPr>
        <w:tc>
          <w:tcPr>
            <w:cnfStyle w:val="001000000000"/>
            <w:tcW w:w="1047" w:type="pct"/>
            <w:vMerge/>
            <w:hideMark/>
          </w:tcPr>
          <w:p w:rsidR="00201A56" w:rsidRPr="00201A56" w:rsidRDefault="00201A56" w:rsidP="00201A56">
            <w:pPr>
              <w:rPr>
                <w:rFonts w:ascii="Verdana" w:hAnsi="Verdana" w:cs="Tahoma"/>
                <w:sz w:val="18"/>
                <w:szCs w:val="18"/>
                <w:lang w:eastAsia="es-CO"/>
              </w:rPr>
            </w:pPr>
          </w:p>
        </w:tc>
        <w:tc>
          <w:tcPr>
            <w:tcW w:w="1335"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PRESTACION DE SERVICIOS</w:t>
            </w:r>
          </w:p>
        </w:tc>
        <w:tc>
          <w:tcPr>
            <w:tcW w:w="107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$ 27.604.000</w:t>
            </w:r>
          </w:p>
        </w:tc>
        <w:tc>
          <w:tcPr>
            <w:tcW w:w="73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2</w:t>
            </w:r>
          </w:p>
        </w:tc>
        <w:tc>
          <w:tcPr>
            <w:tcW w:w="811"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EJECUTADO</w:t>
            </w:r>
          </w:p>
        </w:tc>
      </w:tr>
      <w:tr w:rsidR="00201A56" w:rsidRPr="00201A56" w:rsidTr="00201A56">
        <w:trPr>
          <w:cnfStyle w:val="000000100000"/>
          <w:trHeight w:val="300"/>
          <w:jc w:val="center"/>
        </w:trPr>
        <w:tc>
          <w:tcPr>
            <w:cnfStyle w:val="001000000000"/>
            <w:tcW w:w="1047" w:type="pct"/>
            <w:vMerge/>
            <w:hideMark/>
          </w:tcPr>
          <w:p w:rsidR="00201A56" w:rsidRPr="00201A56" w:rsidRDefault="00201A56" w:rsidP="00201A56">
            <w:pPr>
              <w:rPr>
                <w:rFonts w:ascii="Verdana" w:hAnsi="Verdana" w:cs="Tahoma"/>
                <w:sz w:val="18"/>
                <w:szCs w:val="18"/>
                <w:lang w:eastAsia="es-CO"/>
              </w:rPr>
            </w:pPr>
          </w:p>
        </w:tc>
        <w:tc>
          <w:tcPr>
            <w:tcW w:w="1335"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SEGUROS</w:t>
            </w:r>
          </w:p>
        </w:tc>
        <w:tc>
          <w:tcPr>
            <w:tcW w:w="107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$ 10.668.897</w:t>
            </w:r>
          </w:p>
        </w:tc>
        <w:tc>
          <w:tcPr>
            <w:tcW w:w="73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1</w:t>
            </w:r>
          </w:p>
        </w:tc>
        <w:tc>
          <w:tcPr>
            <w:tcW w:w="811"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EN EJECUCION</w:t>
            </w:r>
          </w:p>
        </w:tc>
      </w:tr>
      <w:tr w:rsidR="00201A56" w:rsidRPr="00201A56" w:rsidTr="00201A56">
        <w:trPr>
          <w:trHeight w:val="300"/>
          <w:jc w:val="center"/>
        </w:trPr>
        <w:tc>
          <w:tcPr>
            <w:cnfStyle w:val="001000000000"/>
            <w:tcW w:w="1047" w:type="pct"/>
            <w:vMerge/>
            <w:hideMark/>
          </w:tcPr>
          <w:p w:rsidR="00201A56" w:rsidRPr="00201A56" w:rsidRDefault="00201A56" w:rsidP="00201A56">
            <w:pPr>
              <w:rPr>
                <w:rFonts w:ascii="Verdana" w:hAnsi="Verdana" w:cs="Tahoma"/>
                <w:sz w:val="18"/>
                <w:szCs w:val="18"/>
                <w:lang w:eastAsia="es-CO"/>
              </w:rPr>
            </w:pPr>
          </w:p>
        </w:tc>
        <w:tc>
          <w:tcPr>
            <w:tcW w:w="1335"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SERVICIOS DE SALUD</w:t>
            </w:r>
          </w:p>
        </w:tc>
        <w:tc>
          <w:tcPr>
            <w:tcW w:w="107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$ 47.210.000</w:t>
            </w:r>
          </w:p>
        </w:tc>
        <w:tc>
          <w:tcPr>
            <w:tcW w:w="73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1</w:t>
            </w:r>
          </w:p>
        </w:tc>
        <w:tc>
          <w:tcPr>
            <w:tcW w:w="811"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EJECUTADO</w:t>
            </w:r>
          </w:p>
        </w:tc>
      </w:tr>
      <w:tr w:rsidR="00201A56" w:rsidRPr="00201A56" w:rsidTr="00201A56">
        <w:trPr>
          <w:cnfStyle w:val="000000100000"/>
          <w:trHeight w:val="300"/>
          <w:jc w:val="center"/>
        </w:trPr>
        <w:tc>
          <w:tcPr>
            <w:cnfStyle w:val="001000000000"/>
            <w:tcW w:w="1047" w:type="pct"/>
            <w:hideMark/>
          </w:tcPr>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Total MINIMA CUANTIA</w:t>
            </w:r>
          </w:p>
        </w:tc>
        <w:tc>
          <w:tcPr>
            <w:tcW w:w="1335"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w:t>
            </w:r>
          </w:p>
        </w:tc>
        <w:tc>
          <w:tcPr>
            <w:tcW w:w="107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$ 465.580.227</w:t>
            </w:r>
          </w:p>
        </w:tc>
        <w:tc>
          <w:tcPr>
            <w:tcW w:w="73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24</w:t>
            </w:r>
          </w:p>
        </w:tc>
        <w:tc>
          <w:tcPr>
            <w:tcW w:w="811"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w:t>
            </w:r>
          </w:p>
        </w:tc>
      </w:tr>
      <w:tr w:rsidR="00201A56" w:rsidRPr="00201A56" w:rsidTr="00201A56">
        <w:trPr>
          <w:trHeight w:val="525"/>
          <w:jc w:val="center"/>
        </w:trPr>
        <w:tc>
          <w:tcPr>
            <w:cnfStyle w:val="001000000000"/>
            <w:tcW w:w="1047" w:type="pct"/>
            <w:hideMark/>
          </w:tcPr>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lastRenderedPageBreak/>
              <w:t>SELECCION ABREVIADA</w:t>
            </w:r>
          </w:p>
        </w:tc>
        <w:tc>
          <w:tcPr>
            <w:tcW w:w="1335"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PRESTACION DE SERVICIOS</w:t>
            </w:r>
          </w:p>
        </w:tc>
        <w:tc>
          <w:tcPr>
            <w:tcW w:w="107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$ 37.982.464.357</w:t>
            </w:r>
          </w:p>
        </w:tc>
        <w:tc>
          <w:tcPr>
            <w:tcW w:w="73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7</w:t>
            </w:r>
          </w:p>
        </w:tc>
        <w:tc>
          <w:tcPr>
            <w:tcW w:w="811"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4 EJECUTADOS 3 EN EJECUCION</w:t>
            </w:r>
          </w:p>
        </w:tc>
      </w:tr>
      <w:tr w:rsidR="00201A56" w:rsidRPr="00201A56" w:rsidTr="00201A56">
        <w:trPr>
          <w:cnfStyle w:val="000000100000"/>
          <w:trHeight w:val="300"/>
          <w:jc w:val="center"/>
        </w:trPr>
        <w:tc>
          <w:tcPr>
            <w:cnfStyle w:val="001000000000"/>
            <w:tcW w:w="1047" w:type="pct"/>
            <w:hideMark/>
          </w:tcPr>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Total SELECCION ABREVIADA</w:t>
            </w:r>
          </w:p>
        </w:tc>
        <w:tc>
          <w:tcPr>
            <w:tcW w:w="1335"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w:t>
            </w:r>
          </w:p>
        </w:tc>
        <w:tc>
          <w:tcPr>
            <w:tcW w:w="107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$ 37.982.464.357</w:t>
            </w:r>
          </w:p>
        </w:tc>
        <w:tc>
          <w:tcPr>
            <w:tcW w:w="73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7</w:t>
            </w:r>
          </w:p>
        </w:tc>
        <w:tc>
          <w:tcPr>
            <w:tcW w:w="811"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w:t>
            </w:r>
          </w:p>
        </w:tc>
      </w:tr>
      <w:tr w:rsidR="00201A56" w:rsidRPr="00201A56" w:rsidTr="00201A56">
        <w:trPr>
          <w:trHeight w:val="1035"/>
          <w:jc w:val="center"/>
        </w:trPr>
        <w:tc>
          <w:tcPr>
            <w:cnfStyle w:val="001000000000"/>
            <w:tcW w:w="1047" w:type="pct"/>
            <w:hideMark/>
          </w:tcPr>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SELECCIÓN ABREVIADA BOLSA DE PRODUCTOS</w:t>
            </w:r>
          </w:p>
        </w:tc>
        <w:tc>
          <w:tcPr>
            <w:tcW w:w="1335"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CONTRATO DE COMISION</w:t>
            </w:r>
          </w:p>
        </w:tc>
        <w:tc>
          <w:tcPr>
            <w:tcW w:w="107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$ 63.510.933.938</w:t>
            </w:r>
          </w:p>
        </w:tc>
        <w:tc>
          <w:tcPr>
            <w:tcW w:w="73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9</w:t>
            </w:r>
          </w:p>
        </w:tc>
        <w:tc>
          <w:tcPr>
            <w:tcW w:w="811"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5 EJECUTADOS 4 EN EJECUCION</w:t>
            </w:r>
          </w:p>
        </w:tc>
      </w:tr>
      <w:tr w:rsidR="00201A56" w:rsidRPr="00201A56" w:rsidTr="00201A56">
        <w:trPr>
          <w:cnfStyle w:val="000000100000"/>
          <w:trHeight w:val="525"/>
          <w:jc w:val="center"/>
        </w:trPr>
        <w:tc>
          <w:tcPr>
            <w:cnfStyle w:val="001000000000"/>
            <w:tcW w:w="1047" w:type="pct"/>
            <w:hideMark/>
          </w:tcPr>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Total SELECCIÓN ABREVIADA BOLSA DE PRODUCTOS</w:t>
            </w:r>
          </w:p>
        </w:tc>
        <w:tc>
          <w:tcPr>
            <w:tcW w:w="1335"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w:t>
            </w:r>
          </w:p>
        </w:tc>
        <w:tc>
          <w:tcPr>
            <w:tcW w:w="107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$ 63.510.933.938</w:t>
            </w:r>
          </w:p>
        </w:tc>
        <w:tc>
          <w:tcPr>
            <w:tcW w:w="73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9</w:t>
            </w:r>
          </w:p>
        </w:tc>
        <w:tc>
          <w:tcPr>
            <w:tcW w:w="811"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w:t>
            </w:r>
          </w:p>
        </w:tc>
      </w:tr>
      <w:tr w:rsidR="00201A56" w:rsidRPr="00201A56" w:rsidTr="00201A56">
        <w:trPr>
          <w:trHeight w:val="1035"/>
          <w:jc w:val="center"/>
        </w:trPr>
        <w:tc>
          <w:tcPr>
            <w:cnfStyle w:val="001000000000"/>
            <w:tcW w:w="1047" w:type="pct"/>
            <w:hideMark/>
          </w:tcPr>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SELECCION ABREVIADA SUBASTA INVERSA</w:t>
            </w:r>
          </w:p>
        </w:tc>
        <w:tc>
          <w:tcPr>
            <w:tcW w:w="1335"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CONTRATO DE COMPRAVENTA Y/O SUMINISTRO</w:t>
            </w:r>
          </w:p>
        </w:tc>
        <w:tc>
          <w:tcPr>
            <w:tcW w:w="107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$ 1.409.397.737</w:t>
            </w:r>
          </w:p>
        </w:tc>
        <w:tc>
          <w:tcPr>
            <w:tcW w:w="73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6</w:t>
            </w:r>
          </w:p>
        </w:tc>
        <w:tc>
          <w:tcPr>
            <w:tcW w:w="811"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5 EJECUTADOS 1 EN EJECUCION</w:t>
            </w:r>
          </w:p>
        </w:tc>
      </w:tr>
      <w:tr w:rsidR="00201A56" w:rsidRPr="00201A56" w:rsidTr="00201A56">
        <w:trPr>
          <w:cnfStyle w:val="000000100000"/>
          <w:trHeight w:val="525"/>
          <w:jc w:val="center"/>
        </w:trPr>
        <w:tc>
          <w:tcPr>
            <w:cnfStyle w:val="001000000000"/>
            <w:tcW w:w="1047" w:type="pct"/>
            <w:hideMark/>
          </w:tcPr>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Total SELECCION ABREVIADA SUBASTA INVERSA</w:t>
            </w:r>
          </w:p>
        </w:tc>
        <w:tc>
          <w:tcPr>
            <w:tcW w:w="1335"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w:t>
            </w:r>
          </w:p>
        </w:tc>
        <w:tc>
          <w:tcPr>
            <w:tcW w:w="107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$ 1.409.397.737</w:t>
            </w:r>
          </w:p>
        </w:tc>
        <w:tc>
          <w:tcPr>
            <w:tcW w:w="733" w:type="pct"/>
            <w:hideMark/>
          </w:tcPr>
          <w:p w:rsidR="00201A56" w:rsidRPr="00201A56" w:rsidRDefault="00201A56" w:rsidP="00201A56">
            <w:pPr>
              <w:jc w:val="right"/>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6</w:t>
            </w:r>
          </w:p>
        </w:tc>
        <w:tc>
          <w:tcPr>
            <w:tcW w:w="811" w:type="pct"/>
            <w:hideMark/>
          </w:tcPr>
          <w:p w:rsidR="00201A56" w:rsidRPr="00201A56" w:rsidRDefault="00201A56" w:rsidP="00201A56">
            <w:pP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w:t>
            </w:r>
          </w:p>
        </w:tc>
      </w:tr>
      <w:tr w:rsidR="00201A56" w:rsidRPr="00201A56" w:rsidTr="00201A56">
        <w:trPr>
          <w:trHeight w:val="525"/>
          <w:jc w:val="center"/>
        </w:trPr>
        <w:tc>
          <w:tcPr>
            <w:cnfStyle w:val="001000000000"/>
            <w:tcW w:w="1047" w:type="pct"/>
            <w:hideMark/>
          </w:tcPr>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ACUERDOS MARCO DE SERVICIOS</w:t>
            </w:r>
          </w:p>
        </w:tc>
        <w:tc>
          <w:tcPr>
            <w:tcW w:w="1335"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ORDEN DE COMPRA</w:t>
            </w:r>
          </w:p>
        </w:tc>
        <w:tc>
          <w:tcPr>
            <w:tcW w:w="107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$ 130.590.287.122</w:t>
            </w:r>
          </w:p>
        </w:tc>
        <w:tc>
          <w:tcPr>
            <w:tcW w:w="733" w:type="pct"/>
            <w:hideMark/>
          </w:tcPr>
          <w:p w:rsidR="00201A56" w:rsidRPr="00201A56" w:rsidRDefault="00201A56" w:rsidP="00201A56">
            <w:pPr>
              <w:jc w:val="right"/>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14</w:t>
            </w:r>
          </w:p>
        </w:tc>
        <w:tc>
          <w:tcPr>
            <w:tcW w:w="811"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EN EJECUCION</w:t>
            </w:r>
          </w:p>
        </w:tc>
      </w:tr>
      <w:tr w:rsidR="00201A56" w:rsidRPr="00201A56" w:rsidTr="00201A56">
        <w:trPr>
          <w:cnfStyle w:val="000000100000"/>
          <w:trHeight w:val="525"/>
          <w:jc w:val="center"/>
        </w:trPr>
        <w:tc>
          <w:tcPr>
            <w:cnfStyle w:val="001000000000"/>
            <w:tcW w:w="1047" w:type="pct"/>
            <w:hideMark/>
          </w:tcPr>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Total ACUERDOS MARCO DE SERVICIOS</w:t>
            </w:r>
          </w:p>
        </w:tc>
        <w:tc>
          <w:tcPr>
            <w:tcW w:w="1335" w:type="pct"/>
          </w:tcPr>
          <w:p w:rsidR="00201A56" w:rsidRPr="00201A56" w:rsidRDefault="00201A56" w:rsidP="00201A56">
            <w:pPr>
              <w:cnfStyle w:val="000000100000"/>
              <w:rPr>
                <w:rFonts w:ascii="Verdana" w:hAnsi="Verdana" w:cs="Tahoma"/>
                <w:color w:val="000000"/>
                <w:sz w:val="18"/>
                <w:szCs w:val="18"/>
                <w:lang w:eastAsia="es-CO"/>
              </w:rPr>
            </w:pPr>
          </w:p>
        </w:tc>
        <w:tc>
          <w:tcPr>
            <w:tcW w:w="1073" w:type="pct"/>
          </w:tcPr>
          <w:p w:rsidR="00201A56" w:rsidRPr="00201A56" w:rsidRDefault="00201A56" w:rsidP="00201A56">
            <w:pPr>
              <w:jc w:val="right"/>
              <w:cnfStyle w:val="000000100000"/>
              <w:rPr>
                <w:rFonts w:ascii="Verdana" w:hAnsi="Verdana" w:cs="Tahoma"/>
                <w:color w:val="000000"/>
                <w:sz w:val="18"/>
                <w:szCs w:val="18"/>
                <w:lang w:eastAsia="es-CO"/>
              </w:rPr>
            </w:pPr>
          </w:p>
        </w:tc>
        <w:tc>
          <w:tcPr>
            <w:tcW w:w="733" w:type="pct"/>
          </w:tcPr>
          <w:p w:rsidR="00201A56" w:rsidRPr="00201A56" w:rsidRDefault="00201A56" w:rsidP="00201A56">
            <w:pPr>
              <w:jc w:val="right"/>
              <w:cnfStyle w:val="000000100000"/>
              <w:rPr>
                <w:rFonts w:ascii="Verdana" w:hAnsi="Verdana" w:cs="Tahoma"/>
                <w:color w:val="000000"/>
                <w:sz w:val="18"/>
                <w:szCs w:val="18"/>
                <w:lang w:eastAsia="es-CO"/>
              </w:rPr>
            </w:pPr>
          </w:p>
        </w:tc>
        <w:tc>
          <w:tcPr>
            <w:tcW w:w="811" w:type="pct"/>
          </w:tcPr>
          <w:p w:rsidR="00201A56" w:rsidRPr="00201A56" w:rsidRDefault="00201A56" w:rsidP="00201A56">
            <w:pPr>
              <w:cnfStyle w:val="000000100000"/>
              <w:rPr>
                <w:rFonts w:ascii="Verdana" w:hAnsi="Verdana" w:cs="Tahoma"/>
                <w:color w:val="000000"/>
                <w:sz w:val="18"/>
                <w:szCs w:val="18"/>
                <w:lang w:eastAsia="es-CO"/>
              </w:rPr>
            </w:pPr>
          </w:p>
        </w:tc>
      </w:tr>
      <w:tr w:rsidR="00201A56" w:rsidRPr="00201A56" w:rsidTr="00201A56">
        <w:trPr>
          <w:trHeight w:val="300"/>
          <w:jc w:val="center"/>
        </w:trPr>
        <w:tc>
          <w:tcPr>
            <w:cnfStyle w:val="001000000000"/>
            <w:tcW w:w="1047" w:type="pct"/>
            <w:hideMark/>
          </w:tcPr>
          <w:p w:rsidR="00201A56" w:rsidRPr="00201A56" w:rsidRDefault="00201A56" w:rsidP="00201A56">
            <w:pPr>
              <w:rPr>
                <w:rFonts w:ascii="Verdana" w:hAnsi="Verdana" w:cs="Tahoma"/>
                <w:sz w:val="18"/>
                <w:szCs w:val="18"/>
                <w:u w:val="single"/>
                <w:lang w:eastAsia="es-CO"/>
              </w:rPr>
            </w:pPr>
            <w:r w:rsidRPr="00201A56">
              <w:rPr>
                <w:rFonts w:ascii="Verdana" w:hAnsi="Verdana" w:cs="Tahoma"/>
                <w:b w:val="0"/>
                <w:bCs w:val="0"/>
                <w:sz w:val="18"/>
                <w:szCs w:val="18"/>
                <w:u w:val="single"/>
                <w:lang w:eastAsia="es-CO"/>
              </w:rPr>
              <w:t>Total general</w:t>
            </w:r>
          </w:p>
        </w:tc>
        <w:tc>
          <w:tcPr>
            <w:tcW w:w="1335" w:type="pct"/>
            <w:hideMark/>
          </w:tcPr>
          <w:p w:rsidR="00201A56" w:rsidRPr="00201A56" w:rsidRDefault="00201A56" w:rsidP="00201A56">
            <w:pPr>
              <w:cnfStyle w:val="000000000000"/>
              <w:rPr>
                <w:rFonts w:ascii="Verdana" w:hAnsi="Verdana" w:cs="Tahoma"/>
                <w:b/>
                <w:bCs/>
                <w:color w:val="000000"/>
                <w:sz w:val="18"/>
                <w:szCs w:val="18"/>
                <w:u w:val="single"/>
                <w:lang w:eastAsia="es-CO"/>
              </w:rPr>
            </w:pPr>
            <w:r w:rsidRPr="00201A56">
              <w:rPr>
                <w:rFonts w:ascii="Verdana" w:hAnsi="Verdana" w:cs="Tahoma"/>
                <w:b/>
                <w:bCs/>
                <w:color w:val="000000"/>
                <w:sz w:val="18"/>
                <w:szCs w:val="18"/>
                <w:u w:val="single"/>
                <w:lang w:eastAsia="es-CO"/>
              </w:rPr>
              <w:t> </w:t>
            </w:r>
          </w:p>
        </w:tc>
        <w:tc>
          <w:tcPr>
            <w:tcW w:w="1073" w:type="pct"/>
            <w:hideMark/>
          </w:tcPr>
          <w:p w:rsidR="00201A56" w:rsidRPr="00201A56" w:rsidRDefault="00201A56" w:rsidP="00201A56">
            <w:pPr>
              <w:jc w:val="right"/>
              <w:cnfStyle w:val="000000000000"/>
              <w:rPr>
                <w:rFonts w:ascii="Verdana" w:hAnsi="Verdana" w:cs="Tahoma"/>
                <w:b/>
                <w:bCs/>
                <w:color w:val="000000"/>
                <w:sz w:val="18"/>
                <w:szCs w:val="18"/>
                <w:u w:val="single"/>
                <w:lang w:eastAsia="es-CO"/>
              </w:rPr>
            </w:pPr>
            <w:r w:rsidRPr="00201A56">
              <w:rPr>
                <w:rFonts w:ascii="Verdana" w:hAnsi="Verdana" w:cs="Tahoma"/>
                <w:b/>
                <w:bCs/>
                <w:color w:val="000000"/>
                <w:sz w:val="18"/>
                <w:szCs w:val="18"/>
                <w:u w:val="single"/>
                <w:lang w:eastAsia="es-CO"/>
              </w:rPr>
              <w:t>$ 876.269.676.385</w:t>
            </w:r>
          </w:p>
        </w:tc>
        <w:tc>
          <w:tcPr>
            <w:tcW w:w="733" w:type="pct"/>
            <w:hideMark/>
          </w:tcPr>
          <w:p w:rsidR="00201A56" w:rsidRPr="00201A56" w:rsidRDefault="00201A56" w:rsidP="00201A56">
            <w:pPr>
              <w:jc w:val="right"/>
              <w:cnfStyle w:val="000000000000"/>
              <w:rPr>
                <w:rFonts w:ascii="Verdana" w:hAnsi="Verdana" w:cs="Tahoma"/>
                <w:b/>
                <w:bCs/>
                <w:color w:val="000000"/>
                <w:sz w:val="18"/>
                <w:szCs w:val="18"/>
                <w:u w:val="single"/>
                <w:lang w:eastAsia="es-CO"/>
              </w:rPr>
            </w:pPr>
            <w:r w:rsidRPr="00201A56">
              <w:rPr>
                <w:rFonts w:ascii="Verdana" w:hAnsi="Verdana" w:cs="Tahoma"/>
                <w:b/>
                <w:bCs/>
                <w:color w:val="000000"/>
                <w:sz w:val="18"/>
                <w:szCs w:val="18"/>
                <w:u w:val="single"/>
                <w:lang w:eastAsia="es-CO"/>
              </w:rPr>
              <w:t>1597</w:t>
            </w:r>
          </w:p>
        </w:tc>
        <w:tc>
          <w:tcPr>
            <w:tcW w:w="811" w:type="pct"/>
            <w:hideMark/>
          </w:tcPr>
          <w:p w:rsidR="00201A56" w:rsidRPr="00201A56" w:rsidRDefault="00201A56" w:rsidP="00201A56">
            <w:pP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 </w:t>
            </w:r>
          </w:p>
        </w:tc>
      </w:tr>
    </w:tbl>
    <w:p w:rsidR="00201A56" w:rsidRDefault="00201A56" w:rsidP="00201A56">
      <w:pPr>
        <w:jc w:val="both"/>
        <w:rPr>
          <w:rFonts w:ascii="Verdana" w:hAnsi="Verdana" w:cs="Tahoma"/>
          <w:b/>
          <w:color w:val="4F81BD" w:themeColor="accent1"/>
          <w:sz w:val="24"/>
          <w:szCs w:val="24"/>
        </w:rPr>
      </w:pPr>
    </w:p>
    <w:p w:rsidR="00201A56" w:rsidRPr="00201A56" w:rsidRDefault="00201A56" w:rsidP="00201A56">
      <w:pPr>
        <w:jc w:val="both"/>
        <w:rPr>
          <w:rFonts w:ascii="Verdana" w:hAnsi="Verdana" w:cs="Tahoma"/>
          <w:b/>
          <w:color w:val="4F81BD" w:themeColor="accent1"/>
          <w:sz w:val="24"/>
          <w:szCs w:val="24"/>
        </w:rPr>
      </w:pPr>
      <w:r w:rsidRPr="00201A56">
        <w:rPr>
          <w:rFonts w:ascii="Verdana" w:hAnsi="Verdana" w:cs="Tahoma"/>
          <w:b/>
          <w:color w:val="4F81BD" w:themeColor="accent1"/>
          <w:sz w:val="24"/>
          <w:szCs w:val="24"/>
        </w:rPr>
        <w:t>ESTADO PROCESOS DE SELECCIÓN 2014</w:t>
      </w:r>
    </w:p>
    <w:tbl>
      <w:tblPr>
        <w:tblStyle w:val="GridTable5DarkAccent1"/>
        <w:tblW w:w="5000" w:type="pct"/>
        <w:jc w:val="center"/>
        <w:tblLayout w:type="fixed"/>
        <w:tblLook w:val="04A0"/>
      </w:tblPr>
      <w:tblGrid>
        <w:gridCol w:w="4339"/>
        <w:gridCol w:w="2114"/>
        <w:gridCol w:w="2257"/>
        <w:gridCol w:w="1532"/>
      </w:tblGrid>
      <w:tr w:rsidR="00201A56" w:rsidRPr="00201A56" w:rsidTr="00201A56">
        <w:trPr>
          <w:cnfStyle w:val="100000000000"/>
          <w:trHeight w:val="570"/>
          <w:tblHeader/>
          <w:jc w:val="center"/>
        </w:trPr>
        <w:tc>
          <w:tcPr>
            <w:cnfStyle w:val="001000000000"/>
            <w:tcW w:w="2118" w:type="pct"/>
            <w:hideMark/>
          </w:tcPr>
          <w:p w:rsidR="00201A56" w:rsidRPr="00201A56" w:rsidRDefault="00201A56" w:rsidP="00201A56">
            <w:pPr>
              <w:jc w:val="center"/>
              <w:rPr>
                <w:rFonts w:ascii="Verdana" w:hAnsi="Verdana" w:cs="Tahoma"/>
                <w:sz w:val="18"/>
                <w:szCs w:val="18"/>
                <w:lang w:eastAsia="es-CO"/>
              </w:rPr>
            </w:pPr>
            <w:r w:rsidRPr="00201A56">
              <w:rPr>
                <w:rFonts w:ascii="Verdana" w:hAnsi="Verdana" w:cs="Tahoma"/>
                <w:b w:val="0"/>
                <w:bCs w:val="0"/>
                <w:sz w:val="18"/>
                <w:szCs w:val="18"/>
                <w:lang w:eastAsia="es-CO"/>
              </w:rPr>
              <w:t>MODALIDAD DE SELECCIÓN</w:t>
            </w:r>
          </w:p>
        </w:tc>
        <w:tc>
          <w:tcPr>
            <w:tcW w:w="1032" w:type="pct"/>
            <w:hideMark/>
          </w:tcPr>
          <w:p w:rsidR="00201A56" w:rsidRPr="00201A56" w:rsidRDefault="00201A56" w:rsidP="00201A56">
            <w:pPr>
              <w:jc w:val="center"/>
              <w:cnfStyle w:val="100000000000"/>
              <w:rPr>
                <w:rFonts w:ascii="Verdana" w:hAnsi="Verdana" w:cs="Tahoma"/>
                <w:sz w:val="18"/>
                <w:szCs w:val="18"/>
                <w:lang w:eastAsia="es-CO"/>
              </w:rPr>
            </w:pPr>
            <w:r w:rsidRPr="00201A56">
              <w:rPr>
                <w:rFonts w:ascii="Verdana" w:hAnsi="Verdana" w:cs="Tahoma"/>
                <w:b w:val="0"/>
                <w:bCs w:val="0"/>
                <w:sz w:val="18"/>
                <w:szCs w:val="18"/>
                <w:lang w:eastAsia="es-CO"/>
              </w:rPr>
              <w:t>ESTADO</w:t>
            </w:r>
          </w:p>
        </w:tc>
        <w:tc>
          <w:tcPr>
            <w:tcW w:w="1102" w:type="pct"/>
            <w:hideMark/>
          </w:tcPr>
          <w:p w:rsidR="00201A56" w:rsidRPr="00201A56" w:rsidRDefault="00201A56" w:rsidP="00201A56">
            <w:pPr>
              <w:jc w:val="center"/>
              <w:cnfStyle w:val="100000000000"/>
              <w:rPr>
                <w:rFonts w:ascii="Verdana" w:hAnsi="Verdana" w:cs="Tahoma"/>
                <w:sz w:val="18"/>
                <w:szCs w:val="18"/>
                <w:lang w:eastAsia="es-CO"/>
              </w:rPr>
            </w:pPr>
            <w:r w:rsidRPr="00201A56">
              <w:rPr>
                <w:rFonts w:ascii="Verdana" w:hAnsi="Verdana" w:cs="Tahoma"/>
                <w:b w:val="0"/>
                <w:bCs w:val="0"/>
                <w:sz w:val="18"/>
                <w:szCs w:val="18"/>
                <w:lang w:eastAsia="es-CO"/>
              </w:rPr>
              <w:t xml:space="preserve">VALOR </w:t>
            </w:r>
          </w:p>
        </w:tc>
        <w:tc>
          <w:tcPr>
            <w:tcW w:w="748" w:type="pct"/>
            <w:hideMark/>
          </w:tcPr>
          <w:p w:rsidR="00201A56" w:rsidRPr="00201A56" w:rsidRDefault="00201A56" w:rsidP="00201A56">
            <w:pPr>
              <w:jc w:val="center"/>
              <w:cnfStyle w:val="100000000000"/>
              <w:rPr>
                <w:rFonts w:ascii="Verdana" w:hAnsi="Verdana" w:cs="Tahoma"/>
                <w:sz w:val="18"/>
                <w:szCs w:val="18"/>
                <w:lang w:eastAsia="es-CO"/>
              </w:rPr>
            </w:pPr>
            <w:r w:rsidRPr="00201A56">
              <w:rPr>
                <w:rFonts w:ascii="Verdana" w:hAnsi="Verdana" w:cs="Tahoma"/>
                <w:b w:val="0"/>
                <w:bCs w:val="0"/>
                <w:sz w:val="18"/>
                <w:szCs w:val="18"/>
                <w:lang w:eastAsia="es-CO"/>
              </w:rPr>
              <w:t>CANTIDAD PROCESOS</w:t>
            </w:r>
          </w:p>
        </w:tc>
      </w:tr>
      <w:tr w:rsidR="00201A56" w:rsidRPr="00201A56" w:rsidTr="00201A56">
        <w:trPr>
          <w:cnfStyle w:val="000000100000"/>
          <w:trHeight w:val="300"/>
          <w:jc w:val="center"/>
        </w:trPr>
        <w:tc>
          <w:tcPr>
            <w:cnfStyle w:val="001000000000"/>
            <w:tcW w:w="2118" w:type="pct"/>
            <w:noWrap/>
            <w:hideMark/>
          </w:tcPr>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ACUERDO MARCO DE SERVICIOS</w:t>
            </w:r>
          </w:p>
        </w:tc>
        <w:tc>
          <w:tcPr>
            <w:tcW w:w="1032" w:type="pct"/>
            <w:noWrap/>
            <w:hideMark/>
          </w:tcPr>
          <w:p w:rsidR="00201A56" w:rsidRPr="00201A56" w:rsidRDefault="00201A56" w:rsidP="00201A56">
            <w:pPr>
              <w:jc w:val="cente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CELEBRADO</w:t>
            </w:r>
          </w:p>
        </w:tc>
        <w:tc>
          <w:tcPr>
            <w:tcW w:w="1102" w:type="pct"/>
            <w:noWrap/>
            <w:hideMark/>
          </w:tcPr>
          <w:p w:rsidR="00201A56" w:rsidRPr="00201A56" w:rsidRDefault="00201A56" w:rsidP="00201A56">
            <w:pPr>
              <w:jc w:val="cente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$ 130.590.287.122</w:t>
            </w:r>
          </w:p>
        </w:tc>
        <w:tc>
          <w:tcPr>
            <w:tcW w:w="748" w:type="pct"/>
            <w:noWrap/>
            <w:hideMark/>
          </w:tcPr>
          <w:p w:rsidR="00201A56" w:rsidRPr="00201A56" w:rsidRDefault="00201A56" w:rsidP="00201A56">
            <w:pPr>
              <w:jc w:val="cente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14</w:t>
            </w:r>
          </w:p>
        </w:tc>
      </w:tr>
      <w:tr w:rsidR="00201A56" w:rsidRPr="00201A56" w:rsidTr="00201A56">
        <w:trPr>
          <w:trHeight w:val="300"/>
          <w:jc w:val="center"/>
        </w:trPr>
        <w:tc>
          <w:tcPr>
            <w:cnfStyle w:val="001000000000"/>
            <w:tcW w:w="2118" w:type="pct"/>
            <w:noWrap/>
            <w:hideMark/>
          </w:tcPr>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Total ACUERDO MARCO DE SERVICIOS</w:t>
            </w:r>
          </w:p>
        </w:tc>
        <w:tc>
          <w:tcPr>
            <w:tcW w:w="1032" w:type="pct"/>
            <w:noWrap/>
            <w:hideMark/>
          </w:tcPr>
          <w:p w:rsidR="00201A56" w:rsidRPr="00201A56" w:rsidRDefault="00201A56" w:rsidP="00201A56">
            <w:pPr>
              <w:cnfStyle w:val="000000000000"/>
              <w:rPr>
                <w:rFonts w:ascii="Verdana" w:hAnsi="Verdana" w:cs="Tahoma"/>
                <w:sz w:val="18"/>
                <w:szCs w:val="18"/>
                <w:lang w:val="es-ES" w:eastAsia="es-ES"/>
              </w:rPr>
            </w:pPr>
          </w:p>
        </w:tc>
        <w:tc>
          <w:tcPr>
            <w:tcW w:w="1102" w:type="pct"/>
            <w:noWrap/>
            <w:hideMark/>
          </w:tcPr>
          <w:p w:rsidR="00201A56" w:rsidRPr="00201A56" w:rsidRDefault="00201A56" w:rsidP="00201A56">
            <w:pPr>
              <w:jc w:val="cente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$ 130.590.287.122</w:t>
            </w:r>
          </w:p>
        </w:tc>
        <w:tc>
          <w:tcPr>
            <w:tcW w:w="748" w:type="pct"/>
            <w:noWrap/>
            <w:hideMark/>
          </w:tcPr>
          <w:p w:rsidR="00201A56" w:rsidRPr="00201A56" w:rsidRDefault="00201A56" w:rsidP="00201A56">
            <w:pPr>
              <w:jc w:val="cente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14</w:t>
            </w:r>
          </w:p>
        </w:tc>
      </w:tr>
      <w:tr w:rsidR="00201A56" w:rsidRPr="00201A56" w:rsidTr="00201A56">
        <w:trPr>
          <w:cnfStyle w:val="000000100000"/>
          <w:trHeight w:val="300"/>
          <w:jc w:val="center"/>
        </w:trPr>
        <w:tc>
          <w:tcPr>
            <w:cnfStyle w:val="001000000000"/>
            <w:tcW w:w="2118" w:type="pct"/>
            <w:noWrap/>
            <w:hideMark/>
          </w:tcPr>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CONCURSO DE MERITOS</w:t>
            </w:r>
          </w:p>
        </w:tc>
        <w:tc>
          <w:tcPr>
            <w:tcW w:w="1032" w:type="pct"/>
            <w:noWrap/>
            <w:hideMark/>
          </w:tcPr>
          <w:p w:rsidR="00201A56" w:rsidRPr="00201A56" w:rsidRDefault="00201A56" w:rsidP="00201A56">
            <w:pPr>
              <w:jc w:val="cente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CELEBRADO</w:t>
            </w:r>
          </w:p>
        </w:tc>
        <w:tc>
          <w:tcPr>
            <w:tcW w:w="1102" w:type="pct"/>
            <w:noWrap/>
            <w:hideMark/>
          </w:tcPr>
          <w:p w:rsidR="00201A56" w:rsidRPr="00201A56" w:rsidRDefault="00201A56" w:rsidP="00201A56">
            <w:pPr>
              <w:jc w:val="cente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$ 1.935.212.883</w:t>
            </w:r>
          </w:p>
        </w:tc>
        <w:tc>
          <w:tcPr>
            <w:tcW w:w="748" w:type="pct"/>
            <w:noWrap/>
            <w:hideMark/>
          </w:tcPr>
          <w:p w:rsidR="00201A56" w:rsidRPr="00201A56" w:rsidRDefault="00201A56" w:rsidP="00201A56">
            <w:pPr>
              <w:jc w:val="cente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3</w:t>
            </w:r>
          </w:p>
        </w:tc>
      </w:tr>
      <w:tr w:rsidR="00201A56" w:rsidRPr="00201A56" w:rsidTr="00201A56">
        <w:trPr>
          <w:trHeight w:val="300"/>
          <w:jc w:val="center"/>
        </w:trPr>
        <w:tc>
          <w:tcPr>
            <w:cnfStyle w:val="001000000000"/>
            <w:tcW w:w="2118" w:type="pct"/>
            <w:noWrap/>
            <w:hideMark/>
          </w:tcPr>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Total CONCURSO DE MERITOS</w:t>
            </w:r>
          </w:p>
        </w:tc>
        <w:tc>
          <w:tcPr>
            <w:tcW w:w="1032" w:type="pct"/>
            <w:noWrap/>
            <w:hideMark/>
          </w:tcPr>
          <w:p w:rsidR="00201A56" w:rsidRPr="00201A56" w:rsidRDefault="00201A56" w:rsidP="00201A56">
            <w:pPr>
              <w:cnfStyle w:val="000000000000"/>
              <w:rPr>
                <w:rFonts w:ascii="Verdana" w:hAnsi="Verdana" w:cs="Tahoma"/>
                <w:sz w:val="18"/>
                <w:szCs w:val="18"/>
                <w:lang w:val="es-ES" w:eastAsia="es-ES"/>
              </w:rPr>
            </w:pPr>
          </w:p>
        </w:tc>
        <w:tc>
          <w:tcPr>
            <w:tcW w:w="1102" w:type="pct"/>
            <w:noWrap/>
            <w:hideMark/>
          </w:tcPr>
          <w:p w:rsidR="00201A56" w:rsidRPr="00201A56" w:rsidRDefault="00201A56" w:rsidP="00201A56">
            <w:pPr>
              <w:jc w:val="cente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$ 1.935.212.883</w:t>
            </w:r>
          </w:p>
        </w:tc>
        <w:tc>
          <w:tcPr>
            <w:tcW w:w="748" w:type="pct"/>
            <w:noWrap/>
            <w:hideMark/>
          </w:tcPr>
          <w:p w:rsidR="00201A56" w:rsidRPr="00201A56" w:rsidRDefault="00201A56" w:rsidP="00201A56">
            <w:pPr>
              <w:jc w:val="cente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3</w:t>
            </w:r>
          </w:p>
        </w:tc>
      </w:tr>
      <w:tr w:rsidR="00201A56" w:rsidRPr="00201A56" w:rsidTr="00201A56">
        <w:trPr>
          <w:cnfStyle w:val="000000100000"/>
          <w:trHeight w:val="300"/>
          <w:jc w:val="center"/>
        </w:trPr>
        <w:tc>
          <w:tcPr>
            <w:cnfStyle w:val="001000000000"/>
            <w:tcW w:w="2118" w:type="pct"/>
            <w:noWrap/>
            <w:hideMark/>
          </w:tcPr>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LICITACION PUBLICA</w:t>
            </w:r>
          </w:p>
        </w:tc>
        <w:tc>
          <w:tcPr>
            <w:tcW w:w="1032" w:type="pct"/>
            <w:noWrap/>
            <w:hideMark/>
          </w:tcPr>
          <w:p w:rsidR="00201A56" w:rsidRPr="00201A56" w:rsidRDefault="00201A56" w:rsidP="00201A56">
            <w:pPr>
              <w:jc w:val="cente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CELEBRADO</w:t>
            </w:r>
          </w:p>
        </w:tc>
        <w:tc>
          <w:tcPr>
            <w:tcW w:w="1102" w:type="pct"/>
            <w:noWrap/>
            <w:hideMark/>
          </w:tcPr>
          <w:p w:rsidR="00201A56" w:rsidRPr="00201A56" w:rsidRDefault="00201A56" w:rsidP="00201A56">
            <w:pPr>
              <w:jc w:val="cente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$ 18.999.181.702</w:t>
            </w:r>
          </w:p>
        </w:tc>
        <w:tc>
          <w:tcPr>
            <w:tcW w:w="748" w:type="pct"/>
            <w:noWrap/>
            <w:hideMark/>
          </w:tcPr>
          <w:p w:rsidR="00201A56" w:rsidRPr="00201A56" w:rsidRDefault="00201A56" w:rsidP="00201A56">
            <w:pPr>
              <w:jc w:val="cente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3</w:t>
            </w:r>
          </w:p>
        </w:tc>
      </w:tr>
      <w:tr w:rsidR="00201A56" w:rsidRPr="00201A56" w:rsidTr="00201A56">
        <w:trPr>
          <w:trHeight w:val="300"/>
          <w:jc w:val="center"/>
        </w:trPr>
        <w:tc>
          <w:tcPr>
            <w:cnfStyle w:val="001000000000"/>
            <w:tcW w:w="2118" w:type="pct"/>
            <w:noWrap/>
            <w:hideMark/>
          </w:tcPr>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Total LICITACION PUBLICA</w:t>
            </w:r>
          </w:p>
        </w:tc>
        <w:tc>
          <w:tcPr>
            <w:tcW w:w="1032" w:type="pct"/>
            <w:noWrap/>
            <w:hideMark/>
          </w:tcPr>
          <w:p w:rsidR="00201A56" w:rsidRPr="00201A56" w:rsidRDefault="00201A56" w:rsidP="00201A56">
            <w:pPr>
              <w:cnfStyle w:val="000000000000"/>
              <w:rPr>
                <w:rFonts w:ascii="Verdana" w:hAnsi="Verdana" w:cs="Tahoma"/>
                <w:sz w:val="18"/>
                <w:szCs w:val="18"/>
                <w:lang w:val="es-ES" w:eastAsia="es-ES"/>
              </w:rPr>
            </w:pPr>
          </w:p>
        </w:tc>
        <w:tc>
          <w:tcPr>
            <w:tcW w:w="1102" w:type="pct"/>
            <w:noWrap/>
            <w:hideMark/>
          </w:tcPr>
          <w:p w:rsidR="00201A56" w:rsidRPr="00201A56" w:rsidRDefault="00201A56" w:rsidP="00201A56">
            <w:pPr>
              <w:jc w:val="cente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$ 18.999.181.702</w:t>
            </w:r>
          </w:p>
        </w:tc>
        <w:tc>
          <w:tcPr>
            <w:tcW w:w="748" w:type="pct"/>
            <w:noWrap/>
            <w:hideMark/>
          </w:tcPr>
          <w:p w:rsidR="00201A56" w:rsidRPr="00201A56" w:rsidRDefault="00201A56" w:rsidP="00201A56">
            <w:pPr>
              <w:jc w:val="cente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3</w:t>
            </w:r>
          </w:p>
        </w:tc>
      </w:tr>
      <w:tr w:rsidR="00201A56" w:rsidRPr="00201A56" w:rsidTr="00201A56">
        <w:trPr>
          <w:cnfStyle w:val="000000100000"/>
          <w:trHeight w:val="300"/>
          <w:jc w:val="center"/>
        </w:trPr>
        <w:tc>
          <w:tcPr>
            <w:cnfStyle w:val="001000000000"/>
            <w:tcW w:w="2118" w:type="pct"/>
            <w:vMerge w:val="restart"/>
            <w:noWrap/>
            <w:hideMark/>
          </w:tcPr>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MINIMA CUANTIA</w:t>
            </w:r>
          </w:p>
        </w:tc>
        <w:tc>
          <w:tcPr>
            <w:tcW w:w="1032" w:type="pct"/>
            <w:noWrap/>
            <w:hideMark/>
          </w:tcPr>
          <w:p w:rsidR="00201A56" w:rsidRPr="00201A56" w:rsidRDefault="00201A56" w:rsidP="00201A56">
            <w:pPr>
              <w:jc w:val="cente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CELEBRADO</w:t>
            </w:r>
          </w:p>
        </w:tc>
        <w:tc>
          <w:tcPr>
            <w:tcW w:w="1102" w:type="pct"/>
            <w:noWrap/>
            <w:hideMark/>
          </w:tcPr>
          <w:p w:rsidR="00201A56" w:rsidRPr="00201A56" w:rsidRDefault="00201A56" w:rsidP="00201A56">
            <w:pPr>
              <w:jc w:val="cente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$ 544.706.929</w:t>
            </w:r>
          </w:p>
        </w:tc>
        <w:tc>
          <w:tcPr>
            <w:tcW w:w="748" w:type="pct"/>
            <w:noWrap/>
            <w:hideMark/>
          </w:tcPr>
          <w:p w:rsidR="00201A56" w:rsidRPr="00201A56" w:rsidRDefault="00201A56" w:rsidP="00201A56">
            <w:pPr>
              <w:jc w:val="cente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22</w:t>
            </w:r>
          </w:p>
        </w:tc>
      </w:tr>
      <w:tr w:rsidR="00201A56" w:rsidRPr="00201A56" w:rsidTr="00201A56">
        <w:trPr>
          <w:trHeight w:val="300"/>
          <w:jc w:val="center"/>
        </w:trPr>
        <w:tc>
          <w:tcPr>
            <w:cnfStyle w:val="001000000000"/>
            <w:tcW w:w="2118" w:type="pct"/>
            <w:vMerge/>
            <w:hideMark/>
          </w:tcPr>
          <w:p w:rsidR="00201A56" w:rsidRPr="00201A56" w:rsidRDefault="00201A56" w:rsidP="00201A56">
            <w:pPr>
              <w:rPr>
                <w:rFonts w:ascii="Verdana" w:hAnsi="Verdana" w:cs="Tahoma"/>
                <w:sz w:val="18"/>
                <w:szCs w:val="18"/>
                <w:lang w:eastAsia="es-CO"/>
              </w:rPr>
            </w:pPr>
          </w:p>
        </w:tc>
        <w:tc>
          <w:tcPr>
            <w:tcW w:w="1032" w:type="pct"/>
            <w:noWrap/>
            <w:hideMark/>
          </w:tcPr>
          <w:p w:rsidR="00201A56" w:rsidRPr="00201A56" w:rsidRDefault="00201A56" w:rsidP="00201A56">
            <w:pPr>
              <w:jc w:val="cente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TERMINADO ANORMALMENTE</w:t>
            </w:r>
          </w:p>
        </w:tc>
        <w:tc>
          <w:tcPr>
            <w:tcW w:w="1102" w:type="pct"/>
            <w:noWrap/>
            <w:hideMark/>
          </w:tcPr>
          <w:p w:rsidR="00201A56" w:rsidRPr="00201A56" w:rsidRDefault="00201A56" w:rsidP="00201A56">
            <w:pPr>
              <w:jc w:val="cente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$ 127.590.078</w:t>
            </w:r>
          </w:p>
        </w:tc>
        <w:tc>
          <w:tcPr>
            <w:tcW w:w="748" w:type="pct"/>
            <w:noWrap/>
            <w:hideMark/>
          </w:tcPr>
          <w:p w:rsidR="00201A56" w:rsidRPr="00201A56" w:rsidRDefault="00201A56" w:rsidP="00201A56">
            <w:pPr>
              <w:jc w:val="cente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3</w:t>
            </w:r>
          </w:p>
        </w:tc>
      </w:tr>
      <w:tr w:rsidR="00201A56" w:rsidRPr="00201A56" w:rsidTr="00201A56">
        <w:trPr>
          <w:cnfStyle w:val="000000100000"/>
          <w:trHeight w:val="300"/>
          <w:jc w:val="center"/>
        </w:trPr>
        <w:tc>
          <w:tcPr>
            <w:cnfStyle w:val="001000000000"/>
            <w:tcW w:w="2118" w:type="pct"/>
            <w:noWrap/>
            <w:hideMark/>
          </w:tcPr>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lastRenderedPageBreak/>
              <w:t>Total MINIMA CUANTIA</w:t>
            </w:r>
          </w:p>
        </w:tc>
        <w:tc>
          <w:tcPr>
            <w:tcW w:w="1032" w:type="pct"/>
            <w:noWrap/>
            <w:hideMark/>
          </w:tcPr>
          <w:p w:rsidR="00201A56" w:rsidRPr="00201A56" w:rsidRDefault="00201A56" w:rsidP="00201A56">
            <w:pPr>
              <w:cnfStyle w:val="000000100000"/>
              <w:rPr>
                <w:rFonts w:ascii="Verdana" w:hAnsi="Verdana" w:cs="Tahoma"/>
                <w:sz w:val="18"/>
                <w:szCs w:val="18"/>
                <w:lang w:val="es-ES" w:eastAsia="es-ES"/>
              </w:rPr>
            </w:pPr>
          </w:p>
        </w:tc>
        <w:tc>
          <w:tcPr>
            <w:tcW w:w="1102" w:type="pct"/>
            <w:noWrap/>
            <w:hideMark/>
          </w:tcPr>
          <w:p w:rsidR="00201A56" w:rsidRPr="00201A56" w:rsidRDefault="00201A56" w:rsidP="00201A56">
            <w:pPr>
              <w:jc w:val="cente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$ 672.297.007</w:t>
            </w:r>
          </w:p>
        </w:tc>
        <w:tc>
          <w:tcPr>
            <w:tcW w:w="748" w:type="pct"/>
            <w:noWrap/>
            <w:hideMark/>
          </w:tcPr>
          <w:p w:rsidR="00201A56" w:rsidRPr="00201A56" w:rsidRDefault="00201A56" w:rsidP="00201A56">
            <w:pPr>
              <w:jc w:val="cente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25</w:t>
            </w:r>
          </w:p>
        </w:tc>
      </w:tr>
      <w:tr w:rsidR="00201A56" w:rsidRPr="00201A56" w:rsidTr="00201A56">
        <w:trPr>
          <w:trHeight w:val="300"/>
          <w:jc w:val="center"/>
        </w:trPr>
        <w:tc>
          <w:tcPr>
            <w:cnfStyle w:val="001000000000"/>
            <w:tcW w:w="2118" w:type="pct"/>
            <w:vMerge w:val="restart"/>
            <w:noWrap/>
            <w:hideMark/>
          </w:tcPr>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SELECCIÓN ABREVIADA</w:t>
            </w:r>
          </w:p>
        </w:tc>
        <w:tc>
          <w:tcPr>
            <w:tcW w:w="1032" w:type="pct"/>
            <w:noWrap/>
            <w:hideMark/>
          </w:tcPr>
          <w:p w:rsidR="00201A56" w:rsidRPr="00201A56" w:rsidRDefault="00201A56" w:rsidP="00201A56">
            <w:pPr>
              <w:jc w:val="cente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CELEBRADO</w:t>
            </w:r>
          </w:p>
        </w:tc>
        <w:tc>
          <w:tcPr>
            <w:tcW w:w="1102" w:type="pct"/>
            <w:noWrap/>
            <w:hideMark/>
          </w:tcPr>
          <w:p w:rsidR="00201A56" w:rsidRPr="00201A56" w:rsidRDefault="00201A56" w:rsidP="00201A56">
            <w:pPr>
              <w:jc w:val="cente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$ 38.991.905.976</w:t>
            </w:r>
          </w:p>
        </w:tc>
        <w:tc>
          <w:tcPr>
            <w:tcW w:w="748" w:type="pct"/>
            <w:noWrap/>
            <w:hideMark/>
          </w:tcPr>
          <w:p w:rsidR="00201A56" w:rsidRPr="00201A56" w:rsidRDefault="00201A56" w:rsidP="00201A56">
            <w:pPr>
              <w:jc w:val="cente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8</w:t>
            </w:r>
          </w:p>
        </w:tc>
      </w:tr>
      <w:tr w:rsidR="00201A56" w:rsidRPr="00201A56" w:rsidTr="00201A56">
        <w:trPr>
          <w:cnfStyle w:val="000000100000"/>
          <w:trHeight w:val="300"/>
          <w:jc w:val="center"/>
        </w:trPr>
        <w:tc>
          <w:tcPr>
            <w:cnfStyle w:val="001000000000"/>
            <w:tcW w:w="2118" w:type="pct"/>
            <w:vMerge/>
            <w:hideMark/>
          </w:tcPr>
          <w:p w:rsidR="00201A56" w:rsidRPr="00201A56" w:rsidRDefault="00201A56" w:rsidP="00201A56">
            <w:pPr>
              <w:rPr>
                <w:rFonts w:ascii="Verdana" w:hAnsi="Verdana" w:cs="Tahoma"/>
                <w:sz w:val="18"/>
                <w:szCs w:val="18"/>
                <w:lang w:eastAsia="es-CO"/>
              </w:rPr>
            </w:pPr>
          </w:p>
        </w:tc>
        <w:tc>
          <w:tcPr>
            <w:tcW w:w="1032" w:type="pct"/>
            <w:noWrap/>
            <w:hideMark/>
          </w:tcPr>
          <w:p w:rsidR="00201A56" w:rsidRPr="00201A56" w:rsidRDefault="00201A56" w:rsidP="00201A56">
            <w:pPr>
              <w:jc w:val="cente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TERMINADO ANORMALMENTE</w:t>
            </w:r>
          </w:p>
        </w:tc>
        <w:tc>
          <w:tcPr>
            <w:tcW w:w="1102" w:type="pct"/>
            <w:noWrap/>
            <w:hideMark/>
          </w:tcPr>
          <w:p w:rsidR="00201A56" w:rsidRPr="00201A56" w:rsidRDefault="00201A56" w:rsidP="00201A56">
            <w:pPr>
              <w:jc w:val="cente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$ 350.000.000</w:t>
            </w:r>
          </w:p>
        </w:tc>
        <w:tc>
          <w:tcPr>
            <w:tcW w:w="748" w:type="pct"/>
            <w:noWrap/>
            <w:hideMark/>
          </w:tcPr>
          <w:p w:rsidR="00201A56" w:rsidRPr="00201A56" w:rsidRDefault="00201A56" w:rsidP="00201A56">
            <w:pPr>
              <w:jc w:val="cente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2</w:t>
            </w:r>
          </w:p>
        </w:tc>
      </w:tr>
      <w:tr w:rsidR="00201A56" w:rsidRPr="00201A56" w:rsidTr="00201A56">
        <w:trPr>
          <w:trHeight w:val="300"/>
          <w:jc w:val="center"/>
        </w:trPr>
        <w:tc>
          <w:tcPr>
            <w:cnfStyle w:val="001000000000"/>
            <w:tcW w:w="2118" w:type="pct"/>
            <w:noWrap/>
            <w:hideMark/>
          </w:tcPr>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Total SELECCIÓN ABREVIADA</w:t>
            </w:r>
          </w:p>
        </w:tc>
        <w:tc>
          <w:tcPr>
            <w:tcW w:w="1032" w:type="pct"/>
            <w:noWrap/>
            <w:hideMark/>
          </w:tcPr>
          <w:p w:rsidR="00201A56" w:rsidRPr="00201A56" w:rsidRDefault="00201A56" w:rsidP="00201A56">
            <w:pPr>
              <w:cnfStyle w:val="000000000000"/>
              <w:rPr>
                <w:rFonts w:ascii="Verdana" w:hAnsi="Verdana" w:cs="Tahoma"/>
                <w:sz w:val="18"/>
                <w:szCs w:val="18"/>
                <w:lang w:val="es-ES" w:eastAsia="es-ES"/>
              </w:rPr>
            </w:pPr>
          </w:p>
        </w:tc>
        <w:tc>
          <w:tcPr>
            <w:tcW w:w="1102" w:type="pct"/>
            <w:noWrap/>
            <w:hideMark/>
          </w:tcPr>
          <w:p w:rsidR="00201A56" w:rsidRPr="00201A56" w:rsidRDefault="00201A56" w:rsidP="00201A56">
            <w:pPr>
              <w:jc w:val="cente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$ 39.341.905.976</w:t>
            </w:r>
          </w:p>
        </w:tc>
        <w:tc>
          <w:tcPr>
            <w:tcW w:w="748" w:type="pct"/>
            <w:noWrap/>
            <w:hideMark/>
          </w:tcPr>
          <w:p w:rsidR="00201A56" w:rsidRPr="00201A56" w:rsidRDefault="00201A56" w:rsidP="00201A56">
            <w:pPr>
              <w:jc w:val="cente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10</w:t>
            </w:r>
          </w:p>
        </w:tc>
      </w:tr>
      <w:tr w:rsidR="00201A56" w:rsidRPr="00201A56" w:rsidTr="00201A56">
        <w:trPr>
          <w:cnfStyle w:val="000000100000"/>
          <w:trHeight w:val="300"/>
          <w:jc w:val="center"/>
        </w:trPr>
        <w:tc>
          <w:tcPr>
            <w:cnfStyle w:val="001000000000"/>
            <w:tcW w:w="2118" w:type="pct"/>
            <w:noWrap/>
            <w:hideMark/>
          </w:tcPr>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SELECCIÓN ABREVIADA SUBASTA INVERSA</w:t>
            </w:r>
          </w:p>
        </w:tc>
        <w:tc>
          <w:tcPr>
            <w:tcW w:w="1032" w:type="pct"/>
            <w:noWrap/>
            <w:hideMark/>
          </w:tcPr>
          <w:p w:rsidR="00201A56" w:rsidRPr="00201A56" w:rsidRDefault="00201A56" w:rsidP="00201A56">
            <w:pPr>
              <w:jc w:val="cente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CELEBRADO</w:t>
            </w:r>
          </w:p>
        </w:tc>
        <w:tc>
          <w:tcPr>
            <w:tcW w:w="1102" w:type="pct"/>
            <w:noWrap/>
            <w:hideMark/>
          </w:tcPr>
          <w:p w:rsidR="00201A56" w:rsidRPr="00201A56" w:rsidRDefault="00201A56" w:rsidP="00201A56">
            <w:pPr>
              <w:jc w:val="cente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$ 1.403.597.600</w:t>
            </w:r>
          </w:p>
        </w:tc>
        <w:tc>
          <w:tcPr>
            <w:tcW w:w="748" w:type="pct"/>
            <w:noWrap/>
            <w:hideMark/>
          </w:tcPr>
          <w:p w:rsidR="00201A56" w:rsidRPr="00201A56" w:rsidRDefault="00201A56" w:rsidP="00201A56">
            <w:pPr>
              <w:jc w:val="center"/>
              <w:cnfStyle w:val="000000100000"/>
              <w:rPr>
                <w:rFonts w:ascii="Verdana" w:hAnsi="Verdana" w:cs="Tahoma"/>
                <w:color w:val="000000"/>
                <w:sz w:val="18"/>
                <w:szCs w:val="18"/>
                <w:lang w:eastAsia="es-CO"/>
              </w:rPr>
            </w:pPr>
            <w:r w:rsidRPr="00201A56">
              <w:rPr>
                <w:rFonts w:ascii="Verdana" w:hAnsi="Verdana" w:cs="Tahoma"/>
                <w:color w:val="000000"/>
                <w:sz w:val="18"/>
                <w:szCs w:val="18"/>
                <w:lang w:eastAsia="es-CO"/>
              </w:rPr>
              <w:t>4</w:t>
            </w:r>
          </w:p>
        </w:tc>
      </w:tr>
      <w:tr w:rsidR="00201A56" w:rsidRPr="00201A56" w:rsidTr="00201A56">
        <w:trPr>
          <w:trHeight w:val="300"/>
          <w:jc w:val="center"/>
        </w:trPr>
        <w:tc>
          <w:tcPr>
            <w:cnfStyle w:val="001000000000"/>
            <w:tcW w:w="2118" w:type="pct"/>
            <w:noWrap/>
            <w:hideMark/>
          </w:tcPr>
          <w:p w:rsidR="00201A56" w:rsidRPr="00201A56" w:rsidRDefault="00201A56" w:rsidP="00201A56">
            <w:pPr>
              <w:rPr>
                <w:rFonts w:ascii="Verdana" w:hAnsi="Verdana" w:cs="Tahoma"/>
                <w:sz w:val="18"/>
                <w:szCs w:val="18"/>
                <w:lang w:eastAsia="es-CO"/>
              </w:rPr>
            </w:pPr>
            <w:r w:rsidRPr="00201A56">
              <w:rPr>
                <w:rFonts w:ascii="Verdana" w:hAnsi="Verdana" w:cs="Tahoma"/>
                <w:sz w:val="18"/>
                <w:szCs w:val="18"/>
                <w:lang w:eastAsia="es-CO"/>
              </w:rPr>
              <w:t>Total SELECCIÓN ABREVIADA SUBASTA INVERSA</w:t>
            </w:r>
          </w:p>
        </w:tc>
        <w:tc>
          <w:tcPr>
            <w:tcW w:w="1032" w:type="pct"/>
            <w:noWrap/>
            <w:hideMark/>
          </w:tcPr>
          <w:p w:rsidR="00201A56" w:rsidRPr="00201A56" w:rsidRDefault="00201A56" w:rsidP="00201A56">
            <w:pPr>
              <w:cnfStyle w:val="000000000000"/>
              <w:rPr>
                <w:rFonts w:ascii="Verdana" w:hAnsi="Verdana" w:cs="Tahoma"/>
                <w:sz w:val="18"/>
                <w:szCs w:val="18"/>
                <w:lang w:val="es-ES" w:eastAsia="es-ES"/>
              </w:rPr>
            </w:pPr>
          </w:p>
        </w:tc>
        <w:tc>
          <w:tcPr>
            <w:tcW w:w="1102" w:type="pct"/>
            <w:noWrap/>
            <w:hideMark/>
          </w:tcPr>
          <w:p w:rsidR="00201A56" w:rsidRPr="00201A56" w:rsidRDefault="00201A56" w:rsidP="00201A56">
            <w:pPr>
              <w:jc w:val="cente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$ 1.403.597.600</w:t>
            </w:r>
          </w:p>
        </w:tc>
        <w:tc>
          <w:tcPr>
            <w:tcW w:w="748" w:type="pct"/>
            <w:noWrap/>
            <w:hideMark/>
          </w:tcPr>
          <w:p w:rsidR="00201A56" w:rsidRPr="00201A56" w:rsidRDefault="00201A56" w:rsidP="00201A56">
            <w:pPr>
              <w:jc w:val="center"/>
              <w:cnfStyle w:val="000000000000"/>
              <w:rPr>
                <w:rFonts w:ascii="Verdana" w:hAnsi="Verdana" w:cs="Tahoma"/>
                <w:color w:val="000000"/>
                <w:sz w:val="18"/>
                <w:szCs w:val="18"/>
                <w:lang w:eastAsia="es-CO"/>
              </w:rPr>
            </w:pPr>
            <w:r w:rsidRPr="00201A56">
              <w:rPr>
                <w:rFonts w:ascii="Verdana" w:hAnsi="Verdana" w:cs="Tahoma"/>
                <w:color w:val="000000"/>
                <w:sz w:val="18"/>
                <w:szCs w:val="18"/>
                <w:lang w:eastAsia="es-CO"/>
              </w:rPr>
              <w:t>4</w:t>
            </w:r>
          </w:p>
        </w:tc>
      </w:tr>
      <w:tr w:rsidR="00201A56" w:rsidRPr="00201A56" w:rsidTr="00201A56">
        <w:trPr>
          <w:cnfStyle w:val="000000100000"/>
          <w:trHeight w:val="300"/>
          <w:jc w:val="center"/>
        </w:trPr>
        <w:tc>
          <w:tcPr>
            <w:cnfStyle w:val="001000000000"/>
            <w:tcW w:w="2118" w:type="pct"/>
            <w:noWrap/>
            <w:hideMark/>
          </w:tcPr>
          <w:p w:rsidR="00201A56" w:rsidRPr="00201A56" w:rsidRDefault="00201A56" w:rsidP="00201A56">
            <w:pPr>
              <w:rPr>
                <w:rFonts w:ascii="Verdana" w:hAnsi="Verdana" w:cs="Tahoma"/>
                <w:sz w:val="18"/>
                <w:szCs w:val="18"/>
                <w:u w:val="single"/>
                <w:lang w:eastAsia="es-CO"/>
              </w:rPr>
            </w:pPr>
            <w:r w:rsidRPr="00201A56">
              <w:rPr>
                <w:rFonts w:ascii="Verdana" w:hAnsi="Verdana" w:cs="Tahoma"/>
                <w:b w:val="0"/>
                <w:bCs w:val="0"/>
                <w:sz w:val="18"/>
                <w:szCs w:val="18"/>
                <w:u w:val="single"/>
                <w:lang w:eastAsia="es-CO"/>
              </w:rPr>
              <w:t>Total general</w:t>
            </w:r>
          </w:p>
        </w:tc>
        <w:tc>
          <w:tcPr>
            <w:tcW w:w="2134" w:type="pct"/>
            <w:gridSpan w:val="2"/>
            <w:noWrap/>
            <w:hideMark/>
          </w:tcPr>
          <w:p w:rsidR="00201A56" w:rsidRPr="00201A56" w:rsidRDefault="00201A56" w:rsidP="00201A56">
            <w:pPr>
              <w:jc w:val="center"/>
              <w:cnfStyle w:val="000000100000"/>
              <w:rPr>
                <w:rFonts w:ascii="Verdana" w:hAnsi="Verdana" w:cs="Tahoma"/>
                <w:b/>
                <w:bCs/>
                <w:color w:val="000000"/>
                <w:sz w:val="18"/>
                <w:szCs w:val="18"/>
                <w:u w:val="single"/>
                <w:lang w:eastAsia="es-CO"/>
              </w:rPr>
            </w:pPr>
            <w:r w:rsidRPr="00201A56">
              <w:rPr>
                <w:rFonts w:ascii="Verdana" w:hAnsi="Verdana" w:cs="Tahoma"/>
                <w:b/>
                <w:bCs/>
                <w:color w:val="000000"/>
                <w:sz w:val="18"/>
                <w:szCs w:val="18"/>
                <w:u w:val="single"/>
                <w:lang w:eastAsia="es-CO"/>
              </w:rPr>
              <w:t>$ 192.942.482.290</w:t>
            </w:r>
          </w:p>
        </w:tc>
        <w:tc>
          <w:tcPr>
            <w:tcW w:w="748" w:type="pct"/>
            <w:noWrap/>
            <w:hideMark/>
          </w:tcPr>
          <w:p w:rsidR="00201A56" w:rsidRPr="00201A56" w:rsidRDefault="00201A56" w:rsidP="00201A56">
            <w:pPr>
              <w:jc w:val="center"/>
              <w:cnfStyle w:val="000000100000"/>
              <w:rPr>
                <w:rFonts w:ascii="Verdana" w:hAnsi="Verdana" w:cs="Tahoma"/>
                <w:b/>
                <w:bCs/>
                <w:color w:val="000000"/>
                <w:sz w:val="18"/>
                <w:szCs w:val="18"/>
                <w:u w:val="single"/>
                <w:lang w:eastAsia="es-CO"/>
              </w:rPr>
            </w:pPr>
            <w:r w:rsidRPr="00201A56">
              <w:rPr>
                <w:rFonts w:ascii="Verdana" w:hAnsi="Verdana" w:cs="Tahoma"/>
                <w:b/>
                <w:bCs/>
                <w:color w:val="000000"/>
                <w:sz w:val="18"/>
                <w:szCs w:val="18"/>
                <w:u w:val="single"/>
                <w:lang w:eastAsia="es-CO"/>
              </w:rPr>
              <w:t>59</w:t>
            </w:r>
          </w:p>
        </w:tc>
      </w:tr>
    </w:tbl>
    <w:p w:rsidR="00201A56" w:rsidRPr="00201A56" w:rsidRDefault="00201A56" w:rsidP="00201A56">
      <w:pPr>
        <w:spacing w:line="360" w:lineRule="auto"/>
        <w:jc w:val="both"/>
        <w:rPr>
          <w:rFonts w:ascii="Verdana" w:hAnsi="Verdana" w:cs="Tahoma"/>
          <w:sz w:val="24"/>
          <w:szCs w:val="24"/>
          <w:lang w:val="es-ES" w:eastAsia="es-ES"/>
        </w:rPr>
      </w:pPr>
    </w:p>
    <w:p w:rsidR="00201A56" w:rsidRPr="00201A56" w:rsidRDefault="00201A56" w:rsidP="00201A56">
      <w:pPr>
        <w:jc w:val="both"/>
        <w:rPr>
          <w:rFonts w:ascii="Verdana" w:hAnsi="Verdana" w:cs="Tahoma"/>
          <w:sz w:val="24"/>
          <w:szCs w:val="24"/>
        </w:rPr>
      </w:pPr>
      <w:r w:rsidRPr="00201A56">
        <w:rPr>
          <w:rFonts w:ascii="Verdana" w:hAnsi="Verdana" w:cs="Tahoma"/>
          <w:sz w:val="24"/>
          <w:szCs w:val="24"/>
        </w:rPr>
        <w:t xml:space="preserve">Además de lo anterior, resulta importante señalar los logros que se han dado en materia contractual en la Unidad, dentro de los cuales encontramos: </w:t>
      </w:r>
    </w:p>
    <w:p w:rsidR="00201A56" w:rsidRPr="00201A56" w:rsidRDefault="00201A56" w:rsidP="00582BDE">
      <w:pPr>
        <w:pStyle w:val="Prrafodelista"/>
        <w:numPr>
          <w:ilvl w:val="0"/>
          <w:numId w:val="134"/>
        </w:numPr>
        <w:spacing w:after="0" w:line="240" w:lineRule="auto"/>
        <w:ind w:left="709" w:hanging="283"/>
        <w:jc w:val="both"/>
        <w:rPr>
          <w:rFonts w:ascii="Verdana" w:eastAsia="Times New Roman" w:hAnsi="Verdana" w:cs="Tahoma"/>
          <w:sz w:val="24"/>
          <w:szCs w:val="24"/>
          <w:lang w:val="es-ES"/>
        </w:rPr>
      </w:pPr>
      <w:r w:rsidRPr="00201A56">
        <w:rPr>
          <w:rFonts w:ascii="Verdana" w:eastAsia="Times New Roman" w:hAnsi="Verdana" w:cs="Tahoma"/>
          <w:sz w:val="24"/>
          <w:szCs w:val="24"/>
          <w:lang w:val="es-ES"/>
        </w:rPr>
        <w:t>Creación y puesta en funcionamiento del comité de contratación durante las vigencias 2013 y 2014. Esta instancia fue creada mediante Resolución 1941 de 09 de octubre 2012. Para la realización de este comité se determinó que sesionaría todos los jueves de cada semana, de manera ordinaria. No obstante, se pueden realizar sesiones de manera extraordinaria cuando la necesidad del servicio lo amerite. Por lo anterior, en promedio se realizan cuatro sesiones de comité mensualmente.</w:t>
      </w:r>
    </w:p>
    <w:p w:rsidR="00201A56" w:rsidRPr="00201A56" w:rsidRDefault="00201A56" w:rsidP="00582BDE">
      <w:pPr>
        <w:pStyle w:val="Prrafodelista"/>
        <w:numPr>
          <w:ilvl w:val="0"/>
          <w:numId w:val="134"/>
        </w:numPr>
        <w:spacing w:after="0" w:line="240" w:lineRule="auto"/>
        <w:ind w:left="709" w:hanging="283"/>
        <w:jc w:val="both"/>
        <w:rPr>
          <w:rFonts w:ascii="Verdana" w:eastAsia="Times New Roman" w:hAnsi="Verdana" w:cs="Tahoma"/>
          <w:sz w:val="24"/>
          <w:szCs w:val="24"/>
          <w:lang w:val="es-ES"/>
        </w:rPr>
      </w:pPr>
      <w:r w:rsidRPr="00201A56">
        <w:rPr>
          <w:rFonts w:ascii="Verdana" w:eastAsia="Times New Roman" w:hAnsi="Verdana" w:cs="Tahoma"/>
          <w:sz w:val="24"/>
          <w:szCs w:val="24"/>
          <w:lang w:val="es-ES"/>
        </w:rPr>
        <w:t>Actualización y Adopción del manual de contratación y Supervisión resolución 243 del 31 de marzo de 2014, de acuerdo con la normativa vigente Decreto 1510 de 2013. De la misma manera ya se contaba con un manual de Contratación expedido en octubre de 2012 y manual de supervisión expedido en febrero de 2013.</w:t>
      </w:r>
    </w:p>
    <w:p w:rsidR="00201A56" w:rsidRPr="00201A56" w:rsidRDefault="00201A56" w:rsidP="00582BDE">
      <w:pPr>
        <w:pStyle w:val="Prrafodelista"/>
        <w:numPr>
          <w:ilvl w:val="0"/>
          <w:numId w:val="134"/>
        </w:numPr>
        <w:spacing w:after="0" w:line="240" w:lineRule="auto"/>
        <w:ind w:left="709" w:hanging="283"/>
        <w:jc w:val="both"/>
        <w:rPr>
          <w:rFonts w:ascii="Verdana" w:eastAsia="Times New Roman" w:hAnsi="Verdana" w:cs="Tahoma"/>
          <w:sz w:val="24"/>
          <w:szCs w:val="24"/>
          <w:lang w:val="es-ES"/>
        </w:rPr>
      </w:pPr>
      <w:r w:rsidRPr="00201A56">
        <w:rPr>
          <w:rFonts w:ascii="Verdana" w:eastAsia="Times New Roman" w:hAnsi="Verdana" w:cs="Tahoma"/>
          <w:sz w:val="24"/>
          <w:szCs w:val="24"/>
          <w:lang w:val="es-ES"/>
        </w:rPr>
        <w:t>Definición e implementación de procesos, procedimientos y formatos asociados de acuerdo con la normativa vigente, los cuales fueron debidamente socializados divulgados en la página web e intranet de la unidad. Sesiones de trabajo para el levantamiento y socialización del mapa de riesgos y plan de respuesta al riesgo, además de la implementación de registros asociados a los procedimientos.</w:t>
      </w:r>
    </w:p>
    <w:p w:rsidR="00201A56" w:rsidRPr="00201A56" w:rsidRDefault="00201A56" w:rsidP="00582BDE">
      <w:pPr>
        <w:pStyle w:val="Prrafodelista"/>
        <w:numPr>
          <w:ilvl w:val="0"/>
          <w:numId w:val="134"/>
        </w:numPr>
        <w:spacing w:after="0" w:line="240" w:lineRule="auto"/>
        <w:ind w:left="709" w:hanging="283"/>
        <w:jc w:val="both"/>
        <w:rPr>
          <w:rFonts w:ascii="Verdana" w:eastAsia="Times New Roman" w:hAnsi="Verdana" w:cs="Tahoma"/>
          <w:sz w:val="24"/>
          <w:szCs w:val="24"/>
          <w:lang w:val="es-ES"/>
        </w:rPr>
      </w:pPr>
      <w:r w:rsidRPr="00201A56">
        <w:rPr>
          <w:rFonts w:ascii="Verdana" w:eastAsia="Times New Roman" w:hAnsi="Verdana" w:cs="Tahoma"/>
          <w:sz w:val="24"/>
          <w:szCs w:val="24"/>
          <w:lang w:val="es-ES"/>
        </w:rPr>
        <w:t xml:space="preserve">Acompañamiento a las áreas técnicas y de apoyo en la estructuración de estudios previos. Una vez aprobado el Plan Anual de Adquisiciones se designó asesores contractuales a cada proceso de selección definido en el Plan, para dar inicio al acompañamiento a la contratación, igualmente </w:t>
      </w:r>
      <w:r w:rsidRPr="00201A56">
        <w:rPr>
          <w:rFonts w:ascii="Verdana" w:eastAsia="Times New Roman" w:hAnsi="Verdana" w:cs="Tahoma"/>
          <w:sz w:val="24"/>
          <w:szCs w:val="24"/>
          <w:lang w:val="es-ES"/>
        </w:rPr>
        <w:lastRenderedPageBreak/>
        <w:t>mediante la generación de alarmas e informes mensuales se informó del estado de avance de cada proceso.</w:t>
      </w:r>
    </w:p>
    <w:p w:rsidR="00201A56" w:rsidRPr="00201A56" w:rsidRDefault="00201A56" w:rsidP="00582BDE">
      <w:pPr>
        <w:pStyle w:val="Prrafodelista"/>
        <w:numPr>
          <w:ilvl w:val="0"/>
          <w:numId w:val="134"/>
        </w:numPr>
        <w:spacing w:after="0" w:line="240" w:lineRule="auto"/>
        <w:ind w:left="709" w:hanging="283"/>
        <w:jc w:val="both"/>
        <w:rPr>
          <w:rFonts w:ascii="Verdana" w:eastAsia="Times New Roman" w:hAnsi="Verdana" w:cs="Tahoma"/>
          <w:sz w:val="24"/>
          <w:szCs w:val="24"/>
          <w:lang w:val="es-ES"/>
        </w:rPr>
      </w:pPr>
      <w:r w:rsidRPr="00201A56">
        <w:rPr>
          <w:rFonts w:ascii="Verdana" w:eastAsia="Times New Roman" w:hAnsi="Verdana" w:cs="Tahoma"/>
          <w:sz w:val="24"/>
          <w:szCs w:val="24"/>
          <w:lang w:val="es-ES"/>
        </w:rPr>
        <w:t>Capacitaciones a las áreas misionales y de apoyo en materia contractual de conformidad con lo establecido en el Decreto 1510 de 2013, Ley 1474 de 2011 y Decreto Ley 019 de 2012; así como en temas relacionados con la elaboración de plan de adquisiciones, estructuración de estudios previos, análisis de sector, modalidades de contratación, supervisión de contratos y aspectos disciplinarios de la contratación.</w:t>
      </w:r>
    </w:p>
    <w:p w:rsidR="004C3A40" w:rsidRDefault="004C3A40" w:rsidP="004C3A40">
      <w:pPr>
        <w:pStyle w:val="Prrafodelista"/>
        <w:spacing w:after="0" w:line="240" w:lineRule="auto"/>
        <w:ind w:left="0"/>
        <w:jc w:val="both"/>
        <w:rPr>
          <w:rFonts w:ascii="Verdana" w:hAnsi="Verdana" w:cs="Tahoma"/>
          <w:b/>
          <w:color w:val="548DD4" w:themeColor="text2" w:themeTint="99"/>
          <w:sz w:val="32"/>
          <w:szCs w:val="24"/>
        </w:rPr>
      </w:pPr>
    </w:p>
    <w:p w:rsidR="004C3A40" w:rsidRPr="00D0498B" w:rsidRDefault="004C3A40" w:rsidP="004C3A40">
      <w:pPr>
        <w:pStyle w:val="Prrafodelista"/>
        <w:spacing w:after="0" w:line="240" w:lineRule="auto"/>
        <w:ind w:left="0"/>
        <w:jc w:val="both"/>
        <w:rPr>
          <w:rFonts w:ascii="Verdana" w:hAnsi="Verdana" w:cs="Tahoma"/>
          <w:b/>
          <w:color w:val="4F81BD" w:themeColor="accent1"/>
          <w:sz w:val="24"/>
          <w:szCs w:val="24"/>
        </w:rPr>
      </w:pPr>
      <w:r w:rsidRPr="00D0498B">
        <w:rPr>
          <w:rFonts w:ascii="Verdana" w:hAnsi="Verdana" w:cs="Tahoma"/>
          <w:b/>
          <w:noProof/>
          <w:color w:val="548DD4" w:themeColor="text2" w:themeTint="99"/>
          <w:sz w:val="32"/>
          <w:szCs w:val="24"/>
          <w:lang w:eastAsia="es-CO"/>
        </w:rPr>
        <w:drawing>
          <wp:inline distT="0" distB="0" distL="0" distR="0">
            <wp:extent cx="216024" cy="216024"/>
            <wp:effectExtent l="19050" t="0" r="0" b="0"/>
            <wp:docPr id="53"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6516216" y="2996952"/>
                      <a:chExt cx="216024" cy="216024"/>
                    </a:xfrm>
                  </a:grpSpPr>
                  <a:sp>
                    <a:nvSpPr>
                      <a:cNvPr id="38" name="37 Rectángulo redondeado"/>
                      <a:cNvSpPr/>
                    </a:nvSpPr>
                    <a:spPr>
                      <a:xfrm>
                        <a:off x="6516216" y="2996952"/>
                        <a:ext cx="216024" cy="216024"/>
                      </a:xfrm>
                      <a:prstGeom prst="roundRect">
                        <a:avLst/>
                      </a:prstGeom>
                      <a:gradFill flip="none" rotWithShape="1">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D0498B">
        <w:rPr>
          <w:rFonts w:ascii="Verdana" w:hAnsi="Verdana" w:cs="Tahoma"/>
          <w:b/>
          <w:color w:val="548DD4" w:themeColor="text2" w:themeTint="99"/>
          <w:sz w:val="32"/>
          <w:szCs w:val="24"/>
        </w:rPr>
        <w:t xml:space="preserve"> </w:t>
      </w:r>
      <w:r w:rsidRPr="00D0498B">
        <w:rPr>
          <w:rFonts w:ascii="Verdana" w:hAnsi="Verdana" w:cs="Tahoma"/>
          <w:b/>
          <w:color w:val="4F81BD" w:themeColor="accent1"/>
          <w:sz w:val="24"/>
          <w:szCs w:val="24"/>
        </w:rPr>
        <w:t>PQRS</w:t>
      </w:r>
    </w:p>
    <w:p w:rsidR="004C3A40" w:rsidRPr="00D0498B" w:rsidRDefault="004C3A40" w:rsidP="004C3A40">
      <w:pPr>
        <w:spacing w:after="0" w:line="240" w:lineRule="auto"/>
        <w:contextualSpacing/>
        <w:jc w:val="both"/>
        <w:rPr>
          <w:rFonts w:ascii="Verdana" w:hAnsi="Verdana" w:cs="Tahoma"/>
          <w:sz w:val="24"/>
          <w:szCs w:val="24"/>
        </w:rPr>
      </w:pPr>
    </w:p>
    <w:p w:rsidR="004C3A40" w:rsidRPr="00D0498B" w:rsidRDefault="004C3A40" w:rsidP="004C3A40">
      <w:pPr>
        <w:spacing w:after="0" w:line="240" w:lineRule="auto"/>
        <w:contextualSpacing/>
        <w:jc w:val="both"/>
        <w:rPr>
          <w:rFonts w:ascii="Verdana" w:hAnsi="Verdana" w:cs="Tahoma"/>
          <w:sz w:val="24"/>
          <w:szCs w:val="24"/>
        </w:rPr>
      </w:pPr>
    </w:p>
    <w:p w:rsidR="004C3A40" w:rsidRPr="00D0498B" w:rsidRDefault="004C3A40" w:rsidP="004C3A40">
      <w:pPr>
        <w:spacing w:after="0" w:line="240" w:lineRule="auto"/>
        <w:contextualSpacing/>
        <w:jc w:val="both"/>
        <w:rPr>
          <w:rFonts w:ascii="Verdana" w:hAnsi="Verdana" w:cs="Tahoma"/>
          <w:sz w:val="24"/>
          <w:szCs w:val="24"/>
        </w:rPr>
      </w:pPr>
      <w:r w:rsidRPr="00D0498B">
        <w:rPr>
          <w:rFonts w:ascii="Verdana" w:hAnsi="Verdana" w:cs="Tahoma"/>
          <w:sz w:val="24"/>
          <w:szCs w:val="24"/>
        </w:rPr>
        <w:t>Para disminuir el número de consultas a nivel de derecho de petición se crearon varias estrategias en el año 2013 y en el año 2014 así:</w:t>
      </w:r>
    </w:p>
    <w:p w:rsidR="004C3A40" w:rsidRPr="00D0498B" w:rsidRDefault="004C3A40" w:rsidP="004C3A40">
      <w:pPr>
        <w:spacing w:after="0" w:line="240" w:lineRule="auto"/>
        <w:contextualSpacing/>
        <w:jc w:val="both"/>
        <w:rPr>
          <w:rFonts w:ascii="Verdana" w:hAnsi="Verdana" w:cs="Tahoma"/>
          <w:sz w:val="24"/>
          <w:szCs w:val="24"/>
        </w:rPr>
      </w:pPr>
    </w:p>
    <w:p w:rsidR="004C3A40" w:rsidRPr="00D0498B" w:rsidRDefault="004C3A40" w:rsidP="00905C49">
      <w:pPr>
        <w:pStyle w:val="Prrafodelista"/>
        <w:numPr>
          <w:ilvl w:val="0"/>
          <w:numId w:val="78"/>
        </w:numPr>
        <w:spacing w:after="0" w:line="240" w:lineRule="auto"/>
        <w:ind w:left="709" w:hanging="283"/>
        <w:jc w:val="both"/>
        <w:rPr>
          <w:rFonts w:ascii="Verdana" w:hAnsi="Verdana" w:cs="Tahoma"/>
          <w:sz w:val="24"/>
          <w:szCs w:val="24"/>
        </w:rPr>
      </w:pPr>
      <w:r w:rsidRPr="00D0498B">
        <w:rPr>
          <w:rFonts w:ascii="Verdana" w:hAnsi="Verdana" w:cs="Tahoma"/>
          <w:sz w:val="24"/>
          <w:szCs w:val="24"/>
        </w:rPr>
        <w:t>Quioscos de Autoconsulta. Permite directamente en el punto de atención consultar la atención humanitaria y el estado de su turno sin necesidad de impetrar un derecho de petición.</w:t>
      </w:r>
    </w:p>
    <w:p w:rsidR="004C3A40" w:rsidRPr="00D0498B" w:rsidRDefault="004C3A40" w:rsidP="004C3A40">
      <w:pPr>
        <w:pStyle w:val="Prrafodelista"/>
        <w:spacing w:after="0" w:line="240" w:lineRule="auto"/>
        <w:ind w:left="709" w:hanging="283"/>
        <w:jc w:val="both"/>
        <w:rPr>
          <w:rFonts w:ascii="Verdana" w:hAnsi="Verdana" w:cs="Tahoma"/>
          <w:sz w:val="24"/>
          <w:szCs w:val="24"/>
        </w:rPr>
      </w:pPr>
    </w:p>
    <w:p w:rsidR="004C3A40" w:rsidRPr="00D0498B" w:rsidRDefault="004C3A40" w:rsidP="00905C49">
      <w:pPr>
        <w:pStyle w:val="Prrafodelista"/>
        <w:numPr>
          <w:ilvl w:val="0"/>
          <w:numId w:val="78"/>
        </w:numPr>
        <w:spacing w:after="0" w:line="240" w:lineRule="auto"/>
        <w:ind w:left="709" w:hanging="283"/>
        <w:jc w:val="both"/>
        <w:rPr>
          <w:rFonts w:ascii="Verdana" w:hAnsi="Verdana" w:cs="Tahoma"/>
          <w:sz w:val="24"/>
          <w:szCs w:val="24"/>
        </w:rPr>
      </w:pPr>
      <w:r w:rsidRPr="00D0498B">
        <w:rPr>
          <w:rFonts w:ascii="Verdana" w:hAnsi="Verdana" w:cs="Tahoma"/>
          <w:sz w:val="24"/>
          <w:szCs w:val="24"/>
        </w:rPr>
        <w:t>Video llamada. Permite sin necesidad de trasladarse de su residencia a la víctima o ciudadano que consulta (incluido víctimas en el exterior) realizar las consultas que se requieran a través de la página web de la entidad.</w:t>
      </w:r>
    </w:p>
    <w:p w:rsidR="004C3A40" w:rsidRPr="00D0498B" w:rsidRDefault="004C3A40" w:rsidP="004C3A40">
      <w:pPr>
        <w:pStyle w:val="Prrafodelista"/>
        <w:spacing w:after="0" w:line="240" w:lineRule="auto"/>
        <w:ind w:left="709" w:hanging="283"/>
        <w:jc w:val="both"/>
        <w:rPr>
          <w:rFonts w:ascii="Verdana" w:hAnsi="Verdana" w:cs="Tahoma"/>
          <w:sz w:val="24"/>
          <w:szCs w:val="24"/>
        </w:rPr>
      </w:pPr>
    </w:p>
    <w:p w:rsidR="004C3A40" w:rsidRPr="00D0498B" w:rsidRDefault="004C3A40" w:rsidP="00905C49">
      <w:pPr>
        <w:pStyle w:val="Prrafodelista"/>
        <w:numPr>
          <w:ilvl w:val="0"/>
          <w:numId w:val="78"/>
        </w:numPr>
        <w:spacing w:after="0" w:line="240" w:lineRule="auto"/>
        <w:ind w:left="709" w:hanging="283"/>
        <w:jc w:val="both"/>
        <w:rPr>
          <w:rFonts w:ascii="Verdana" w:hAnsi="Verdana" w:cs="Tahoma"/>
          <w:sz w:val="24"/>
          <w:szCs w:val="24"/>
        </w:rPr>
      </w:pPr>
      <w:r w:rsidRPr="00D0498B">
        <w:rPr>
          <w:rFonts w:ascii="Verdana" w:hAnsi="Verdana" w:cs="Tahoma"/>
          <w:sz w:val="24"/>
          <w:szCs w:val="24"/>
        </w:rPr>
        <w:t>Chat Web. Permite igualmente sin necesidad de trasladarse de la residencia consultar servicios y ayudas a través de la página web de la Unidad.</w:t>
      </w:r>
    </w:p>
    <w:p w:rsidR="004C3A40" w:rsidRPr="00D0498B" w:rsidRDefault="004C3A40" w:rsidP="004C3A40">
      <w:pPr>
        <w:pStyle w:val="Prrafodelista"/>
        <w:spacing w:after="0" w:line="240" w:lineRule="auto"/>
        <w:ind w:left="709" w:hanging="283"/>
        <w:rPr>
          <w:rFonts w:ascii="Verdana" w:hAnsi="Verdana" w:cs="Tahoma"/>
          <w:sz w:val="24"/>
          <w:szCs w:val="24"/>
        </w:rPr>
      </w:pPr>
    </w:p>
    <w:p w:rsidR="004C3A40" w:rsidRPr="00D0498B" w:rsidRDefault="004C3A40" w:rsidP="004C3A40">
      <w:pPr>
        <w:pStyle w:val="Prrafodelista"/>
        <w:spacing w:after="0" w:line="240" w:lineRule="auto"/>
        <w:ind w:left="709" w:hanging="283"/>
        <w:jc w:val="both"/>
        <w:rPr>
          <w:rFonts w:ascii="Verdana" w:hAnsi="Verdana" w:cs="Tahoma"/>
          <w:sz w:val="24"/>
          <w:szCs w:val="24"/>
        </w:rPr>
      </w:pPr>
    </w:p>
    <w:p w:rsidR="004C3A40" w:rsidRPr="00D0498B" w:rsidRDefault="004C3A40" w:rsidP="00905C49">
      <w:pPr>
        <w:pStyle w:val="Prrafodelista"/>
        <w:numPr>
          <w:ilvl w:val="0"/>
          <w:numId w:val="78"/>
        </w:numPr>
        <w:spacing w:after="0" w:line="240" w:lineRule="auto"/>
        <w:ind w:left="709" w:hanging="283"/>
        <w:jc w:val="both"/>
        <w:rPr>
          <w:rFonts w:ascii="Verdana" w:hAnsi="Verdana" w:cs="Tahoma"/>
          <w:sz w:val="24"/>
          <w:szCs w:val="24"/>
        </w:rPr>
      </w:pPr>
      <w:r w:rsidRPr="00D0498B">
        <w:rPr>
          <w:rFonts w:ascii="Verdana" w:hAnsi="Verdana" w:cs="Tahoma"/>
          <w:sz w:val="24"/>
          <w:szCs w:val="24"/>
        </w:rPr>
        <w:t>VIRTUAL HOLD: Herramienta tecnológica pensada para brindar mejores beneficios en los niveles de atención como de servicio, su función principal consiste en brindarle la opción al cliente de informarle el tiempo máximo de espera que tendrá para ser atendido o la oportunidad de que el CCIO de la Unidad, le devuelva la llamada sin ningún costo, apenas esté disponible un agente para atenderlo o poderle programar una hora en la cual se contactará con el usuario. Esta herramienta entró en vigencia el día 28 de mayo de 2013 y se encuentra en proceso de estabilización, permitiendo aumentar niveles de atención, generado una aceptación considerable con los usuarios que se contactan diariamente con nosotros.</w:t>
      </w:r>
    </w:p>
    <w:p w:rsidR="004C3A40" w:rsidRPr="00D0498B" w:rsidRDefault="004C3A40" w:rsidP="004C3A40">
      <w:pPr>
        <w:pStyle w:val="Prrafodelista"/>
        <w:spacing w:after="0" w:line="240" w:lineRule="auto"/>
        <w:ind w:left="709" w:hanging="283"/>
        <w:jc w:val="both"/>
        <w:rPr>
          <w:rFonts w:ascii="Verdana" w:hAnsi="Verdana" w:cs="Tahoma"/>
          <w:sz w:val="24"/>
          <w:szCs w:val="24"/>
        </w:rPr>
      </w:pPr>
    </w:p>
    <w:p w:rsidR="004C3A40" w:rsidRPr="00D0498B" w:rsidRDefault="004C3A40" w:rsidP="00905C49">
      <w:pPr>
        <w:pStyle w:val="Prrafodelista"/>
        <w:numPr>
          <w:ilvl w:val="0"/>
          <w:numId w:val="78"/>
        </w:numPr>
        <w:spacing w:after="0" w:line="240" w:lineRule="auto"/>
        <w:ind w:left="709" w:hanging="283"/>
        <w:jc w:val="both"/>
        <w:rPr>
          <w:rFonts w:ascii="Verdana" w:hAnsi="Verdana" w:cs="Tahoma"/>
          <w:sz w:val="24"/>
          <w:szCs w:val="24"/>
        </w:rPr>
      </w:pPr>
      <w:r w:rsidRPr="00D0498B">
        <w:rPr>
          <w:rFonts w:ascii="Verdana" w:hAnsi="Verdana" w:cs="Tahoma"/>
          <w:sz w:val="24"/>
          <w:szCs w:val="24"/>
        </w:rPr>
        <w:lastRenderedPageBreak/>
        <w:t>En el año 2014 se implementó el servicio SMS-CHAT el cual permite a todas las víctimas a nivel nacional sin necesidad de utilizar teléfonos de alta tecnología acceder a información desde su teléfono celular de baja gama. El servicio se brinda a través del numeral #85777 y permite enviar y recibir mensajes de texto sin ningún costo para las víctimas. el servicio permite que las víctimas envíen hasta 5 mensajes de texto y la Unidad responde vía mensaje de texto.</w:t>
      </w:r>
    </w:p>
    <w:p w:rsidR="004C3A40" w:rsidRPr="00D0498B" w:rsidRDefault="004C3A40" w:rsidP="004C3A40">
      <w:pPr>
        <w:pStyle w:val="Prrafodelista"/>
        <w:spacing w:after="0" w:line="240" w:lineRule="auto"/>
        <w:ind w:left="709" w:hanging="283"/>
        <w:jc w:val="both"/>
        <w:rPr>
          <w:rFonts w:ascii="Verdana" w:hAnsi="Verdana" w:cs="Tahoma"/>
          <w:color w:val="FF0000"/>
          <w:sz w:val="24"/>
          <w:szCs w:val="24"/>
        </w:rPr>
      </w:pPr>
    </w:p>
    <w:p w:rsidR="004C3A40" w:rsidRPr="00D0498B" w:rsidRDefault="004C3A40" w:rsidP="00905C49">
      <w:pPr>
        <w:pStyle w:val="Prrafodelista"/>
        <w:numPr>
          <w:ilvl w:val="0"/>
          <w:numId w:val="78"/>
        </w:numPr>
        <w:spacing w:after="0" w:line="240" w:lineRule="auto"/>
        <w:ind w:left="709" w:hanging="283"/>
        <w:jc w:val="both"/>
        <w:rPr>
          <w:rFonts w:ascii="Verdana" w:hAnsi="Verdana" w:cs="Tahoma"/>
          <w:color w:val="FF0000"/>
          <w:sz w:val="24"/>
          <w:szCs w:val="24"/>
        </w:rPr>
      </w:pPr>
      <w:r w:rsidRPr="00D0498B">
        <w:rPr>
          <w:rFonts w:ascii="Verdana" w:hAnsi="Verdana" w:cs="Tahoma"/>
          <w:sz w:val="24"/>
          <w:szCs w:val="24"/>
        </w:rPr>
        <w:t>Punto de Atención Virtual. En implementación actualmente con el apoyo del Ministerio MINTIC. Permite a todos los ciudadanos víctimas acceder a la información a través de la página web de la Unidad. Cobertura a nivel nacional a través de los Puntos Vive Digital.</w:t>
      </w:r>
    </w:p>
    <w:p w:rsidR="00482241" w:rsidRPr="00144A07" w:rsidRDefault="00482241" w:rsidP="00482241">
      <w:pPr>
        <w:spacing w:after="0" w:line="240" w:lineRule="auto"/>
        <w:contextualSpacing/>
        <w:jc w:val="both"/>
        <w:rPr>
          <w:rFonts w:ascii="Verdana" w:hAnsi="Verdana" w:cs="Tahoma"/>
          <w:sz w:val="24"/>
          <w:szCs w:val="24"/>
        </w:rPr>
      </w:pPr>
    </w:p>
    <w:p w:rsidR="00482241" w:rsidRPr="00175410" w:rsidRDefault="00D0498B" w:rsidP="00175410">
      <w:pPr>
        <w:pStyle w:val="Prrafodelista"/>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line="240" w:lineRule="auto"/>
        <w:ind w:left="0"/>
        <w:jc w:val="both"/>
        <w:rPr>
          <w:rFonts w:ascii="Verdana" w:hAnsi="Verdana" w:cs="Tahoma"/>
          <w:b/>
          <w:color w:val="4F81BD" w:themeColor="accent1"/>
          <w:sz w:val="28"/>
          <w:szCs w:val="24"/>
        </w:rPr>
      </w:pPr>
      <w:r w:rsidRPr="00FB4B77">
        <w:rPr>
          <w:rFonts w:ascii="Verdana" w:hAnsi="Verdana" w:cs="Tahoma"/>
          <w:b/>
          <w:noProof/>
          <w:color w:val="548DD4" w:themeColor="text2" w:themeTint="99"/>
          <w:sz w:val="32"/>
          <w:szCs w:val="24"/>
          <w:lang w:eastAsia="es-CO"/>
        </w:rPr>
        <w:drawing>
          <wp:inline distT="0" distB="0" distL="0" distR="0">
            <wp:extent cx="216024" cy="216024"/>
            <wp:effectExtent l="19050" t="0" r="0" b="0"/>
            <wp:docPr id="479"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6516216" y="2996952"/>
                      <a:chExt cx="216024" cy="216024"/>
                    </a:xfrm>
                  </a:grpSpPr>
                  <a:sp>
                    <a:nvSpPr>
                      <a:cNvPr id="38" name="37 Rectángulo redondeado"/>
                      <a:cNvSpPr/>
                    </a:nvSpPr>
                    <a:spPr>
                      <a:xfrm>
                        <a:off x="6516216" y="2996952"/>
                        <a:ext cx="216024" cy="216024"/>
                      </a:xfrm>
                      <a:prstGeom prst="roundRect">
                        <a:avLst/>
                      </a:prstGeom>
                      <a:gradFill flip="none" rotWithShape="1">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hAnsi="Verdana" w:cs="Tahoma"/>
          <w:b/>
          <w:color w:val="548DD4" w:themeColor="text2" w:themeTint="99"/>
          <w:sz w:val="32"/>
          <w:szCs w:val="24"/>
        </w:rPr>
        <w:t xml:space="preserve"> </w:t>
      </w:r>
      <w:r w:rsidR="00175410" w:rsidRPr="00175410">
        <w:rPr>
          <w:rFonts w:ascii="Verdana" w:hAnsi="Verdana" w:cs="Tahoma"/>
          <w:b/>
          <w:color w:val="4F81BD" w:themeColor="accent1"/>
          <w:sz w:val="28"/>
          <w:szCs w:val="24"/>
        </w:rPr>
        <w:t>ACCIONES DE MEJORAMIENTO DE LA ENTIDAD</w:t>
      </w:r>
      <w:r w:rsidR="00175410" w:rsidRPr="00175410">
        <w:rPr>
          <w:rFonts w:ascii="Verdana" w:hAnsi="Verdana" w:cs="Tahoma"/>
          <w:b/>
          <w:color w:val="4F81BD" w:themeColor="accent1"/>
          <w:sz w:val="28"/>
          <w:szCs w:val="24"/>
        </w:rPr>
        <w:tab/>
      </w:r>
    </w:p>
    <w:p w:rsidR="00482241" w:rsidRPr="00144A07" w:rsidRDefault="00482241" w:rsidP="00482241">
      <w:pPr>
        <w:spacing w:after="0" w:line="240" w:lineRule="auto"/>
        <w:contextualSpacing/>
        <w:jc w:val="both"/>
        <w:rPr>
          <w:rFonts w:ascii="Verdana" w:hAnsi="Verdana" w:cs="Tahoma"/>
          <w:sz w:val="24"/>
          <w:szCs w:val="24"/>
        </w:rPr>
      </w:pPr>
    </w:p>
    <w:p w:rsidR="00482241" w:rsidRDefault="00482241" w:rsidP="00482241">
      <w:pPr>
        <w:spacing w:after="0" w:line="240" w:lineRule="auto"/>
        <w:contextualSpacing/>
        <w:jc w:val="both"/>
        <w:rPr>
          <w:rFonts w:ascii="Verdana" w:hAnsi="Verdana" w:cs="Tahoma"/>
          <w:sz w:val="24"/>
          <w:szCs w:val="24"/>
        </w:rPr>
      </w:pPr>
      <w:r w:rsidRPr="00144A07">
        <w:rPr>
          <w:rFonts w:ascii="Verdana" w:hAnsi="Verdana" w:cs="Tahoma"/>
          <w:sz w:val="24"/>
          <w:szCs w:val="24"/>
        </w:rPr>
        <w:t>La Unidad para la Atención y Reparación Integral a las Víctimas ha suscrito seis (6) planes de mejoramiento con la Contraloría General de la República, entre el 2013 y el 2014, a saber:</w:t>
      </w:r>
    </w:p>
    <w:p w:rsidR="008461D7" w:rsidRPr="00144A07" w:rsidRDefault="008461D7" w:rsidP="00482241">
      <w:pPr>
        <w:spacing w:after="0" w:line="240" w:lineRule="auto"/>
        <w:contextualSpacing/>
        <w:jc w:val="both"/>
        <w:rPr>
          <w:rFonts w:ascii="Verdana" w:hAnsi="Verdana" w:cs="Tahoma"/>
          <w:sz w:val="24"/>
          <w:szCs w:val="24"/>
        </w:rPr>
      </w:pPr>
    </w:p>
    <w:tbl>
      <w:tblPr>
        <w:tblW w:w="5000" w:type="pct"/>
        <w:tblCellMar>
          <w:left w:w="70" w:type="dxa"/>
          <w:right w:w="70" w:type="dxa"/>
        </w:tblCellMar>
        <w:tblLook w:val="04A0"/>
      </w:tblPr>
      <w:tblGrid>
        <w:gridCol w:w="4457"/>
        <w:gridCol w:w="2586"/>
        <w:gridCol w:w="3123"/>
      </w:tblGrid>
      <w:tr w:rsidR="00D0498B" w:rsidRPr="00D0498B" w:rsidTr="008461D7">
        <w:trPr>
          <w:trHeight w:val="465"/>
        </w:trPr>
        <w:tc>
          <w:tcPr>
            <w:tcW w:w="2192" w:type="pct"/>
            <w:tcBorders>
              <w:top w:val="single" w:sz="8" w:space="0" w:color="auto"/>
              <w:left w:val="single" w:sz="8" w:space="0" w:color="auto"/>
              <w:bottom w:val="single" w:sz="8" w:space="0" w:color="auto"/>
              <w:right w:val="single" w:sz="8" w:space="0" w:color="auto"/>
            </w:tcBorders>
            <w:shd w:val="clear" w:color="4F81BD" w:fill="4F81BD"/>
            <w:noWrap/>
            <w:vAlign w:val="bottom"/>
            <w:hideMark/>
          </w:tcPr>
          <w:p w:rsidR="00D0498B" w:rsidRPr="00D0498B" w:rsidRDefault="00D0498B" w:rsidP="00D0498B">
            <w:pPr>
              <w:spacing w:after="0" w:line="240" w:lineRule="auto"/>
              <w:rPr>
                <w:rFonts w:ascii="Verdana" w:eastAsia="Times New Roman" w:hAnsi="Verdana" w:cs="Times New Roman"/>
                <w:b/>
                <w:bCs/>
                <w:color w:val="FFFFFF"/>
                <w:sz w:val="18"/>
                <w:szCs w:val="18"/>
                <w:lang w:eastAsia="es-CO"/>
              </w:rPr>
            </w:pPr>
            <w:r w:rsidRPr="00D0498B">
              <w:rPr>
                <w:rFonts w:ascii="Verdana" w:eastAsia="Times New Roman" w:hAnsi="Verdana" w:cs="Times New Roman"/>
                <w:b/>
                <w:bCs/>
                <w:color w:val="FFFFFF"/>
                <w:sz w:val="18"/>
                <w:szCs w:val="18"/>
                <w:lang w:eastAsia="es-CO"/>
              </w:rPr>
              <w:t>Auditoria-Actuación Especial</w:t>
            </w:r>
          </w:p>
        </w:tc>
        <w:tc>
          <w:tcPr>
            <w:tcW w:w="1272" w:type="pct"/>
            <w:tcBorders>
              <w:top w:val="single" w:sz="8" w:space="0" w:color="auto"/>
              <w:left w:val="nil"/>
              <w:bottom w:val="single" w:sz="8" w:space="0" w:color="auto"/>
              <w:right w:val="single" w:sz="8" w:space="0" w:color="auto"/>
            </w:tcBorders>
            <w:shd w:val="clear" w:color="4F81BD" w:fill="4F81BD"/>
            <w:vAlign w:val="bottom"/>
            <w:hideMark/>
          </w:tcPr>
          <w:p w:rsidR="00D0498B" w:rsidRPr="00D0498B" w:rsidRDefault="00D0498B" w:rsidP="00D0498B">
            <w:pPr>
              <w:spacing w:after="0" w:line="240" w:lineRule="auto"/>
              <w:rPr>
                <w:rFonts w:ascii="Verdana" w:eastAsia="Times New Roman" w:hAnsi="Verdana" w:cs="Times New Roman"/>
                <w:b/>
                <w:bCs/>
                <w:color w:val="FFFFFF"/>
                <w:sz w:val="18"/>
                <w:szCs w:val="18"/>
                <w:lang w:eastAsia="es-CO"/>
              </w:rPr>
            </w:pPr>
            <w:r w:rsidRPr="00D0498B">
              <w:rPr>
                <w:rFonts w:ascii="Verdana" w:eastAsia="Times New Roman" w:hAnsi="Verdana" w:cs="Times New Roman"/>
                <w:b/>
                <w:bCs/>
                <w:color w:val="FFFFFF"/>
                <w:sz w:val="18"/>
                <w:szCs w:val="18"/>
                <w:lang w:eastAsia="es-CO"/>
              </w:rPr>
              <w:t>No. Hallazgos</w:t>
            </w:r>
          </w:p>
        </w:tc>
        <w:tc>
          <w:tcPr>
            <w:tcW w:w="1536" w:type="pct"/>
            <w:tcBorders>
              <w:top w:val="single" w:sz="8" w:space="0" w:color="auto"/>
              <w:left w:val="nil"/>
              <w:bottom w:val="single" w:sz="8" w:space="0" w:color="auto"/>
              <w:right w:val="single" w:sz="8" w:space="0" w:color="auto"/>
            </w:tcBorders>
            <w:shd w:val="clear" w:color="4F81BD" w:fill="4F81BD"/>
            <w:vAlign w:val="bottom"/>
            <w:hideMark/>
          </w:tcPr>
          <w:p w:rsidR="00D0498B" w:rsidRPr="00D0498B" w:rsidRDefault="00D0498B" w:rsidP="00D0498B">
            <w:pPr>
              <w:spacing w:after="0" w:line="240" w:lineRule="auto"/>
              <w:rPr>
                <w:rFonts w:ascii="Verdana" w:eastAsia="Times New Roman" w:hAnsi="Verdana" w:cs="Times New Roman"/>
                <w:b/>
                <w:bCs/>
                <w:color w:val="FFFFFF"/>
                <w:sz w:val="18"/>
                <w:szCs w:val="18"/>
                <w:lang w:eastAsia="es-CO"/>
              </w:rPr>
            </w:pPr>
            <w:r w:rsidRPr="00D0498B">
              <w:rPr>
                <w:rFonts w:ascii="Verdana" w:eastAsia="Times New Roman" w:hAnsi="Verdana" w:cs="Times New Roman"/>
                <w:b/>
                <w:bCs/>
                <w:color w:val="FFFFFF"/>
                <w:sz w:val="18"/>
                <w:szCs w:val="18"/>
                <w:lang w:eastAsia="es-CO"/>
              </w:rPr>
              <w:t>Funciones de Advertencia</w:t>
            </w:r>
          </w:p>
        </w:tc>
      </w:tr>
      <w:tr w:rsidR="00D0498B" w:rsidRPr="00D0498B" w:rsidTr="008461D7">
        <w:trPr>
          <w:trHeight w:val="401"/>
        </w:trPr>
        <w:tc>
          <w:tcPr>
            <w:tcW w:w="2192" w:type="pct"/>
            <w:tcBorders>
              <w:top w:val="nil"/>
              <w:left w:val="single" w:sz="8" w:space="0" w:color="auto"/>
              <w:bottom w:val="single" w:sz="8" w:space="0" w:color="auto"/>
              <w:right w:val="single" w:sz="8" w:space="0" w:color="auto"/>
            </w:tcBorders>
            <w:shd w:val="clear" w:color="B8CCE4" w:fill="B8CCE4"/>
            <w:vAlign w:val="bottom"/>
            <w:hideMark/>
          </w:tcPr>
          <w:p w:rsidR="00D0498B" w:rsidRPr="00D0498B" w:rsidRDefault="00D0498B" w:rsidP="00D0498B">
            <w:pPr>
              <w:spacing w:after="0" w:line="240" w:lineRule="auto"/>
              <w:rPr>
                <w:rFonts w:ascii="Verdana" w:eastAsia="Times New Roman" w:hAnsi="Verdana" w:cs="Times New Roman"/>
                <w:color w:val="000000"/>
                <w:sz w:val="18"/>
                <w:szCs w:val="18"/>
                <w:lang w:eastAsia="es-CO"/>
              </w:rPr>
            </w:pPr>
            <w:r w:rsidRPr="00D0498B">
              <w:rPr>
                <w:rFonts w:ascii="Verdana" w:eastAsia="Times New Roman" w:hAnsi="Verdana" w:cs="Times New Roman"/>
                <w:color w:val="000000"/>
                <w:sz w:val="18"/>
                <w:szCs w:val="18"/>
                <w:lang w:eastAsia="es-CO"/>
              </w:rPr>
              <w:t>ACTUACION ESPECIAL INDEMNIZACIONES</w:t>
            </w:r>
          </w:p>
        </w:tc>
        <w:tc>
          <w:tcPr>
            <w:tcW w:w="1272" w:type="pct"/>
            <w:tcBorders>
              <w:top w:val="nil"/>
              <w:left w:val="nil"/>
              <w:bottom w:val="single" w:sz="8" w:space="0" w:color="auto"/>
              <w:right w:val="single" w:sz="8" w:space="0" w:color="auto"/>
            </w:tcBorders>
            <w:shd w:val="clear" w:color="B8CCE4" w:fill="B8CCE4"/>
            <w:noWrap/>
            <w:vAlign w:val="bottom"/>
            <w:hideMark/>
          </w:tcPr>
          <w:p w:rsidR="00D0498B" w:rsidRPr="00D0498B" w:rsidRDefault="00D0498B" w:rsidP="00D0498B">
            <w:pPr>
              <w:spacing w:after="0" w:line="240" w:lineRule="auto"/>
              <w:jc w:val="right"/>
              <w:rPr>
                <w:rFonts w:ascii="Verdana" w:eastAsia="Times New Roman" w:hAnsi="Verdana" w:cs="Times New Roman"/>
                <w:color w:val="000000"/>
                <w:sz w:val="18"/>
                <w:szCs w:val="18"/>
                <w:lang w:eastAsia="es-CO"/>
              </w:rPr>
            </w:pPr>
            <w:r w:rsidRPr="00D0498B">
              <w:rPr>
                <w:rFonts w:ascii="Verdana" w:eastAsia="Times New Roman" w:hAnsi="Verdana" w:cs="Times New Roman"/>
                <w:color w:val="000000"/>
                <w:sz w:val="18"/>
                <w:szCs w:val="18"/>
                <w:lang w:eastAsia="es-CO"/>
              </w:rPr>
              <w:t>5</w:t>
            </w:r>
          </w:p>
        </w:tc>
        <w:tc>
          <w:tcPr>
            <w:tcW w:w="1536" w:type="pct"/>
            <w:tcBorders>
              <w:top w:val="nil"/>
              <w:left w:val="nil"/>
              <w:bottom w:val="single" w:sz="8" w:space="0" w:color="auto"/>
              <w:right w:val="single" w:sz="8" w:space="0" w:color="auto"/>
            </w:tcBorders>
            <w:shd w:val="clear" w:color="B8CCE4" w:fill="B8CCE4"/>
            <w:noWrap/>
            <w:vAlign w:val="bottom"/>
            <w:hideMark/>
          </w:tcPr>
          <w:p w:rsidR="00D0498B" w:rsidRPr="00D0498B" w:rsidRDefault="00D0498B" w:rsidP="00D0498B">
            <w:pPr>
              <w:spacing w:after="0" w:line="240" w:lineRule="auto"/>
              <w:jc w:val="right"/>
              <w:rPr>
                <w:rFonts w:ascii="Verdana" w:eastAsia="Times New Roman" w:hAnsi="Verdana" w:cs="Times New Roman"/>
                <w:color w:val="000000"/>
                <w:sz w:val="18"/>
                <w:szCs w:val="18"/>
                <w:lang w:eastAsia="es-CO"/>
              </w:rPr>
            </w:pPr>
            <w:r w:rsidRPr="00D0498B">
              <w:rPr>
                <w:rFonts w:ascii="Verdana" w:eastAsia="Times New Roman" w:hAnsi="Verdana" w:cs="Times New Roman"/>
                <w:color w:val="000000"/>
                <w:sz w:val="18"/>
                <w:szCs w:val="18"/>
                <w:lang w:eastAsia="es-CO"/>
              </w:rPr>
              <w:t>1</w:t>
            </w:r>
          </w:p>
        </w:tc>
      </w:tr>
      <w:tr w:rsidR="00D0498B" w:rsidRPr="00D0498B" w:rsidTr="008461D7">
        <w:trPr>
          <w:trHeight w:val="406"/>
        </w:trPr>
        <w:tc>
          <w:tcPr>
            <w:tcW w:w="2192" w:type="pct"/>
            <w:tcBorders>
              <w:top w:val="nil"/>
              <w:left w:val="single" w:sz="8" w:space="0" w:color="auto"/>
              <w:bottom w:val="single" w:sz="8" w:space="0" w:color="auto"/>
              <w:right w:val="single" w:sz="8" w:space="0" w:color="auto"/>
            </w:tcBorders>
            <w:shd w:val="clear" w:color="DBE5F1" w:fill="DBE5F1"/>
            <w:vAlign w:val="bottom"/>
            <w:hideMark/>
          </w:tcPr>
          <w:p w:rsidR="00D0498B" w:rsidRPr="00D0498B" w:rsidRDefault="00D0498B" w:rsidP="00D0498B">
            <w:pPr>
              <w:spacing w:after="0" w:line="240" w:lineRule="auto"/>
              <w:rPr>
                <w:rFonts w:ascii="Verdana" w:eastAsia="Times New Roman" w:hAnsi="Verdana" w:cs="Times New Roman"/>
                <w:color w:val="000000"/>
                <w:sz w:val="18"/>
                <w:szCs w:val="18"/>
                <w:lang w:eastAsia="es-CO"/>
              </w:rPr>
            </w:pPr>
            <w:r w:rsidRPr="00D0498B">
              <w:rPr>
                <w:rFonts w:ascii="Verdana" w:eastAsia="Times New Roman" w:hAnsi="Verdana" w:cs="Times New Roman"/>
                <w:color w:val="000000"/>
                <w:sz w:val="18"/>
                <w:szCs w:val="18"/>
                <w:lang w:eastAsia="es-CO"/>
              </w:rPr>
              <w:t>ACTUACION ESPECIAL PARTICIPACIÓN</w:t>
            </w:r>
          </w:p>
        </w:tc>
        <w:tc>
          <w:tcPr>
            <w:tcW w:w="1272" w:type="pct"/>
            <w:tcBorders>
              <w:top w:val="nil"/>
              <w:left w:val="nil"/>
              <w:bottom w:val="single" w:sz="8" w:space="0" w:color="auto"/>
              <w:right w:val="single" w:sz="8" w:space="0" w:color="auto"/>
            </w:tcBorders>
            <w:shd w:val="clear" w:color="DBE5F1" w:fill="DBE5F1"/>
            <w:noWrap/>
            <w:vAlign w:val="bottom"/>
            <w:hideMark/>
          </w:tcPr>
          <w:p w:rsidR="00D0498B" w:rsidRPr="00D0498B" w:rsidRDefault="00D0498B" w:rsidP="00D0498B">
            <w:pPr>
              <w:spacing w:after="0" w:line="240" w:lineRule="auto"/>
              <w:jc w:val="right"/>
              <w:rPr>
                <w:rFonts w:ascii="Verdana" w:eastAsia="Times New Roman" w:hAnsi="Verdana" w:cs="Times New Roman"/>
                <w:color w:val="000000"/>
                <w:sz w:val="18"/>
                <w:szCs w:val="18"/>
                <w:lang w:eastAsia="es-CO"/>
              </w:rPr>
            </w:pPr>
            <w:r w:rsidRPr="00D0498B">
              <w:rPr>
                <w:rFonts w:ascii="Verdana" w:eastAsia="Times New Roman" w:hAnsi="Verdana" w:cs="Times New Roman"/>
                <w:color w:val="000000"/>
                <w:sz w:val="18"/>
                <w:szCs w:val="18"/>
                <w:lang w:eastAsia="es-CO"/>
              </w:rPr>
              <w:t>19</w:t>
            </w:r>
          </w:p>
        </w:tc>
        <w:tc>
          <w:tcPr>
            <w:tcW w:w="1536" w:type="pct"/>
            <w:tcBorders>
              <w:top w:val="nil"/>
              <w:left w:val="nil"/>
              <w:bottom w:val="single" w:sz="8" w:space="0" w:color="auto"/>
              <w:right w:val="single" w:sz="8" w:space="0" w:color="auto"/>
            </w:tcBorders>
            <w:shd w:val="clear" w:color="DBE5F1" w:fill="DBE5F1"/>
            <w:noWrap/>
            <w:vAlign w:val="bottom"/>
            <w:hideMark/>
          </w:tcPr>
          <w:p w:rsidR="00D0498B" w:rsidRPr="00D0498B" w:rsidRDefault="00D0498B" w:rsidP="00D0498B">
            <w:pPr>
              <w:spacing w:after="0" w:line="240" w:lineRule="auto"/>
              <w:rPr>
                <w:rFonts w:ascii="Verdana" w:eastAsia="Times New Roman" w:hAnsi="Verdana" w:cs="Times New Roman"/>
                <w:color w:val="000000"/>
                <w:sz w:val="18"/>
                <w:szCs w:val="18"/>
                <w:lang w:eastAsia="es-CO"/>
              </w:rPr>
            </w:pPr>
            <w:r w:rsidRPr="00D0498B">
              <w:rPr>
                <w:rFonts w:ascii="Verdana" w:eastAsia="Times New Roman" w:hAnsi="Verdana" w:cs="Times New Roman"/>
                <w:color w:val="000000"/>
                <w:sz w:val="18"/>
                <w:szCs w:val="18"/>
                <w:lang w:eastAsia="es-CO"/>
              </w:rPr>
              <w:t> </w:t>
            </w:r>
          </w:p>
        </w:tc>
      </w:tr>
      <w:tr w:rsidR="00D0498B" w:rsidRPr="00D0498B" w:rsidTr="008461D7">
        <w:trPr>
          <w:trHeight w:val="824"/>
        </w:trPr>
        <w:tc>
          <w:tcPr>
            <w:tcW w:w="2192" w:type="pct"/>
            <w:tcBorders>
              <w:top w:val="nil"/>
              <w:left w:val="single" w:sz="8" w:space="0" w:color="auto"/>
              <w:bottom w:val="single" w:sz="8" w:space="0" w:color="auto"/>
              <w:right w:val="single" w:sz="8" w:space="0" w:color="auto"/>
            </w:tcBorders>
            <w:shd w:val="clear" w:color="B8CCE4" w:fill="B8CCE4"/>
            <w:vAlign w:val="bottom"/>
            <w:hideMark/>
          </w:tcPr>
          <w:p w:rsidR="00D0498B" w:rsidRPr="00D0498B" w:rsidRDefault="00D0498B" w:rsidP="00D0498B">
            <w:pPr>
              <w:spacing w:after="0" w:line="240" w:lineRule="auto"/>
              <w:rPr>
                <w:rFonts w:ascii="Verdana" w:eastAsia="Times New Roman" w:hAnsi="Verdana" w:cs="Times New Roman"/>
                <w:color w:val="000000"/>
                <w:sz w:val="18"/>
                <w:szCs w:val="18"/>
                <w:lang w:eastAsia="es-CO"/>
              </w:rPr>
            </w:pPr>
            <w:r w:rsidRPr="00D0498B">
              <w:rPr>
                <w:rFonts w:ascii="Verdana" w:eastAsia="Times New Roman" w:hAnsi="Verdana" w:cs="Times New Roman"/>
                <w:color w:val="000000"/>
                <w:sz w:val="18"/>
                <w:szCs w:val="18"/>
                <w:lang w:eastAsia="es-CO"/>
              </w:rPr>
              <w:t>ACTUACIÓN ESPECIAL SEGUIMIENTO MEDIDAS ASISTENCIA, ATENCION, PROTECCION, PREVENCION</w:t>
            </w:r>
          </w:p>
        </w:tc>
        <w:tc>
          <w:tcPr>
            <w:tcW w:w="1272" w:type="pct"/>
            <w:tcBorders>
              <w:top w:val="nil"/>
              <w:left w:val="nil"/>
              <w:bottom w:val="single" w:sz="8" w:space="0" w:color="auto"/>
              <w:right w:val="single" w:sz="8" w:space="0" w:color="auto"/>
            </w:tcBorders>
            <w:shd w:val="clear" w:color="B8CCE4" w:fill="B8CCE4"/>
            <w:noWrap/>
            <w:vAlign w:val="bottom"/>
            <w:hideMark/>
          </w:tcPr>
          <w:p w:rsidR="00D0498B" w:rsidRPr="00D0498B" w:rsidRDefault="00D0498B" w:rsidP="00D0498B">
            <w:pPr>
              <w:spacing w:after="0" w:line="240" w:lineRule="auto"/>
              <w:jc w:val="right"/>
              <w:rPr>
                <w:rFonts w:ascii="Verdana" w:eastAsia="Times New Roman" w:hAnsi="Verdana" w:cs="Times New Roman"/>
                <w:color w:val="000000"/>
                <w:sz w:val="18"/>
                <w:szCs w:val="18"/>
                <w:lang w:eastAsia="es-CO"/>
              </w:rPr>
            </w:pPr>
            <w:r w:rsidRPr="00D0498B">
              <w:rPr>
                <w:rFonts w:ascii="Verdana" w:eastAsia="Times New Roman" w:hAnsi="Verdana" w:cs="Times New Roman"/>
                <w:color w:val="000000"/>
                <w:sz w:val="18"/>
                <w:szCs w:val="18"/>
                <w:lang w:eastAsia="es-CO"/>
              </w:rPr>
              <w:t>26</w:t>
            </w:r>
          </w:p>
        </w:tc>
        <w:tc>
          <w:tcPr>
            <w:tcW w:w="1536" w:type="pct"/>
            <w:tcBorders>
              <w:top w:val="nil"/>
              <w:left w:val="nil"/>
              <w:bottom w:val="single" w:sz="8" w:space="0" w:color="auto"/>
              <w:right w:val="single" w:sz="8" w:space="0" w:color="auto"/>
            </w:tcBorders>
            <w:shd w:val="clear" w:color="B8CCE4" w:fill="B8CCE4"/>
            <w:noWrap/>
            <w:vAlign w:val="bottom"/>
            <w:hideMark/>
          </w:tcPr>
          <w:p w:rsidR="00D0498B" w:rsidRPr="00D0498B" w:rsidRDefault="00D0498B" w:rsidP="00D0498B">
            <w:pPr>
              <w:spacing w:after="0" w:line="240" w:lineRule="auto"/>
              <w:rPr>
                <w:rFonts w:ascii="Verdana" w:eastAsia="Times New Roman" w:hAnsi="Verdana" w:cs="Times New Roman"/>
                <w:color w:val="000000"/>
                <w:sz w:val="18"/>
                <w:szCs w:val="18"/>
                <w:lang w:eastAsia="es-CO"/>
              </w:rPr>
            </w:pPr>
            <w:r w:rsidRPr="00D0498B">
              <w:rPr>
                <w:rFonts w:ascii="Verdana" w:eastAsia="Times New Roman" w:hAnsi="Verdana" w:cs="Times New Roman"/>
                <w:color w:val="000000"/>
                <w:sz w:val="18"/>
                <w:szCs w:val="18"/>
                <w:lang w:eastAsia="es-CO"/>
              </w:rPr>
              <w:t> </w:t>
            </w:r>
          </w:p>
        </w:tc>
      </w:tr>
      <w:tr w:rsidR="00D0498B" w:rsidRPr="00D0498B" w:rsidTr="008461D7">
        <w:trPr>
          <w:trHeight w:val="411"/>
        </w:trPr>
        <w:tc>
          <w:tcPr>
            <w:tcW w:w="2192" w:type="pct"/>
            <w:tcBorders>
              <w:top w:val="nil"/>
              <w:left w:val="single" w:sz="8" w:space="0" w:color="auto"/>
              <w:bottom w:val="single" w:sz="4" w:space="0" w:color="auto"/>
              <w:right w:val="single" w:sz="8" w:space="0" w:color="auto"/>
            </w:tcBorders>
            <w:shd w:val="clear" w:color="DBE5F1" w:fill="DBE5F1"/>
            <w:vAlign w:val="bottom"/>
            <w:hideMark/>
          </w:tcPr>
          <w:p w:rsidR="00D0498B" w:rsidRPr="00D0498B" w:rsidRDefault="00D0498B" w:rsidP="00D0498B">
            <w:pPr>
              <w:spacing w:after="0" w:line="240" w:lineRule="auto"/>
              <w:rPr>
                <w:rFonts w:ascii="Verdana" w:eastAsia="Times New Roman" w:hAnsi="Verdana" w:cs="Times New Roman"/>
                <w:color w:val="000000"/>
                <w:sz w:val="18"/>
                <w:szCs w:val="18"/>
                <w:lang w:eastAsia="es-CO"/>
              </w:rPr>
            </w:pPr>
            <w:r w:rsidRPr="00D0498B">
              <w:rPr>
                <w:rFonts w:ascii="Verdana" w:eastAsia="Times New Roman" w:hAnsi="Verdana" w:cs="Times New Roman"/>
                <w:color w:val="000000"/>
                <w:sz w:val="18"/>
                <w:szCs w:val="18"/>
                <w:lang w:eastAsia="es-CO"/>
              </w:rPr>
              <w:t>AUDITORÍA VIGENCIA 2012</w:t>
            </w:r>
          </w:p>
        </w:tc>
        <w:tc>
          <w:tcPr>
            <w:tcW w:w="1272" w:type="pct"/>
            <w:tcBorders>
              <w:top w:val="nil"/>
              <w:left w:val="nil"/>
              <w:bottom w:val="single" w:sz="8" w:space="0" w:color="auto"/>
              <w:right w:val="single" w:sz="8" w:space="0" w:color="auto"/>
            </w:tcBorders>
            <w:shd w:val="clear" w:color="DBE5F1" w:fill="DBE5F1"/>
            <w:noWrap/>
            <w:vAlign w:val="bottom"/>
            <w:hideMark/>
          </w:tcPr>
          <w:p w:rsidR="00D0498B" w:rsidRPr="00D0498B" w:rsidRDefault="00D0498B" w:rsidP="00D0498B">
            <w:pPr>
              <w:spacing w:after="0" w:line="240" w:lineRule="auto"/>
              <w:jc w:val="right"/>
              <w:rPr>
                <w:rFonts w:ascii="Verdana" w:eastAsia="Times New Roman" w:hAnsi="Verdana" w:cs="Times New Roman"/>
                <w:color w:val="000000"/>
                <w:sz w:val="18"/>
                <w:szCs w:val="18"/>
                <w:lang w:eastAsia="es-CO"/>
              </w:rPr>
            </w:pPr>
            <w:r w:rsidRPr="00D0498B">
              <w:rPr>
                <w:rFonts w:ascii="Verdana" w:eastAsia="Times New Roman" w:hAnsi="Verdana" w:cs="Times New Roman"/>
                <w:color w:val="000000"/>
                <w:sz w:val="18"/>
                <w:szCs w:val="18"/>
                <w:lang w:eastAsia="es-CO"/>
              </w:rPr>
              <w:t>69</w:t>
            </w:r>
          </w:p>
        </w:tc>
        <w:tc>
          <w:tcPr>
            <w:tcW w:w="1536" w:type="pct"/>
            <w:tcBorders>
              <w:top w:val="nil"/>
              <w:left w:val="nil"/>
              <w:bottom w:val="single" w:sz="8" w:space="0" w:color="auto"/>
              <w:right w:val="single" w:sz="8" w:space="0" w:color="auto"/>
            </w:tcBorders>
            <w:shd w:val="clear" w:color="DBE5F1" w:fill="DBE5F1"/>
            <w:noWrap/>
            <w:vAlign w:val="bottom"/>
            <w:hideMark/>
          </w:tcPr>
          <w:p w:rsidR="00D0498B" w:rsidRPr="00D0498B" w:rsidRDefault="00D0498B" w:rsidP="00D0498B">
            <w:pPr>
              <w:spacing w:after="0" w:line="240" w:lineRule="auto"/>
              <w:jc w:val="right"/>
              <w:rPr>
                <w:rFonts w:ascii="Verdana" w:eastAsia="Times New Roman" w:hAnsi="Verdana" w:cs="Times New Roman"/>
                <w:color w:val="000000"/>
                <w:sz w:val="18"/>
                <w:szCs w:val="18"/>
                <w:lang w:eastAsia="es-CO"/>
              </w:rPr>
            </w:pPr>
            <w:r w:rsidRPr="00D0498B">
              <w:rPr>
                <w:rFonts w:ascii="Verdana" w:eastAsia="Times New Roman" w:hAnsi="Verdana" w:cs="Times New Roman"/>
                <w:color w:val="000000"/>
                <w:sz w:val="18"/>
                <w:szCs w:val="18"/>
                <w:lang w:eastAsia="es-CO"/>
              </w:rPr>
              <w:t>7</w:t>
            </w:r>
          </w:p>
        </w:tc>
      </w:tr>
      <w:tr w:rsidR="00D0498B" w:rsidRPr="00D0498B" w:rsidTr="008461D7">
        <w:trPr>
          <w:trHeight w:val="360"/>
        </w:trPr>
        <w:tc>
          <w:tcPr>
            <w:tcW w:w="2192" w:type="pct"/>
            <w:vMerge w:val="restart"/>
            <w:tcBorders>
              <w:top w:val="single" w:sz="4" w:space="0" w:color="auto"/>
              <w:left w:val="single" w:sz="4" w:space="0" w:color="auto"/>
              <w:bottom w:val="single" w:sz="4" w:space="0" w:color="auto"/>
              <w:right w:val="single" w:sz="4" w:space="0" w:color="auto"/>
            </w:tcBorders>
            <w:shd w:val="clear" w:color="B8CCE4" w:fill="B8CCE4"/>
            <w:vAlign w:val="bottom"/>
            <w:hideMark/>
          </w:tcPr>
          <w:p w:rsidR="00D0498B" w:rsidRPr="00D0498B" w:rsidRDefault="00D0498B" w:rsidP="00D0498B">
            <w:pPr>
              <w:spacing w:after="0" w:line="240" w:lineRule="auto"/>
              <w:rPr>
                <w:rFonts w:ascii="Verdana" w:eastAsia="Times New Roman" w:hAnsi="Verdana" w:cs="Times New Roman"/>
                <w:color w:val="000000"/>
                <w:sz w:val="18"/>
                <w:szCs w:val="18"/>
                <w:lang w:eastAsia="es-CO"/>
              </w:rPr>
            </w:pPr>
            <w:r w:rsidRPr="00D0498B">
              <w:rPr>
                <w:rFonts w:ascii="Verdana" w:eastAsia="Times New Roman" w:hAnsi="Verdana" w:cs="Times New Roman"/>
                <w:color w:val="000000"/>
                <w:sz w:val="18"/>
                <w:szCs w:val="18"/>
                <w:lang w:eastAsia="es-CO"/>
              </w:rPr>
              <w:t>AUDITORÍA VIGENCIA 2013</w:t>
            </w:r>
          </w:p>
        </w:tc>
        <w:tc>
          <w:tcPr>
            <w:tcW w:w="1272" w:type="pct"/>
            <w:tcBorders>
              <w:top w:val="nil"/>
              <w:left w:val="single" w:sz="4" w:space="0" w:color="auto"/>
              <w:bottom w:val="single" w:sz="8" w:space="0" w:color="auto"/>
              <w:right w:val="single" w:sz="8" w:space="0" w:color="auto"/>
            </w:tcBorders>
            <w:shd w:val="clear" w:color="B8CCE4" w:fill="B8CCE4"/>
            <w:noWrap/>
            <w:vAlign w:val="bottom"/>
            <w:hideMark/>
          </w:tcPr>
          <w:p w:rsidR="00D0498B" w:rsidRPr="00D0498B" w:rsidRDefault="00D0498B" w:rsidP="00D0498B">
            <w:pPr>
              <w:spacing w:after="0" w:line="240" w:lineRule="auto"/>
              <w:jc w:val="right"/>
              <w:rPr>
                <w:rFonts w:ascii="Verdana" w:eastAsia="Times New Roman" w:hAnsi="Verdana" w:cs="Times New Roman"/>
                <w:color w:val="000000"/>
                <w:sz w:val="18"/>
                <w:szCs w:val="18"/>
                <w:lang w:eastAsia="es-CO"/>
              </w:rPr>
            </w:pPr>
            <w:r w:rsidRPr="00D0498B">
              <w:rPr>
                <w:rFonts w:ascii="Verdana" w:eastAsia="Times New Roman" w:hAnsi="Verdana" w:cs="Times New Roman"/>
                <w:color w:val="000000"/>
                <w:sz w:val="18"/>
                <w:szCs w:val="18"/>
                <w:lang w:eastAsia="es-CO"/>
              </w:rPr>
              <w:t>40</w:t>
            </w:r>
          </w:p>
        </w:tc>
        <w:tc>
          <w:tcPr>
            <w:tcW w:w="1536" w:type="pct"/>
            <w:tcBorders>
              <w:top w:val="nil"/>
              <w:left w:val="nil"/>
              <w:bottom w:val="single" w:sz="8" w:space="0" w:color="auto"/>
              <w:right w:val="single" w:sz="8" w:space="0" w:color="auto"/>
            </w:tcBorders>
            <w:shd w:val="clear" w:color="B8CCE4" w:fill="B8CCE4"/>
            <w:noWrap/>
            <w:vAlign w:val="bottom"/>
            <w:hideMark/>
          </w:tcPr>
          <w:p w:rsidR="00D0498B" w:rsidRPr="00D0498B" w:rsidRDefault="00D0498B" w:rsidP="00D0498B">
            <w:pPr>
              <w:spacing w:after="0" w:line="240" w:lineRule="auto"/>
              <w:jc w:val="right"/>
              <w:rPr>
                <w:rFonts w:ascii="Verdana" w:eastAsia="Times New Roman" w:hAnsi="Verdana" w:cs="Times New Roman"/>
                <w:color w:val="000000"/>
                <w:sz w:val="18"/>
                <w:szCs w:val="18"/>
                <w:lang w:eastAsia="es-CO"/>
              </w:rPr>
            </w:pPr>
            <w:r w:rsidRPr="00D0498B">
              <w:rPr>
                <w:rFonts w:ascii="Verdana" w:eastAsia="Times New Roman" w:hAnsi="Verdana" w:cs="Times New Roman"/>
                <w:color w:val="000000"/>
                <w:sz w:val="18"/>
                <w:szCs w:val="18"/>
                <w:lang w:eastAsia="es-CO"/>
              </w:rPr>
              <w:t>1</w:t>
            </w:r>
          </w:p>
        </w:tc>
      </w:tr>
      <w:tr w:rsidR="00D0498B" w:rsidRPr="00D0498B" w:rsidTr="008461D7">
        <w:trPr>
          <w:trHeight w:val="315"/>
        </w:trPr>
        <w:tc>
          <w:tcPr>
            <w:tcW w:w="2192" w:type="pct"/>
            <w:vMerge/>
            <w:tcBorders>
              <w:top w:val="single" w:sz="4" w:space="0" w:color="auto"/>
              <w:left w:val="single" w:sz="4" w:space="0" w:color="auto"/>
              <w:bottom w:val="single" w:sz="4" w:space="0" w:color="auto"/>
              <w:right w:val="single" w:sz="4" w:space="0" w:color="auto"/>
            </w:tcBorders>
            <w:vAlign w:val="center"/>
            <w:hideMark/>
          </w:tcPr>
          <w:p w:rsidR="00D0498B" w:rsidRPr="00D0498B" w:rsidRDefault="00D0498B" w:rsidP="00D0498B">
            <w:pPr>
              <w:spacing w:after="0" w:line="240" w:lineRule="auto"/>
              <w:rPr>
                <w:rFonts w:ascii="Verdana" w:eastAsia="Times New Roman" w:hAnsi="Verdana" w:cs="Times New Roman"/>
                <w:color w:val="000000"/>
                <w:sz w:val="18"/>
                <w:szCs w:val="18"/>
                <w:lang w:eastAsia="es-CO"/>
              </w:rPr>
            </w:pPr>
          </w:p>
        </w:tc>
        <w:tc>
          <w:tcPr>
            <w:tcW w:w="1272" w:type="pct"/>
            <w:tcBorders>
              <w:top w:val="nil"/>
              <w:left w:val="single" w:sz="4" w:space="0" w:color="auto"/>
              <w:bottom w:val="single" w:sz="8" w:space="0" w:color="auto"/>
              <w:right w:val="single" w:sz="8" w:space="0" w:color="auto"/>
            </w:tcBorders>
            <w:shd w:val="clear" w:color="DBE5F1" w:fill="DBE5F1"/>
            <w:noWrap/>
            <w:vAlign w:val="bottom"/>
            <w:hideMark/>
          </w:tcPr>
          <w:p w:rsidR="00D0498B" w:rsidRPr="00D0498B" w:rsidRDefault="00D0498B" w:rsidP="00D0498B">
            <w:pPr>
              <w:spacing w:after="0" w:line="240" w:lineRule="auto"/>
              <w:jc w:val="right"/>
              <w:rPr>
                <w:rFonts w:ascii="Verdana" w:eastAsia="Times New Roman" w:hAnsi="Verdana" w:cs="Times New Roman"/>
                <w:color w:val="000000"/>
                <w:sz w:val="18"/>
                <w:szCs w:val="18"/>
                <w:lang w:eastAsia="es-CO"/>
              </w:rPr>
            </w:pPr>
            <w:r w:rsidRPr="00D0498B">
              <w:rPr>
                <w:rFonts w:ascii="Verdana" w:eastAsia="Times New Roman" w:hAnsi="Verdana" w:cs="Times New Roman"/>
                <w:color w:val="000000"/>
                <w:sz w:val="18"/>
                <w:szCs w:val="18"/>
                <w:lang w:eastAsia="es-CO"/>
              </w:rPr>
              <w:t>50</w:t>
            </w:r>
          </w:p>
        </w:tc>
        <w:tc>
          <w:tcPr>
            <w:tcW w:w="1536" w:type="pct"/>
            <w:tcBorders>
              <w:top w:val="nil"/>
              <w:left w:val="nil"/>
              <w:bottom w:val="single" w:sz="8" w:space="0" w:color="auto"/>
              <w:right w:val="single" w:sz="8" w:space="0" w:color="auto"/>
            </w:tcBorders>
            <w:shd w:val="clear" w:color="DBE5F1" w:fill="DBE5F1"/>
            <w:noWrap/>
            <w:vAlign w:val="bottom"/>
            <w:hideMark/>
          </w:tcPr>
          <w:p w:rsidR="00D0498B" w:rsidRPr="00D0498B" w:rsidRDefault="00D0498B" w:rsidP="00D0498B">
            <w:pPr>
              <w:spacing w:after="0" w:line="240" w:lineRule="auto"/>
              <w:jc w:val="right"/>
              <w:rPr>
                <w:rFonts w:ascii="Verdana" w:eastAsia="Times New Roman" w:hAnsi="Verdana" w:cs="Times New Roman"/>
                <w:color w:val="000000"/>
                <w:sz w:val="18"/>
                <w:szCs w:val="18"/>
                <w:lang w:eastAsia="es-CO"/>
              </w:rPr>
            </w:pPr>
            <w:r w:rsidRPr="00D0498B">
              <w:rPr>
                <w:rFonts w:ascii="Verdana" w:eastAsia="Times New Roman" w:hAnsi="Verdana" w:cs="Times New Roman"/>
                <w:color w:val="000000"/>
                <w:sz w:val="18"/>
                <w:szCs w:val="18"/>
                <w:lang w:eastAsia="es-CO"/>
              </w:rPr>
              <w:t>1</w:t>
            </w:r>
          </w:p>
        </w:tc>
      </w:tr>
      <w:tr w:rsidR="00D0498B" w:rsidRPr="00D0498B" w:rsidTr="008461D7">
        <w:trPr>
          <w:trHeight w:val="315"/>
        </w:trPr>
        <w:tc>
          <w:tcPr>
            <w:tcW w:w="2192" w:type="pct"/>
            <w:tcBorders>
              <w:top w:val="single" w:sz="4" w:space="0" w:color="auto"/>
              <w:left w:val="single" w:sz="8" w:space="0" w:color="auto"/>
              <w:bottom w:val="single" w:sz="8" w:space="0" w:color="auto"/>
              <w:right w:val="single" w:sz="8" w:space="0" w:color="auto"/>
            </w:tcBorders>
            <w:shd w:val="clear" w:color="B8CCE4" w:fill="B8CCE4"/>
            <w:noWrap/>
            <w:vAlign w:val="bottom"/>
            <w:hideMark/>
          </w:tcPr>
          <w:p w:rsidR="00D0498B" w:rsidRPr="00D0498B" w:rsidRDefault="00D0498B" w:rsidP="00D0498B">
            <w:pPr>
              <w:spacing w:after="0" w:line="240" w:lineRule="auto"/>
              <w:rPr>
                <w:rFonts w:ascii="Verdana" w:eastAsia="Times New Roman" w:hAnsi="Verdana" w:cs="Times New Roman"/>
                <w:color w:val="000000"/>
                <w:sz w:val="18"/>
                <w:szCs w:val="18"/>
                <w:lang w:eastAsia="es-CO"/>
              </w:rPr>
            </w:pPr>
            <w:r w:rsidRPr="00D0498B">
              <w:rPr>
                <w:rFonts w:ascii="Verdana" w:eastAsia="Times New Roman" w:hAnsi="Verdana" w:cs="Times New Roman"/>
                <w:color w:val="000000"/>
                <w:sz w:val="18"/>
                <w:szCs w:val="18"/>
                <w:lang w:eastAsia="es-CO"/>
              </w:rPr>
              <w:t>Total General</w:t>
            </w:r>
          </w:p>
        </w:tc>
        <w:tc>
          <w:tcPr>
            <w:tcW w:w="1272" w:type="pct"/>
            <w:tcBorders>
              <w:top w:val="nil"/>
              <w:left w:val="nil"/>
              <w:bottom w:val="single" w:sz="8" w:space="0" w:color="auto"/>
              <w:right w:val="single" w:sz="8" w:space="0" w:color="auto"/>
            </w:tcBorders>
            <w:shd w:val="clear" w:color="B8CCE4" w:fill="B8CCE4"/>
            <w:noWrap/>
            <w:vAlign w:val="bottom"/>
            <w:hideMark/>
          </w:tcPr>
          <w:p w:rsidR="00D0498B" w:rsidRPr="00D0498B" w:rsidRDefault="00D0498B" w:rsidP="00D0498B">
            <w:pPr>
              <w:spacing w:after="0" w:line="240" w:lineRule="auto"/>
              <w:jc w:val="right"/>
              <w:rPr>
                <w:rFonts w:ascii="Verdana" w:eastAsia="Times New Roman" w:hAnsi="Verdana" w:cs="Times New Roman"/>
                <w:color w:val="000000"/>
                <w:sz w:val="18"/>
                <w:szCs w:val="18"/>
                <w:lang w:eastAsia="es-CO"/>
              </w:rPr>
            </w:pPr>
            <w:r w:rsidRPr="00D0498B">
              <w:rPr>
                <w:rFonts w:ascii="Verdana" w:eastAsia="Times New Roman" w:hAnsi="Verdana" w:cs="Times New Roman"/>
                <w:color w:val="000000"/>
                <w:sz w:val="18"/>
                <w:szCs w:val="18"/>
                <w:lang w:eastAsia="es-CO"/>
              </w:rPr>
              <w:t>209</w:t>
            </w:r>
          </w:p>
        </w:tc>
        <w:tc>
          <w:tcPr>
            <w:tcW w:w="1536" w:type="pct"/>
            <w:tcBorders>
              <w:top w:val="nil"/>
              <w:left w:val="nil"/>
              <w:bottom w:val="single" w:sz="8" w:space="0" w:color="auto"/>
              <w:right w:val="single" w:sz="8" w:space="0" w:color="auto"/>
            </w:tcBorders>
            <w:shd w:val="clear" w:color="B8CCE4" w:fill="B8CCE4"/>
            <w:noWrap/>
            <w:vAlign w:val="bottom"/>
            <w:hideMark/>
          </w:tcPr>
          <w:p w:rsidR="00D0498B" w:rsidRPr="00D0498B" w:rsidRDefault="00D0498B" w:rsidP="00D0498B">
            <w:pPr>
              <w:spacing w:after="0" w:line="240" w:lineRule="auto"/>
              <w:jc w:val="right"/>
              <w:rPr>
                <w:rFonts w:ascii="Verdana" w:eastAsia="Times New Roman" w:hAnsi="Verdana" w:cs="Times New Roman"/>
                <w:color w:val="000000"/>
                <w:sz w:val="18"/>
                <w:szCs w:val="18"/>
                <w:lang w:eastAsia="es-CO"/>
              </w:rPr>
            </w:pPr>
            <w:r w:rsidRPr="00D0498B">
              <w:rPr>
                <w:rFonts w:ascii="Verdana" w:eastAsia="Times New Roman" w:hAnsi="Verdana" w:cs="Times New Roman"/>
                <w:color w:val="000000"/>
                <w:sz w:val="18"/>
                <w:szCs w:val="18"/>
                <w:lang w:eastAsia="es-CO"/>
              </w:rPr>
              <w:t>10</w:t>
            </w:r>
          </w:p>
        </w:tc>
      </w:tr>
    </w:tbl>
    <w:p w:rsidR="00482241" w:rsidRPr="00144A07" w:rsidRDefault="00482241" w:rsidP="00482241">
      <w:pPr>
        <w:spacing w:after="0" w:line="240" w:lineRule="auto"/>
        <w:contextualSpacing/>
        <w:jc w:val="both"/>
        <w:rPr>
          <w:rFonts w:ascii="Verdana" w:hAnsi="Verdana" w:cs="Tahoma"/>
          <w:sz w:val="24"/>
          <w:szCs w:val="24"/>
        </w:rPr>
      </w:pPr>
    </w:p>
    <w:p w:rsidR="00482241" w:rsidRPr="00144A07" w:rsidRDefault="00482241" w:rsidP="00482241">
      <w:pPr>
        <w:spacing w:after="0" w:line="240" w:lineRule="auto"/>
        <w:contextualSpacing/>
        <w:jc w:val="both"/>
        <w:rPr>
          <w:rFonts w:ascii="Verdana" w:hAnsi="Verdana" w:cs="Tahoma"/>
          <w:sz w:val="24"/>
          <w:szCs w:val="24"/>
        </w:rPr>
      </w:pPr>
      <w:r w:rsidRPr="00144A07">
        <w:rPr>
          <w:rFonts w:ascii="Verdana" w:hAnsi="Verdana" w:cs="Tahoma"/>
          <w:sz w:val="24"/>
          <w:szCs w:val="24"/>
        </w:rPr>
        <w:t xml:space="preserve">El ente de control ha generado dentro del desarrollo de sus auditorías y actuaciones especiales doscientos nueve (209) hallazgos y diez (10) funciones de advertencia;  cuatro (4) de ellas se encuentran incluidas dentro de algunos hallazgos a saber: Una (1) se encuentra en la actuación especial de indemnizaciones en el hallazgo No. 5; las otras dos (2) se encuentran dentro de </w:t>
      </w:r>
      <w:r w:rsidRPr="00144A07">
        <w:rPr>
          <w:rFonts w:ascii="Verdana" w:hAnsi="Verdana" w:cs="Tahoma"/>
          <w:sz w:val="24"/>
          <w:szCs w:val="24"/>
        </w:rPr>
        <w:lastRenderedPageBreak/>
        <w:t>los sesenta y nueve (69) hallazgos de la Auditoria regular vigencia 2012, estas dos son: La función de advertencia No. 6,  que se encuentra inserta dentro del hallazgo 62;  y la función de advertencia No. 7 que se encuentra inmersa en el hallazgo No. 64; la función de advertencia generada en el primer informe vigencia 2013 se encuentra incluida en el hallazgo 7 y la última función de advertencia se encuentra incluida en el hallazgo 47 del segundo informe vigencia</w:t>
      </w:r>
    </w:p>
    <w:p w:rsidR="00482241" w:rsidRPr="00144A07" w:rsidRDefault="00482241" w:rsidP="00482241">
      <w:pPr>
        <w:spacing w:after="0" w:line="240" w:lineRule="auto"/>
        <w:contextualSpacing/>
        <w:jc w:val="both"/>
        <w:rPr>
          <w:rFonts w:ascii="Verdana" w:hAnsi="Verdana" w:cs="Tahoma"/>
          <w:sz w:val="24"/>
          <w:szCs w:val="24"/>
        </w:rPr>
      </w:pPr>
    </w:p>
    <w:p w:rsidR="00482241" w:rsidRDefault="00482241" w:rsidP="00482241">
      <w:pPr>
        <w:spacing w:after="0" w:line="240" w:lineRule="auto"/>
        <w:contextualSpacing/>
        <w:jc w:val="both"/>
        <w:rPr>
          <w:rFonts w:ascii="Verdana" w:hAnsi="Verdana" w:cs="Tahoma"/>
          <w:color w:val="365F91" w:themeColor="accent1" w:themeShade="BF"/>
          <w:sz w:val="24"/>
          <w:szCs w:val="24"/>
        </w:rPr>
      </w:pPr>
      <w:r w:rsidRPr="00144A07">
        <w:rPr>
          <w:rFonts w:ascii="Verdana" w:hAnsi="Verdana" w:cs="Tahoma"/>
          <w:sz w:val="24"/>
          <w:szCs w:val="24"/>
        </w:rPr>
        <w:t>De los doscientos nueve (209) hallazgos, la Unidad ha formulado a la fecha cuatrocientas quince (415) acciones de mejora con seiscientas nueve (609) actividades y seiscientas diecinueve (619) unidades de medida</w:t>
      </w:r>
      <w:r w:rsidRPr="00144A07">
        <w:rPr>
          <w:rFonts w:ascii="Verdana" w:hAnsi="Verdana" w:cs="Tahoma"/>
          <w:color w:val="365F91" w:themeColor="accent1" w:themeShade="BF"/>
          <w:sz w:val="24"/>
          <w:szCs w:val="24"/>
        </w:rPr>
        <w:t>.</w:t>
      </w:r>
    </w:p>
    <w:p w:rsidR="004C3A40" w:rsidRPr="00144A07" w:rsidRDefault="004C3A40" w:rsidP="00482241">
      <w:pPr>
        <w:spacing w:after="0" w:line="240" w:lineRule="auto"/>
        <w:contextualSpacing/>
        <w:jc w:val="both"/>
        <w:rPr>
          <w:rFonts w:ascii="Verdana" w:hAnsi="Verdana" w:cs="Tahoma"/>
          <w:color w:val="365F91" w:themeColor="accent1" w:themeShade="BF"/>
          <w:sz w:val="24"/>
          <w:szCs w:val="24"/>
        </w:rPr>
      </w:pPr>
    </w:p>
    <w:tbl>
      <w:tblPr>
        <w:tblW w:w="5000" w:type="pct"/>
        <w:tblCellMar>
          <w:left w:w="70" w:type="dxa"/>
          <w:right w:w="70" w:type="dxa"/>
        </w:tblCellMar>
        <w:tblLook w:val="04A0"/>
      </w:tblPr>
      <w:tblGrid>
        <w:gridCol w:w="2281"/>
        <w:gridCol w:w="1336"/>
        <w:gridCol w:w="1336"/>
        <w:gridCol w:w="1254"/>
        <w:gridCol w:w="1393"/>
        <w:gridCol w:w="1665"/>
        <w:gridCol w:w="901"/>
      </w:tblGrid>
      <w:tr w:rsidR="008461D7" w:rsidRPr="008461D7" w:rsidTr="008461D7">
        <w:trPr>
          <w:trHeight w:val="981"/>
        </w:trPr>
        <w:tc>
          <w:tcPr>
            <w:tcW w:w="1122" w:type="pct"/>
            <w:tcBorders>
              <w:top w:val="single" w:sz="8" w:space="0" w:color="auto"/>
              <w:left w:val="single" w:sz="8" w:space="0" w:color="auto"/>
              <w:bottom w:val="single" w:sz="8" w:space="0" w:color="auto"/>
              <w:right w:val="single" w:sz="8" w:space="0" w:color="auto"/>
            </w:tcBorders>
            <w:shd w:val="clear" w:color="4F81BD" w:fill="4F81BD"/>
            <w:vAlign w:val="center"/>
            <w:hideMark/>
          </w:tcPr>
          <w:p w:rsidR="008461D7" w:rsidRPr="008461D7" w:rsidRDefault="008461D7" w:rsidP="008461D7">
            <w:pPr>
              <w:spacing w:after="0" w:line="240" w:lineRule="auto"/>
              <w:jc w:val="center"/>
              <w:rPr>
                <w:rFonts w:ascii="Verdana" w:eastAsia="Times New Roman" w:hAnsi="Verdana" w:cs="Times New Roman"/>
                <w:b/>
                <w:bCs/>
                <w:color w:val="FFFFFF"/>
                <w:sz w:val="16"/>
                <w:szCs w:val="16"/>
                <w:lang w:eastAsia="es-CO"/>
              </w:rPr>
            </w:pPr>
            <w:r w:rsidRPr="008461D7">
              <w:rPr>
                <w:rFonts w:ascii="Verdana" w:eastAsia="Times New Roman" w:hAnsi="Verdana" w:cs="Times New Roman"/>
                <w:b/>
                <w:bCs/>
                <w:color w:val="FFFFFF"/>
                <w:sz w:val="16"/>
                <w:szCs w:val="16"/>
                <w:lang w:eastAsia="es-CO"/>
              </w:rPr>
              <w:t>Auditoria-Actuación Especial</w:t>
            </w:r>
          </w:p>
        </w:tc>
        <w:tc>
          <w:tcPr>
            <w:tcW w:w="657" w:type="pct"/>
            <w:tcBorders>
              <w:top w:val="single" w:sz="8" w:space="0" w:color="auto"/>
              <w:left w:val="nil"/>
              <w:bottom w:val="single" w:sz="8" w:space="0" w:color="auto"/>
              <w:right w:val="single" w:sz="8" w:space="0" w:color="auto"/>
            </w:tcBorders>
            <w:shd w:val="clear" w:color="4F81BD" w:fill="4F81BD"/>
            <w:vAlign w:val="center"/>
            <w:hideMark/>
          </w:tcPr>
          <w:p w:rsidR="008461D7" w:rsidRPr="008461D7" w:rsidRDefault="008461D7" w:rsidP="008461D7">
            <w:pPr>
              <w:spacing w:after="0" w:line="240" w:lineRule="auto"/>
              <w:jc w:val="center"/>
              <w:rPr>
                <w:rFonts w:ascii="Verdana" w:eastAsia="Times New Roman" w:hAnsi="Verdana" w:cs="Times New Roman"/>
                <w:b/>
                <w:bCs/>
                <w:color w:val="FFFFFF"/>
                <w:sz w:val="16"/>
                <w:szCs w:val="16"/>
                <w:lang w:eastAsia="es-CO"/>
              </w:rPr>
            </w:pPr>
            <w:r w:rsidRPr="008461D7">
              <w:rPr>
                <w:rFonts w:ascii="Verdana" w:eastAsia="Times New Roman" w:hAnsi="Verdana" w:cs="Times New Roman"/>
                <w:b/>
                <w:bCs/>
                <w:color w:val="FFFFFF"/>
                <w:sz w:val="16"/>
                <w:szCs w:val="16"/>
                <w:lang w:eastAsia="es-CO"/>
              </w:rPr>
              <w:t>UNIDAD DE MEDIDA REPORTADA</w:t>
            </w:r>
          </w:p>
        </w:tc>
        <w:tc>
          <w:tcPr>
            <w:tcW w:w="657" w:type="pct"/>
            <w:tcBorders>
              <w:top w:val="single" w:sz="8" w:space="0" w:color="auto"/>
              <w:left w:val="nil"/>
              <w:bottom w:val="single" w:sz="8" w:space="0" w:color="auto"/>
              <w:right w:val="single" w:sz="8" w:space="0" w:color="auto"/>
            </w:tcBorders>
            <w:shd w:val="clear" w:color="4F81BD" w:fill="4F81BD"/>
            <w:vAlign w:val="center"/>
            <w:hideMark/>
          </w:tcPr>
          <w:p w:rsidR="008461D7" w:rsidRPr="008461D7" w:rsidRDefault="008461D7" w:rsidP="008461D7">
            <w:pPr>
              <w:spacing w:after="0" w:line="240" w:lineRule="auto"/>
              <w:jc w:val="center"/>
              <w:rPr>
                <w:rFonts w:ascii="Verdana" w:eastAsia="Times New Roman" w:hAnsi="Verdana" w:cs="Times New Roman"/>
                <w:b/>
                <w:bCs/>
                <w:color w:val="FFFFFF"/>
                <w:sz w:val="16"/>
                <w:szCs w:val="16"/>
                <w:lang w:eastAsia="es-CO"/>
              </w:rPr>
            </w:pPr>
            <w:r w:rsidRPr="008461D7">
              <w:rPr>
                <w:rFonts w:ascii="Verdana" w:eastAsia="Times New Roman" w:hAnsi="Verdana" w:cs="Times New Roman"/>
                <w:b/>
                <w:bCs/>
                <w:color w:val="FFFFFF"/>
                <w:sz w:val="16"/>
                <w:szCs w:val="16"/>
                <w:lang w:eastAsia="es-CO"/>
              </w:rPr>
              <w:t>NO REPORTADA</w:t>
            </w:r>
          </w:p>
        </w:tc>
        <w:tc>
          <w:tcPr>
            <w:tcW w:w="617" w:type="pct"/>
            <w:tcBorders>
              <w:top w:val="single" w:sz="8" w:space="0" w:color="auto"/>
              <w:left w:val="nil"/>
              <w:bottom w:val="single" w:sz="8" w:space="0" w:color="auto"/>
              <w:right w:val="single" w:sz="8" w:space="0" w:color="auto"/>
            </w:tcBorders>
            <w:shd w:val="clear" w:color="4F81BD" w:fill="4F81BD"/>
            <w:vAlign w:val="center"/>
            <w:hideMark/>
          </w:tcPr>
          <w:p w:rsidR="008461D7" w:rsidRPr="008461D7" w:rsidRDefault="008461D7" w:rsidP="008461D7">
            <w:pPr>
              <w:spacing w:after="0" w:line="240" w:lineRule="auto"/>
              <w:jc w:val="center"/>
              <w:rPr>
                <w:rFonts w:ascii="Verdana" w:eastAsia="Times New Roman" w:hAnsi="Verdana" w:cs="Times New Roman"/>
                <w:b/>
                <w:bCs/>
                <w:color w:val="FFFFFF"/>
                <w:sz w:val="16"/>
                <w:szCs w:val="16"/>
                <w:lang w:eastAsia="es-CO"/>
              </w:rPr>
            </w:pPr>
            <w:r w:rsidRPr="008461D7">
              <w:rPr>
                <w:rFonts w:ascii="Verdana" w:eastAsia="Times New Roman" w:hAnsi="Verdana" w:cs="Times New Roman"/>
                <w:b/>
                <w:bCs/>
                <w:color w:val="FFFFFF"/>
                <w:sz w:val="16"/>
                <w:szCs w:val="16"/>
                <w:lang w:eastAsia="es-CO"/>
              </w:rPr>
              <w:t>EN EJECUCIÓN</w:t>
            </w:r>
          </w:p>
        </w:tc>
        <w:tc>
          <w:tcPr>
            <w:tcW w:w="685" w:type="pct"/>
            <w:tcBorders>
              <w:top w:val="single" w:sz="8" w:space="0" w:color="auto"/>
              <w:left w:val="nil"/>
              <w:bottom w:val="single" w:sz="8" w:space="0" w:color="auto"/>
              <w:right w:val="single" w:sz="8" w:space="0" w:color="auto"/>
            </w:tcBorders>
            <w:shd w:val="clear" w:color="4F81BD" w:fill="4F81BD"/>
            <w:vAlign w:val="center"/>
            <w:hideMark/>
          </w:tcPr>
          <w:p w:rsidR="008461D7" w:rsidRPr="008461D7" w:rsidRDefault="008461D7" w:rsidP="008461D7">
            <w:pPr>
              <w:spacing w:after="0" w:line="240" w:lineRule="auto"/>
              <w:jc w:val="center"/>
              <w:rPr>
                <w:rFonts w:ascii="Verdana" w:eastAsia="Times New Roman" w:hAnsi="Verdana" w:cs="Times New Roman"/>
                <w:b/>
                <w:bCs/>
                <w:color w:val="FFFFFF"/>
                <w:sz w:val="16"/>
                <w:szCs w:val="16"/>
                <w:lang w:eastAsia="es-CO"/>
              </w:rPr>
            </w:pPr>
            <w:r w:rsidRPr="008461D7">
              <w:rPr>
                <w:rFonts w:ascii="Verdana" w:eastAsia="Times New Roman" w:hAnsi="Verdana" w:cs="Times New Roman"/>
                <w:b/>
                <w:bCs/>
                <w:color w:val="FFFFFF"/>
                <w:sz w:val="16"/>
                <w:szCs w:val="16"/>
                <w:lang w:eastAsia="es-CO"/>
              </w:rPr>
              <w:t>REPORTADA  Y EJECUTADA FUERA DE TERMINOS</w:t>
            </w:r>
          </w:p>
        </w:tc>
        <w:tc>
          <w:tcPr>
            <w:tcW w:w="819" w:type="pct"/>
            <w:tcBorders>
              <w:top w:val="single" w:sz="8" w:space="0" w:color="auto"/>
              <w:left w:val="nil"/>
              <w:bottom w:val="single" w:sz="8" w:space="0" w:color="auto"/>
              <w:right w:val="single" w:sz="8" w:space="0" w:color="auto"/>
            </w:tcBorders>
            <w:shd w:val="clear" w:color="4F81BD" w:fill="4F81BD"/>
            <w:vAlign w:val="center"/>
            <w:hideMark/>
          </w:tcPr>
          <w:p w:rsidR="008461D7" w:rsidRPr="008461D7" w:rsidRDefault="008461D7" w:rsidP="008461D7">
            <w:pPr>
              <w:spacing w:after="0" w:line="240" w:lineRule="auto"/>
              <w:jc w:val="center"/>
              <w:rPr>
                <w:rFonts w:ascii="Verdana" w:eastAsia="Times New Roman" w:hAnsi="Verdana" w:cs="Times New Roman"/>
                <w:b/>
                <w:bCs/>
                <w:color w:val="FFFFFF"/>
                <w:sz w:val="16"/>
                <w:szCs w:val="16"/>
                <w:lang w:eastAsia="es-CO"/>
              </w:rPr>
            </w:pPr>
            <w:r w:rsidRPr="008461D7">
              <w:rPr>
                <w:rFonts w:ascii="Verdana" w:eastAsia="Times New Roman" w:hAnsi="Verdana" w:cs="Times New Roman"/>
                <w:b/>
                <w:bCs/>
                <w:color w:val="FFFFFF"/>
                <w:sz w:val="16"/>
                <w:szCs w:val="16"/>
                <w:lang w:eastAsia="es-CO"/>
              </w:rPr>
              <w:t>REPORTADA PARCIALMENTE</w:t>
            </w:r>
          </w:p>
        </w:tc>
        <w:tc>
          <w:tcPr>
            <w:tcW w:w="443" w:type="pct"/>
            <w:tcBorders>
              <w:top w:val="single" w:sz="8" w:space="0" w:color="auto"/>
              <w:left w:val="nil"/>
              <w:bottom w:val="single" w:sz="8" w:space="0" w:color="auto"/>
              <w:right w:val="single" w:sz="8" w:space="0" w:color="auto"/>
            </w:tcBorders>
            <w:shd w:val="clear" w:color="4F81BD" w:fill="4F81BD"/>
            <w:vAlign w:val="center"/>
            <w:hideMark/>
          </w:tcPr>
          <w:p w:rsidR="008461D7" w:rsidRPr="008461D7" w:rsidRDefault="008461D7" w:rsidP="008461D7">
            <w:pPr>
              <w:spacing w:after="0" w:line="240" w:lineRule="auto"/>
              <w:jc w:val="center"/>
              <w:rPr>
                <w:rFonts w:ascii="Verdana" w:eastAsia="Times New Roman" w:hAnsi="Verdana" w:cs="Times New Roman"/>
                <w:b/>
                <w:bCs/>
                <w:color w:val="FFFFFF"/>
                <w:sz w:val="16"/>
                <w:szCs w:val="16"/>
                <w:lang w:eastAsia="es-CO"/>
              </w:rPr>
            </w:pPr>
            <w:r w:rsidRPr="008461D7">
              <w:rPr>
                <w:rFonts w:ascii="Verdana" w:eastAsia="Times New Roman" w:hAnsi="Verdana" w:cs="Times New Roman"/>
                <w:b/>
                <w:bCs/>
                <w:color w:val="FFFFFF"/>
                <w:sz w:val="16"/>
                <w:szCs w:val="16"/>
                <w:lang w:eastAsia="es-CO"/>
              </w:rPr>
              <w:t>Total General</w:t>
            </w:r>
          </w:p>
        </w:tc>
      </w:tr>
      <w:tr w:rsidR="008461D7" w:rsidRPr="008461D7" w:rsidTr="008461D7">
        <w:trPr>
          <w:trHeight w:val="728"/>
        </w:trPr>
        <w:tc>
          <w:tcPr>
            <w:tcW w:w="1122" w:type="pct"/>
            <w:tcBorders>
              <w:top w:val="nil"/>
              <w:left w:val="single" w:sz="8" w:space="0" w:color="auto"/>
              <w:bottom w:val="single" w:sz="8" w:space="0" w:color="auto"/>
              <w:right w:val="single" w:sz="8" w:space="0" w:color="auto"/>
            </w:tcBorders>
            <w:shd w:val="clear" w:color="B8CCE4" w:fill="B8CCE4"/>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ACTUACION ESPECIAL INDEMNIZACIONES</w:t>
            </w:r>
          </w:p>
        </w:tc>
        <w:tc>
          <w:tcPr>
            <w:tcW w:w="657" w:type="pct"/>
            <w:tcBorders>
              <w:top w:val="nil"/>
              <w:left w:val="nil"/>
              <w:bottom w:val="single" w:sz="8" w:space="0" w:color="auto"/>
              <w:right w:val="single" w:sz="8" w:space="0" w:color="auto"/>
            </w:tcBorders>
            <w:shd w:val="clear" w:color="B8CCE4" w:fill="B8CCE4"/>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44</w:t>
            </w:r>
          </w:p>
        </w:tc>
        <w:tc>
          <w:tcPr>
            <w:tcW w:w="657" w:type="pct"/>
            <w:tcBorders>
              <w:top w:val="nil"/>
              <w:left w:val="nil"/>
              <w:bottom w:val="single" w:sz="8" w:space="0" w:color="auto"/>
              <w:right w:val="single" w:sz="8" w:space="0" w:color="auto"/>
            </w:tcBorders>
            <w:shd w:val="clear" w:color="B8CCE4" w:fill="B8CCE4"/>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p>
        </w:tc>
        <w:tc>
          <w:tcPr>
            <w:tcW w:w="617" w:type="pct"/>
            <w:tcBorders>
              <w:top w:val="nil"/>
              <w:left w:val="nil"/>
              <w:bottom w:val="single" w:sz="8" w:space="0" w:color="auto"/>
              <w:right w:val="single" w:sz="8" w:space="0" w:color="auto"/>
            </w:tcBorders>
            <w:shd w:val="clear" w:color="B8CCE4" w:fill="B8CCE4"/>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p>
        </w:tc>
        <w:tc>
          <w:tcPr>
            <w:tcW w:w="685" w:type="pct"/>
            <w:tcBorders>
              <w:top w:val="nil"/>
              <w:left w:val="nil"/>
              <w:bottom w:val="single" w:sz="8" w:space="0" w:color="auto"/>
              <w:right w:val="single" w:sz="8" w:space="0" w:color="auto"/>
            </w:tcBorders>
            <w:shd w:val="clear" w:color="B8CCE4" w:fill="B8CCE4"/>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p>
        </w:tc>
        <w:tc>
          <w:tcPr>
            <w:tcW w:w="819" w:type="pct"/>
            <w:tcBorders>
              <w:top w:val="nil"/>
              <w:left w:val="nil"/>
              <w:bottom w:val="single" w:sz="8" w:space="0" w:color="auto"/>
              <w:right w:val="single" w:sz="8" w:space="0" w:color="auto"/>
            </w:tcBorders>
            <w:shd w:val="clear" w:color="B8CCE4" w:fill="B8CCE4"/>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p>
        </w:tc>
        <w:tc>
          <w:tcPr>
            <w:tcW w:w="443" w:type="pct"/>
            <w:tcBorders>
              <w:top w:val="nil"/>
              <w:left w:val="nil"/>
              <w:bottom w:val="single" w:sz="8" w:space="0" w:color="auto"/>
              <w:right w:val="single" w:sz="8" w:space="0" w:color="auto"/>
            </w:tcBorders>
            <w:shd w:val="clear" w:color="B8CCE4" w:fill="B8CCE4"/>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44</w:t>
            </w:r>
          </w:p>
        </w:tc>
      </w:tr>
      <w:tr w:rsidR="008461D7" w:rsidRPr="008461D7" w:rsidTr="008461D7">
        <w:trPr>
          <w:trHeight w:val="966"/>
        </w:trPr>
        <w:tc>
          <w:tcPr>
            <w:tcW w:w="1122" w:type="pct"/>
            <w:tcBorders>
              <w:top w:val="nil"/>
              <w:left w:val="single" w:sz="8" w:space="0" w:color="auto"/>
              <w:bottom w:val="single" w:sz="8" w:space="0" w:color="auto"/>
              <w:right w:val="single" w:sz="8" w:space="0" w:color="auto"/>
            </w:tcBorders>
            <w:shd w:val="clear" w:color="DBE5F1" w:fill="DBE5F1"/>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ACTUACION ESPECIAL PARTICIPACIÓN</w:t>
            </w:r>
          </w:p>
        </w:tc>
        <w:tc>
          <w:tcPr>
            <w:tcW w:w="657" w:type="pct"/>
            <w:tcBorders>
              <w:top w:val="nil"/>
              <w:left w:val="nil"/>
              <w:bottom w:val="single" w:sz="8" w:space="0" w:color="auto"/>
              <w:right w:val="single" w:sz="8" w:space="0" w:color="auto"/>
            </w:tcBorders>
            <w:shd w:val="clear" w:color="DBE5F1" w:fill="DBE5F1"/>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40</w:t>
            </w:r>
          </w:p>
        </w:tc>
        <w:tc>
          <w:tcPr>
            <w:tcW w:w="657" w:type="pct"/>
            <w:tcBorders>
              <w:top w:val="nil"/>
              <w:left w:val="nil"/>
              <w:bottom w:val="single" w:sz="8" w:space="0" w:color="auto"/>
              <w:right w:val="single" w:sz="8" w:space="0" w:color="auto"/>
            </w:tcBorders>
            <w:shd w:val="clear" w:color="DBE5F1" w:fill="DBE5F1"/>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1</w:t>
            </w:r>
          </w:p>
        </w:tc>
        <w:tc>
          <w:tcPr>
            <w:tcW w:w="617" w:type="pct"/>
            <w:tcBorders>
              <w:top w:val="nil"/>
              <w:left w:val="nil"/>
              <w:bottom w:val="single" w:sz="8" w:space="0" w:color="auto"/>
              <w:right w:val="single" w:sz="8" w:space="0" w:color="auto"/>
            </w:tcBorders>
            <w:shd w:val="clear" w:color="DBE5F1" w:fill="DBE5F1"/>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p>
        </w:tc>
        <w:tc>
          <w:tcPr>
            <w:tcW w:w="685" w:type="pct"/>
            <w:tcBorders>
              <w:top w:val="nil"/>
              <w:left w:val="nil"/>
              <w:bottom w:val="single" w:sz="8" w:space="0" w:color="auto"/>
              <w:right w:val="single" w:sz="8" w:space="0" w:color="auto"/>
            </w:tcBorders>
            <w:shd w:val="clear" w:color="DBE5F1" w:fill="DBE5F1"/>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3</w:t>
            </w:r>
          </w:p>
        </w:tc>
        <w:tc>
          <w:tcPr>
            <w:tcW w:w="819" w:type="pct"/>
            <w:tcBorders>
              <w:top w:val="nil"/>
              <w:left w:val="nil"/>
              <w:bottom w:val="single" w:sz="8" w:space="0" w:color="auto"/>
              <w:right w:val="single" w:sz="8" w:space="0" w:color="auto"/>
            </w:tcBorders>
            <w:shd w:val="clear" w:color="DBE5F1" w:fill="DBE5F1"/>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p>
        </w:tc>
        <w:tc>
          <w:tcPr>
            <w:tcW w:w="443" w:type="pct"/>
            <w:tcBorders>
              <w:top w:val="nil"/>
              <w:left w:val="nil"/>
              <w:bottom w:val="single" w:sz="8" w:space="0" w:color="auto"/>
              <w:right w:val="single" w:sz="8" w:space="0" w:color="auto"/>
            </w:tcBorders>
            <w:shd w:val="clear" w:color="DBE5F1" w:fill="DBE5F1"/>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44</w:t>
            </w:r>
          </w:p>
        </w:tc>
      </w:tr>
      <w:tr w:rsidR="008461D7" w:rsidRPr="008461D7" w:rsidTr="008461D7">
        <w:trPr>
          <w:trHeight w:val="1957"/>
        </w:trPr>
        <w:tc>
          <w:tcPr>
            <w:tcW w:w="1122" w:type="pct"/>
            <w:tcBorders>
              <w:top w:val="nil"/>
              <w:left w:val="single" w:sz="8" w:space="0" w:color="auto"/>
              <w:bottom w:val="single" w:sz="8" w:space="0" w:color="auto"/>
              <w:right w:val="single" w:sz="8" w:space="0" w:color="auto"/>
            </w:tcBorders>
            <w:shd w:val="clear" w:color="B8CCE4" w:fill="B8CCE4"/>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ACTUACIÓN ESPECIAL SEGUIMIENTO MEDIDAS ASISTENCIA, ATENCION, PROTECCION, PREVENCION</w:t>
            </w:r>
          </w:p>
        </w:tc>
        <w:tc>
          <w:tcPr>
            <w:tcW w:w="657" w:type="pct"/>
            <w:tcBorders>
              <w:top w:val="nil"/>
              <w:left w:val="nil"/>
              <w:bottom w:val="single" w:sz="8" w:space="0" w:color="auto"/>
              <w:right w:val="single" w:sz="8" w:space="0" w:color="auto"/>
            </w:tcBorders>
            <w:shd w:val="clear" w:color="B8CCE4" w:fill="B8CCE4"/>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72</w:t>
            </w:r>
          </w:p>
        </w:tc>
        <w:tc>
          <w:tcPr>
            <w:tcW w:w="657" w:type="pct"/>
            <w:tcBorders>
              <w:top w:val="nil"/>
              <w:left w:val="nil"/>
              <w:bottom w:val="single" w:sz="8" w:space="0" w:color="auto"/>
              <w:right w:val="single" w:sz="8" w:space="0" w:color="auto"/>
            </w:tcBorders>
            <w:shd w:val="clear" w:color="B8CCE4" w:fill="B8CCE4"/>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3</w:t>
            </w:r>
          </w:p>
        </w:tc>
        <w:tc>
          <w:tcPr>
            <w:tcW w:w="617" w:type="pct"/>
            <w:tcBorders>
              <w:top w:val="nil"/>
              <w:left w:val="nil"/>
              <w:bottom w:val="single" w:sz="8" w:space="0" w:color="auto"/>
              <w:right w:val="single" w:sz="8" w:space="0" w:color="auto"/>
            </w:tcBorders>
            <w:shd w:val="clear" w:color="B8CCE4" w:fill="B8CCE4"/>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p>
        </w:tc>
        <w:tc>
          <w:tcPr>
            <w:tcW w:w="685" w:type="pct"/>
            <w:tcBorders>
              <w:top w:val="nil"/>
              <w:left w:val="nil"/>
              <w:bottom w:val="single" w:sz="8" w:space="0" w:color="auto"/>
              <w:right w:val="single" w:sz="8" w:space="0" w:color="auto"/>
            </w:tcBorders>
            <w:shd w:val="clear" w:color="B8CCE4" w:fill="B8CCE4"/>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1</w:t>
            </w:r>
          </w:p>
        </w:tc>
        <w:tc>
          <w:tcPr>
            <w:tcW w:w="819" w:type="pct"/>
            <w:tcBorders>
              <w:top w:val="nil"/>
              <w:left w:val="nil"/>
              <w:bottom w:val="single" w:sz="8" w:space="0" w:color="auto"/>
              <w:right w:val="single" w:sz="8" w:space="0" w:color="auto"/>
            </w:tcBorders>
            <w:shd w:val="clear" w:color="B8CCE4" w:fill="B8CCE4"/>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p>
        </w:tc>
        <w:tc>
          <w:tcPr>
            <w:tcW w:w="443" w:type="pct"/>
            <w:tcBorders>
              <w:top w:val="nil"/>
              <w:left w:val="nil"/>
              <w:bottom w:val="single" w:sz="8" w:space="0" w:color="auto"/>
              <w:right w:val="single" w:sz="8" w:space="0" w:color="auto"/>
            </w:tcBorders>
            <w:shd w:val="clear" w:color="B8CCE4" w:fill="B8CCE4"/>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76</w:t>
            </w:r>
          </w:p>
        </w:tc>
      </w:tr>
      <w:tr w:rsidR="008461D7" w:rsidRPr="008461D7" w:rsidTr="008461D7">
        <w:trPr>
          <w:trHeight w:val="540"/>
        </w:trPr>
        <w:tc>
          <w:tcPr>
            <w:tcW w:w="1122" w:type="pct"/>
            <w:tcBorders>
              <w:top w:val="nil"/>
              <w:left w:val="single" w:sz="8" w:space="0" w:color="auto"/>
              <w:bottom w:val="single" w:sz="8" w:space="0" w:color="auto"/>
              <w:right w:val="single" w:sz="8" w:space="0" w:color="auto"/>
            </w:tcBorders>
            <w:shd w:val="clear" w:color="DBE5F1" w:fill="DBE5F1"/>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AUDITORÍA REGULAR 2012</w:t>
            </w:r>
          </w:p>
        </w:tc>
        <w:tc>
          <w:tcPr>
            <w:tcW w:w="657" w:type="pct"/>
            <w:tcBorders>
              <w:top w:val="nil"/>
              <w:left w:val="nil"/>
              <w:bottom w:val="single" w:sz="8" w:space="0" w:color="auto"/>
              <w:right w:val="single" w:sz="8" w:space="0" w:color="auto"/>
            </w:tcBorders>
            <w:shd w:val="clear" w:color="DBE5F1" w:fill="DBE5F1"/>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240</w:t>
            </w:r>
          </w:p>
        </w:tc>
        <w:tc>
          <w:tcPr>
            <w:tcW w:w="657" w:type="pct"/>
            <w:tcBorders>
              <w:top w:val="nil"/>
              <w:left w:val="nil"/>
              <w:bottom w:val="single" w:sz="8" w:space="0" w:color="auto"/>
              <w:right w:val="single" w:sz="8" w:space="0" w:color="auto"/>
            </w:tcBorders>
            <w:shd w:val="clear" w:color="DBE5F1" w:fill="DBE5F1"/>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14</w:t>
            </w:r>
          </w:p>
        </w:tc>
        <w:tc>
          <w:tcPr>
            <w:tcW w:w="617" w:type="pct"/>
            <w:tcBorders>
              <w:top w:val="nil"/>
              <w:left w:val="nil"/>
              <w:bottom w:val="single" w:sz="8" w:space="0" w:color="auto"/>
              <w:right w:val="single" w:sz="8" w:space="0" w:color="auto"/>
            </w:tcBorders>
            <w:shd w:val="clear" w:color="DBE5F1" w:fill="DBE5F1"/>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3</w:t>
            </w:r>
          </w:p>
        </w:tc>
        <w:tc>
          <w:tcPr>
            <w:tcW w:w="685" w:type="pct"/>
            <w:tcBorders>
              <w:top w:val="nil"/>
              <w:left w:val="nil"/>
              <w:bottom w:val="single" w:sz="8" w:space="0" w:color="auto"/>
              <w:right w:val="single" w:sz="8" w:space="0" w:color="auto"/>
            </w:tcBorders>
            <w:shd w:val="clear" w:color="DBE5F1" w:fill="DBE5F1"/>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15</w:t>
            </w:r>
          </w:p>
        </w:tc>
        <w:tc>
          <w:tcPr>
            <w:tcW w:w="819" w:type="pct"/>
            <w:tcBorders>
              <w:top w:val="nil"/>
              <w:left w:val="nil"/>
              <w:bottom w:val="single" w:sz="8" w:space="0" w:color="auto"/>
              <w:right w:val="single" w:sz="8" w:space="0" w:color="auto"/>
            </w:tcBorders>
            <w:shd w:val="clear" w:color="DBE5F1" w:fill="DBE5F1"/>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8</w:t>
            </w:r>
          </w:p>
        </w:tc>
        <w:tc>
          <w:tcPr>
            <w:tcW w:w="443" w:type="pct"/>
            <w:tcBorders>
              <w:top w:val="nil"/>
              <w:left w:val="nil"/>
              <w:bottom w:val="single" w:sz="8" w:space="0" w:color="auto"/>
              <w:right w:val="single" w:sz="8" w:space="0" w:color="auto"/>
            </w:tcBorders>
            <w:shd w:val="clear" w:color="DBE5F1" w:fill="DBE5F1"/>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280</w:t>
            </w:r>
          </w:p>
        </w:tc>
      </w:tr>
      <w:tr w:rsidR="008461D7" w:rsidRPr="008461D7" w:rsidTr="008461D7">
        <w:trPr>
          <w:trHeight w:val="315"/>
        </w:trPr>
        <w:tc>
          <w:tcPr>
            <w:tcW w:w="1122" w:type="pct"/>
            <w:tcBorders>
              <w:top w:val="nil"/>
              <w:left w:val="single" w:sz="8" w:space="0" w:color="auto"/>
              <w:bottom w:val="single" w:sz="8" w:space="0" w:color="auto"/>
              <w:right w:val="single" w:sz="8" w:space="0" w:color="auto"/>
            </w:tcBorders>
            <w:shd w:val="clear" w:color="B8CCE4" w:fill="B8CCE4"/>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AUDITORÍA REGULAR 2013</w:t>
            </w:r>
          </w:p>
        </w:tc>
        <w:tc>
          <w:tcPr>
            <w:tcW w:w="657" w:type="pct"/>
            <w:tcBorders>
              <w:top w:val="nil"/>
              <w:left w:val="nil"/>
              <w:bottom w:val="single" w:sz="8" w:space="0" w:color="auto"/>
              <w:right w:val="single" w:sz="8" w:space="0" w:color="auto"/>
            </w:tcBorders>
            <w:shd w:val="clear" w:color="B8CCE4" w:fill="B8CCE4"/>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118</w:t>
            </w:r>
          </w:p>
        </w:tc>
        <w:tc>
          <w:tcPr>
            <w:tcW w:w="657" w:type="pct"/>
            <w:tcBorders>
              <w:top w:val="nil"/>
              <w:left w:val="nil"/>
              <w:bottom w:val="single" w:sz="8" w:space="0" w:color="auto"/>
              <w:right w:val="single" w:sz="8" w:space="0" w:color="auto"/>
            </w:tcBorders>
            <w:shd w:val="clear" w:color="B8CCE4" w:fill="B8CCE4"/>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15</w:t>
            </w:r>
          </w:p>
        </w:tc>
        <w:tc>
          <w:tcPr>
            <w:tcW w:w="617" w:type="pct"/>
            <w:tcBorders>
              <w:top w:val="nil"/>
              <w:left w:val="nil"/>
              <w:bottom w:val="single" w:sz="8" w:space="0" w:color="auto"/>
              <w:right w:val="single" w:sz="8" w:space="0" w:color="auto"/>
            </w:tcBorders>
            <w:shd w:val="clear" w:color="B8CCE4" w:fill="B8CCE4"/>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21</w:t>
            </w:r>
          </w:p>
        </w:tc>
        <w:tc>
          <w:tcPr>
            <w:tcW w:w="685" w:type="pct"/>
            <w:tcBorders>
              <w:top w:val="nil"/>
              <w:left w:val="nil"/>
              <w:bottom w:val="single" w:sz="8" w:space="0" w:color="auto"/>
              <w:right w:val="single" w:sz="8" w:space="0" w:color="auto"/>
            </w:tcBorders>
            <w:shd w:val="clear" w:color="B8CCE4" w:fill="B8CCE4"/>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5</w:t>
            </w:r>
          </w:p>
        </w:tc>
        <w:tc>
          <w:tcPr>
            <w:tcW w:w="819" w:type="pct"/>
            <w:tcBorders>
              <w:top w:val="nil"/>
              <w:left w:val="nil"/>
              <w:bottom w:val="single" w:sz="8" w:space="0" w:color="auto"/>
              <w:right w:val="single" w:sz="8" w:space="0" w:color="auto"/>
            </w:tcBorders>
            <w:shd w:val="clear" w:color="B8CCE4" w:fill="B8CCE4"/>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16</w:t>
            </w:r>
          </w:p>
        </w:tc>
        <w:tc>
          <w:tcPr>
            <w:tcW w:w="443" w:type="pct"/>
            <w:tcBorders>
              <w:top w:val="nil"/>
              <w:left w:val="nil"/>
              <w:bottom w:val="single" w:sz="8" w:space="0" w:color="auto"/>
              <w:right w:val="single" w:sz="8" w:space="0" w:color="auto"/>
            </w:tcBorders>
            <w:shd w:val="clear" w:color="B8CCE4" w:fill="B8CCE4"/>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175</w:t>
            </w:r>
          </w:p>
        </w:tc>
      </w:tr>
      <w:tr w:rsidR="008461D7" w:rsidRPr="008461D7" w:rsidTr="008461D7">
        <w:trPr>
          <w:trHeight w:val="540"/>
        </w:trPr>
        <w:tc>
          <w:tcPr>
            <w:tcW w:w="1122" w:type="pct"/>
            <w:tcBorders>
              <w:top w:val="nil"/>
              <w:left w:val="single" w:sz="8" w:space="0" w:color="auto"/>
              <w:bottom w:val="single" w:sz="8" w:space="0" w:color="auto"/>
              <w:right w:val="single" w:sz="8" w:space="0" w:color="auto"/>
            </w:tcBorders>
            <w:shd w:val="clear" w:color="DBE5F1" w:fill="DBE5F1"/>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Total general</w:t>
            </w:r>
          </w:p>
        </w:tc>
        <w:tc>
          <w:tcPr>
            <w:tcW w:w="657" w:type="pct"/>
            <w:tcBorders>
              <w:top w:val="nil"/>
              <w:left w:val="nil"/>
              <w:bottom w:val="single" w:sz="8" w:space="0" w:color="auto"/>
              <w:right w:val="single" w:sz="8" w:space="0" w:color="auto"/>
            </w:tcBorders>
            <w:shd w:val="clear" w:color="DBE5F1" w:fill="DBE5F1"/>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514</w:t>
            </w:r>
          </w:p>
        </w:tc>
        <w:tc>
          <w:tcPr>
            <w:tcW w:w="657" w:type="pct"/>
            <w:tcBorders>
              <w:top w:val="nil"/>
              <w:left w:val="nil"/>
              <w:bottom w:val="single" w:sz="8" w:space="0" w:color="auto"/>
              <w:right w:val="single" w:sz="8" w:space="0" w:color="auto"/>
            </w:tcBorders>
            <w:shd w:val="clear" w:color="DBE5F1" w:fill="DBE5F1"/>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33</w:t>
            </w:r>
          </w:p>
        </w:tc>
        <w:tc>
          <w:tcPr>
            <w:tcW w:w="617" w:type="pct"/>
            <w:tcBorders>
              <w:top w:val="nil"/>
              <w:left w:val="nil"/>
              <w:bottom w:val="single" w:sz="8" w:space="0" w:color="auto"/>
              <w:right w:val="single" w:sz="8" w:space="0" w:color="auto"/>
            </w:tcBorders>
            <w:shd w:val="clear" w:color="DBE5F1" w:fill="DBE5F1"/>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24</w:t>
            </w:r>
          </w:p>
        </w:tc>
        <w:tc>
          <w:tcPr>
            <w:tcW w:w="685" w:type="pct"/>
            <w:tcBorders>
              <w:top w:val="nil"/>
              <w:left w:val="nil"/>
              <w:bottom w:val="single" w:sz="8" w:space="0" w:color="auto"/>
              <w:right w:val="single" w:sz="8" w:space="0" w:color="auto"/>
            </w:tcBorders>
            <w:shd w:val="clear" w:color="DBE5F1" w:fill="DBE5F1"/>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24</w:t>
            </w:r>
          </w:p>
        </w:tc>
        <w:tc>
          <w:tcPr>
            <w:tcW w:w="819" w:type="pct"/>
            <w:tcBorders>
              <w:top w:val="nil"/>
              <w:left w:val="nil"/>
              <w:bottom w:val="single" w:sz="8" w:space="0" w:color="auto"/>
              <w:right w:val="single" w:sz="8" w:space="0" w:color="auto"/>
            </w:tcBorders>
            <w:shd w:val="clear" w:color="DBE5F1" w:fill="DBE5F1"/>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24</w:t>
            </w:r>
          </w:p>
        </w:tc>
        <w:tc>
          <w:tcPr>
            <w:tcW w:w="443" w:type="pct"/>
            <w:tcBorders>
              <w:top w:val="nil"/>
              <w:left w:val="nil"/>
              <w:bottom w:val="single" w:sz="8" w:space="0" w:color="auto"/>
              <w:right w:val="single" w:sz="8" w:space="0" w:color="auto"/>
            </w:tcBorders>
            <w:shd w:val="clear" w:color="DBE5F1" w:fill="DBE5F1"/>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619</w:t>
            </w:r>
          </w:p>
        </w:tc>
      </w:tr>
      <w:tr w:rsidR="008461D7" w:rsidRPr="008461D7" w:rsidTr="008461D7">
        <w:trPr>
          <w:trHeight w:val="540"/>
        </w:trPr>
        <w:tc>
          <w:tcPr>
            <w:tcW w:w="1122" w:type="pct"/>
            <w:tcBorders>
              <w:top w:val="nil"/>
              <w:left w:val="single" w:sz="8" w:space="0" w:color="auto"/>
              <w:bottom w:val="single" w:sz="8" w:space="0" w:color="auto"/>
              <w:right w:val="single" w:sz="8" w:space="0" w:color="auto"/>
            </w:tcBorders>
            <w:shd w:val="clear" w:color="B8CCE4" w:fill="B8CCE4"/>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 de avance</w:t>
            </w:r>
          </w:p>
        </w:tc>
        <w:tc>
          <w:tcPr>
            <w:tcW w:w="657" w:type="pct"/>
            <w:tcBorders>
              <w:top w:val="nil"/>
              <w:left w:val="nil"/>
              <w:bottom w:val="single" w:sz="8" w:space="0" w:color="auto"/>
              <w:right w:val="single" w:sz="8" w:space="0" w:color="auto"/>
            </w:tcBorders>
            <w:shd w:val="clear" w:color="B8CCE4" w:fill="B8CCE4"/>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83%</w:t>
            </w:r>
          </w:p>
        </w:tc>
        <w:tc>
          <w:tcPr>
            <w:tcW w:w="657" w:type="pct"/>
            <w:tcBorders>
              <w:top w:val="nil"/>
              <w:left w:val="nil"/>
              <w:bottom w:val="single" w:sz="8" w:space="0" w:color="auto"/>
              <w:right w:val="single" w:sz="8" w:space="0" w:color="auto"/>
            </w:tcBorders>
            <w:shd w:val="clear" w:color="B8CCE4" w:fill="B8CCE4"/>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5%</w:t>
            </w:r>
          </w:p>
        </w:tc>
        <w:tc>
          <w:tcPr>
            <w:tcW w:w="617" w:type="pct"/>
            <w:tcBorders>
              <w:top w:val="nil"/>
              <w:left w:val="nil"/>
              <w:bottom w:val="single" w:sz="8" w:space="0" w:color="auto"/>
              <w:right w:val="single" w:sz="8" w:space="0" w:color="auto"/>
            </w:tcBorders>
            <w:shd w:val="clear" w:color="B8CCE4" w:fill="B8CCE4"/>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4%</w:t>
            </w:r>
          </w:p>
        </w:tc>
        <w:tc>
          <w:tcPr>
            <w:tcW w:w="685" w:type="pct"/>
            <w:tcBorders>
              <w:top w:val="nil"/>
              <w:left w:val="nil"/>
              <w:bottom w:val="single" w:sz="8" w:space="0" w:color="auto"/>
              <w:right w:val="single" w:sz="8" w:space="0" w:color="auto"/>
            </w:tcBorders>
            <w:shd w:val="clear" w:color="B8CCE4" w:fill="B8CCE4"/>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4%</w:t>
            </w:r>
          </w:p>
        </w:tc>
        <w:tc>
          <w:tcPr>
            <w:tcW w:w="819" w:type="pct"/>
            <w:tcBorders>
              <w:top w:val="nil"/>
              <w:left w:val="nil"/>
              <w:bottom w:val="single" w:sz="8" w:space="0" w:color="auto"/>
              <w:right w:val="single" w:sz="8" w:space="0" w:color="auto"/>
            </w:tcBorders>
            <w:shd w:val="clear" w:color="B8CCE4" w:fill="B8CCE4"/>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4%</w:t>
            </w:r>
          </w:p>
        </w:tc>
        <w:tc>
          <w:tcPr>
            <w:tcW w:w="443" w:type="pct"/>
            <w:tcBorders>
              <w:top w:val="nil"/>
              <w:left w:val="nil"/>
              <w:bottom w:val="single" w:sz="8" w:space="0" w:color="auto"/>
              <w:right w:val="single" w:sz="8" w:space="0" w:color="auto"/>
            </w:tcBorders>
            <w:shd w:val="clear" w:color="B8CCE4" w:fill="B8CCE4"/>
            <w:noWrap/>
            <w:vAlign w:val="center"/>
            <w:hideMark/>
          </w:tcPr>
          <w:p w:rsidR="008461D7" w:rsidRPr="008461D7" w:rsidRDefault="008461D7" w:rsidP="008461D7">
            <w:pPr>
              <w:spacing w:after="0" w:line="240" w:lineRule="auto"/>
              <w:jc w:val="center"/>
              <w:rPr>
                <w:rFonts w:ascii="Verdana" w:eastAsia="Times New Roman" w:hAnsi="Verdana" w:cs="Times New Roman"/>
                <w:color w:val="000000"/>
                <w:sz w:val="20"/>
                <w:szCs w:val="20"/>
                <w:lang w:eastAsia="es-CO"/>
              </w:rPr>
            </w:pPr>
            <w:r w:rsidRPr="008461D7">
              <w:rPr>
                <w:rFonts w:ascii="Verdana" w:eastAsia="Times New Roman" w:hAnsi="Verdana" w:cs="Times New Roman"/>
                <w:color w:val="000000"/>
                <w:sz w:val="20"/>
                <w:szCs w:val="20"/>
                <w:lang w:eastAsia="es-CO"/>
              </w:rPr>
              <w:t>100%</w:t>
            </w:r>
          </w:p>
        </w:tc>
      </w:tr>
    </w:tbl>
    <w:p w:rsidR="00482241" w:rsidRPr="00144A07" w:rsidRDefault="00482241" w:rsidP="00C138D3">
      <w:pPr>
        <w:spacing w:after="0" w:line="240" w:lineRule="auto"/>
        <w:contextualSpacing/>
        <w:jc w:val="right"/>
        <w:rPr>
          <w:rFonts w:ascii="Verdana" w:hAnsi="Verdana" w:cs="Tahoma"/>
          <w:b/>
          <w:sz w:val="14"/>
          <w:szCs w:val="24"/>
        </w:rPr>
      </w:pPr>
      <w:r w:rsidRPr="00144A07">
        <w:rPr>
          <w:rFonts w:ascii="Verdana" w:hAnsi="Verdana" w:cs="Tahoma"/>
          <w:b/>
          <w:sz w:val="14"/>
          <w:szCs w:val="24"/>
        </w:rPr>
        <w:t>Fuente: OCI- cálculos propios.</w:t>
      </w:r>
    </w:p>
    <w:p w:rsidR="00482241" w:rsidRPr="00144A07" w:rsidRDefault="00482241" w:rsidP="00C138D3">
      <w:pPr>
        <w:spacing w:after="0" w:line="240" w:lineRule="auto"/>
        <w:contextualSpacing/>
        <w:jc w:val="right"/>
        <w:rPr>
          <w:rFonts w:ascii="Verdana" w:hAnsi="Verdana" w:cs="Tahoma"/>
          <w:b/>
          <w:sz w:val="14"/>
          <w:szCs w:val="24"/>
        </w:rPr>
      </w:pPr>
      <w:r w:rsidRPr="00144A07">
        <w:rPr>
          <w:rFonts w:ascii="Verdana" w:hAnsi="Verdana" w:cs="Tahoma"/>
          <w:b/>
          <w:sz w:val="14"/>
          <w:szCs w:val="24"/>
        </w:rPr>
        <w:t>Corte: 19 de febrero 2015</w:t>
      </w:r>
    </w:p>
    <w:p w:rsidR="00482241" w:rsidRPr="00144A07" w:rsidRDefault="00482241" w:rsidP="00482241">
      <w:pPr>
        <w:spacing w:after="0" w:line="240" w:lineRule="auto"/>
        <w:contextualSpacing/>
        <w:jc w:val="both"/>
        <w:rPr>
          <w:rFonts w:ascii="Verdana" w:hAnsi="Verdana" w:cs="Tahoma"/>
          <w:b/>
          <w:sz w:val="24"/>
          <w:szCs w:val="24"/>
        </w:rPr>
      </w:pPr>
    </w:p>
    <w:p w:rsidR="00482241" w:rsidRPr="00144A07" w:rsidRDefault="00482241" w:rsidP="00482241">
      <w:pPr>
        <w:spacing w:after="0" w:line="240" w:lineRule="auto"/>
        <w:contextualSpacing/>
        <w:jc w:val="both"/>
        <w:rPr>
          <w:rFonts w:ascii="Verdana" w:hAnsi="Verdana" w:cs="Tahoma"/>
          <w:sz w:val="24"/>
          <w:szCs w:val="24"/>
        </w:rPr>
      </w:pPr>
      <w:r w:rsidRPr="00144A07">
        <w:rPr>
          <w:rFonts w:ascii="Verdana" w:hAnsi="Verdana" w:cs="Tahoma"/>
          <w:sz w:val="24"/>
          <w:szCs w:val="24"/>
        </w:rPr>
        <w:lastRenderedPageBreak/>
        <w:t>Frente al total del Plan de Mejoramiento la Unidad al 19 de febrero de 2015 (Datos Actualizados), cuenta con un avance de 83% (514) de unidades de medidas ejecutadas; 4% (24) de unidades de medidas en ejecución; 5% (33) de unidades de medidas no reportadas, 4% (24) de unidades de medida reportadas y ejecutadas fuera de término, y 4% (24) unidades de medida reportadas parcialmente.</w:t>
      </w:r>
    </w:p>
    <w:p w:rsidR="009B12B6" w:rsidRDefault="009B12B6" w:rsidP="004C3A40">
      <w:pPr>
        <w:pStyle w:val="Prrafodelista"/>
        <w:spacing w:after="0" w:line="240" w:lineRule="auto"/>
        <w:ind w:left="709" w:hanging="283"/>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B46760" w:rsidRDefault="00B46760" w:rsidP="004A4C17">
      <w:pPr>
        <w:pStyle w:val="Prrafodelista"/>
        <w:spacing w:after="0" w:line="240" w:lineRule="auto"/>
        <w:ind w:left="1710"/>
        <w:jc w:val="both"/>
        <w:rPr>
          <w:rFonts w:ascii="Verdana" w:hAnsi="Verdana" w:cs="Futura Bk BT"/>
          <w:color w:val="548DD4" w:themeColor="text2" w:themeTint="99"/>
          <w:sz w:val="28"/>
        </w:rPr>
      </w:pPr>
    </w:p>
    <w:p w:rsidR="00B46760" w:rsidRDefault="00B46760" w:rsidP="004A4C17">
      <w:pPr>
        <w:pStyle w:val="Prrafodelista"/>
        <w:spacing w:after="0" w:line="240" w:lineRule="auto"/>
        <w:ind w:left="1710"/>
        <w:jc w:val="both"/>
        <w:rPr>
          <w:rFonts w:ascii="Verdana" w:hAnsi="Verdana" w:cs="Futura Bk BT"/>
          <w:color w:val="548DD4" w:themeColor="text2" w:themeTint="99"/>
          <w:sz w:val="28"/>
        </w:rPr>
      </w:pPr>
    </w:p>
    <w:p w:rsidR="00B46760" w:rsidRDefault="00B46760" w:rsidP="004A4C17">
      <w:pPr>
        <w:pStyle w:val="Prrafodelista"/>
        <w:spacing w:after="0" w:line="240" w:lineRule="auto"/>
        <w:ind w:left="1710"/>
        <w:jc w:val="both"/>
        <w:rPr>
          <w:rFonts w:ascii="Verdana" w:hAnsi="Verdana" w:cs="Futura Bk BT"/>
          <w:color w:val="548DD4" w:themeColor="text2" w:themeTint="99"/>
          <w:sz w:val="28"/>
        </w:rPr>
      </w:pPr>
    </w:p>
    <w:p w:rsidR="00B46760" w:rsidRDefault="00B46760" w:rsidP="004A4C17">
      <w:pPr>
        <w:pStyle w:val="Prrafodelista"/>
        <w:spacing w:after="0" w:line="240" w:lineRule="auto"/>
        <w:ind w:left="1710"/>
        <w:jc w:val="both"/>
        <w:rPr>
          <w:rFonts w:ascii="Verdana" w:hAnsi="Verdana" w:cs="Futura Bk BT"/>
          <w:color w:val="548DD4" w:themeColor="text2" w:themeTint="99"/>
          <w:sz w:val="28"/>
        </w:rPr>
      </w:pPr>
    </w:p>
    <w:p w:rsidR="00B46760" w:rsidRDefault="005228F6" w:rsidP="004A4C17">
      <w:pPr>
        <w:pStyle w:val="Prrafodelista"/>
        <w:spacing w:after="0" w:line="240" w:lineRule="auto"/>
        <w:ind w:left="1710"/>
        <w:jc w:val="both"/>
        <w:rPr>
          <w:rFonts w:ascii="Verdana" w:hAnsi="Verdana" w:cs="Futura Bk BT"/>
          <w:color w:val="548DD4" w:themeColor="text2" w:themeTint="99"/>
          <w:sz w:val="28"/>
        </w:rPr>
      </w:pPr>
      <w:r w:rsidRPr="005228F6">
        <w:rPr>
          <w:rFonts w:ascii="Verdana" w:hAnsi="Verdana" w:cs="Futura Bk BT"/>
          <w:noProof/>
          <w:color w:val="548DD4" w:themeColor="text2" w:themeTint="99"/>
          <w:sz w:val="28"/>
          <w:lang w:eastAsia="es-CO"/>
        </w:rPr>
        <w:drawing>
          <wp:anchor distT="0" distB="0" distL="114300" distR="114300" simplePos="0" relativeHeight="251734016" behindDoc="0" locked="0" layoutInCell="1" allowOverlap="1">
            <wp:simplePos x="0" y="0"/>
            <wp:positionH relativeFrom="column">
              <wp:posOffset>6609522</wp:posOffset>
            </wp:positionH>
            <wp:positionV relativeFrom="paragraph">
              <wp:posOffset>1870323</wp:posOffset>
            </wp:positionV>
            <wp:extent cx="504411" cy="357809"/>
            <wp:effectExtent l="19050" t="0" r="0" b="0"/>
            <wp:wrapThrough wrapText="bothSides">
              <wp:wrapPolygon edited="0">
                <wp:start x="-816" y="0"/>
                <wp:lineTo x="-816" y="20718"/>
                <wp:lineTo x="21219" y="20718"/>
                <wp:lineTo x="21219" y="0"/>
                <wp:lineTo x="-816" y="0"/>
              </wp:wrapPolygon>
            </wp:wrapThrough>
            <wp:docPr id="77" name="Objeto 10">
              <a:hlinkClick xmlns:a="http://schemas.openxmlformats.org/drawingml/2006/main" r:id="rId54" tooltip="Ir a la pagina de CONTENIDO."/>
            </wp:docPr>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4056" cy="360040"/>
                      <a:chOff x="683568" y="5517232"/>
                      <a:chExt cx="504056" cy="360040"/>
                    </a:xfrm>
                  </a:grpSpPr>
                  <a:sp>
                    <a:nvSpPr>
                      <a:cNvPr id="36" name="35 Botón de acción: Inicio"/>
                      <a:cNvSpPr/>
                    </a:nvSpPr>
                    <a:spPr>
                      <a:xfrm>
                        <a:off x="683568" y="5517232"/>
                        <a:ext cx="504056" cy="360040"/>
                      </a:xfrm>
                      <a:prstGeom prst="actionButtonHome">
                        <a:avLst/>
                      </a:prstGeom>
                      <a:solidFill>
                        <a:schemeClr val="accent5">
                          <a:lumMod val="60000"/>
                          <a:lumOff val="40000"/>
                        </a:schemeClr>
                      </a:soli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B46760" w:rsidRDefault="00B46760"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pPr>
        <w:rPr>
          <w:rFonts w:ascii="Verdana" w:hAnsi="Verdana" w:cs="Futura Bk BT"/>
          <w:color w:val="548DD4" w:themeColor="text2" w:themeTint="99"/>
          <w:sz w:val="28"/>
        </w:rPr>
      </w:pPr>
      <w:r>
        <w:rPr>
          <w:rFonts w:ascii="Verdana" w:hAnsi="Verdana" w:cs="Futura Bk BT"/>
          <w:color w:val="548DD4" w:themeColor="text2" w:themeTint="99"/>
          <w:sz w:val="28"/>
        </w:rPr>
        <w:br w:type="page"/>
      </w: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pStyle w:val="Prrafodelista"/>
        <w:spacing w:after="0" w:line="240" w:lineRule="auto"/>
        <w:ind w:left="1710"/>
        <w:jc w:val="both"/>
        <w:rPr>
          <w:rFonts w:ascii="Verdana" w:hAnsi="Verdana" w:cs="Futura Bk BT"/>
          <w:color w:val="548DD4" w:themeColor="text2" w:themeTint="99"/>
          <w:sz w:val="28"/>
        </w:rPr>
      </w:pPr>
    </w:p>
    <w:p w:rsidR="004A4C17" w:rsidRDefault="00126BC7" w:rsidP="004A4C17">
      <w:pPr>
        <w:spacing w:after="0" w:line="240" w:lineRule="auto"/>
        <w:jc w:val="both"/>
        <w:rPr>
          <w:rFonts w:ascii="Verdana" w:hAnsi="Verdana"/>
          <w:b/>
          <w:bCs/>
          <w:color w:val="548DD4" w:themeColor="text2" w:themeTint="99"/>
          <w:sz w:val="40"/>
          <w:szCs w:val="40"/>
        </w:rPr>
      </w:pPr>
      <w:r>
        <w:rPr>
          <w:rFonts w:ascii="Verdana" w:hAnsi="Verdana"/>
          <w:b/>
          <w:bCs/>
          <w:color w:val="548DD4" w:themeColor="text2" w:themeTint="99"/>
          <w:sz w:val="40"/>
          <w:szCs w:val="40"/>
        </w:rPr>
        <w:t>IV</w:t>
      </w:r>
      <w:r w:rsidR="004A4C17" w:rsidRPr="004A4C17">
        <w:rPr>
          <w:rFonts w:ascii="Verdana" w:hAnsi="Verdana"/>
          <w:b/>
          <w:bCs/>
          <w:color w:val="548DD4" w:themeColor="text2" w:themeTint="99"/>
          <w:sz w:val="40"/>
          <w:szCs w:val="40"/>
        </w:rPr>
        <w:t xml:space="preserve">. </w:t>
      </w:r>
      <w:bookmarkStart w:id="92" w:name="CNMH"/>
      <w:r>
        <w:rPr>
          <w:rFonts w:ascii="Verdana" w:hAnsi="Verdana"/>
          <w:b/>
          <w:bCs/>
          <w:color w:val="548DD4" w:themeColor="text2" w:themeTint="99"/>
          <w:sz w:val="40"/>
          <w:szCs w:val="40"/>
        </w:rPr>
        <w:t>C</w:t>
      </w:r>
      <w:r w:rsidR="007D5E94">
        <w:rPr>
          <w:rFonts w:ascii="Verdana" w:hAnsi="Verdana"/>
          <w:b/>
          <w:bCs/>
          <w:color w:val="548DD4" w:themeColor="text2" w:themeTint="99"/>
          <w:sz w:val="40"/>
          <w:szCs w:val="40"/>
        </w:rPr>
        <w:t>ENTRO</w:t>
      </w:r>
      <w:r>
        <w:rPr>
          <w:rFonts w:ascii="Verdana" w:hAnsi="Verdana"/>
          <w:b/>
          <w:bCs/>
          <w:color w:val="548DD4" w:themeColor="text2" w:themeTint="99"/>
          <w:sz w:val="40"/>
          <w:szCs w:val="40"/>
        </w:rPr>
        <w:t xml:space="preserve"> NACIONAL DE MEMORIA HISTORICA </w:t>
      </w:r>
      <w:r w:rsidR="007D5E94">
        <w:rPr>
          <w:rFonts w:ascii="Verdana" w:hAnsi="Verdana"/>
          <w:b/>
          <w:bCs/>
          <w:color w:val="548DD4" w:themeColor="text2" w:themeTint="99"/>
          <w:sz w:val="40"/>
          <w:szCs w:val="40"/>
        </w:rPr>
        <w:t>–</w:t>
      </w:r>
      <w:r>
        <w:rPr>
          <w:rFonts w:ascii="Verdana" w:hAnsi="Verdana"/>
          <w:b/>
          <w:bCs/>
          <w:color w:val="548DD4" w:themeColor="text2" w:themeTint="99"/>
          <w:sz w:val="40"/>
          <w:szCs w:val="40"/>
        </w:rPr>
        <w:t xml:space="preserve"> CNMH</w:t>
      </w:r>
      <w:bookmarkEnd w:id="92"/>
    </w:p>
    <w:p w:rsidR="007D5E94" w:rsidRDefault="007D5E94" w:rsidP="004A4C17">
      <w:pPr>
        <w:spacing w:after="0" w:line="240" w:lineRule="auto"/>
        <w:jc w:val="both"/>
        <w:rPr>
          <w:rFonts w:ascii="Verdana" w:hAnsi="Verdana"/>
          <w:b/>
          <w:bCs/>
          <w:color w:val="548DD4" w:themeColor="text2" w:themeTint="99"/>
          <w:sz w:val="40"/>
          <w:szCs w:val="40"/>
        </w:rPr>
      </w:pPr>
    </w:p>
    <w:p w:rsidR="007D5E94" w:rsidRDefault="00C272DA" w:rsidP="004A4C17">
      <w:pPr>
        <w:spacing w:after="0" w:line="240" w:lineRule="auto"/>
        <w:jc w:val="both"/>
        <w:rPr>
          <w:rFonts w:ascii="Verdana" w:hAnsi="Verdana"/>
          <w:b/>
          <w:bCs/>
          <w:color w:val="548DD4" w:themeColor="text2" w:themeTint="99"/>
          <w:sz w:val="40"/>
          <w:szCs w:val="40"/>
        </w:rPr>
      </w:pPr>
      <w:r>
        <w:rPr>
          <w:rFonts w:ascii="Verdana" w:hAnsi="Verdana"/>
          <w:b/>
          <w:bCs/>
          <w:noProof/>
          <w:color w:val="548DD4" w:themeColor="text2" w:themeTint="99"/>
          <w:sz w:val="40"/>
          <w:szCs w:val="40"/>
          <w:lang w:eastAsia="es-CO"/>
        </w:rPr>
        <w:drawing>
          <wp:anchor distT="0" distB="0" distL="114300" distR="114300" simplePos="0" relativeHeight="251705344" behindDoc="0" locked="0" layoutInCell="1" allowOverlap="1">
            <wp:simplePos x="0" y="0"/>
            <wp:positionH relativeFrom="column">
              <wp:posOffset>2343150</wp:posOffset>
            </wp:positionH>
            <wp:positionV relativeFrom="paragraph">
              <wp:posOffset>260350</wp:posOffset>
            </wp:positionV>
            <wp:extent cx="990600" cy="1841500"/>
            <wp:effectExtent l="19050" t="0" r="0" b="0"/>
            <wp:wrapThrough wrapText="bothSides">
              <wp:wrapPolygon edited="0">
                <wp:start x="-415" y="0"/>
                <wp:lineTo x="-415" y="21451"/>
                <wp:lineTo x="21600" y="21451"/>
                <wp:lineTo x="21600" y="0"/>
                <wp:lineTo x="-415" y="0"/>
              </wp:wrapPolygon>
            </wp:wrapThrough>
            <wp:docPr id="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990600" cy="1841500"/>
                    </a:xfrm>
                    <a:prstGeom prst="rect">
                      <a:avLst/>
                    </a:prstGeom>
                    <a:noFill/>
                    <a:ln w="9525">
                      <a:noFill/>
                      <a:miter lim="800000"/>
                      <a:headEnd/>
                      <a:tailEnd/>
                    </a:ln>
                  </pic:spPr>
                </pic:pic>
              </a:graphicData>
            </a:graphic>
          </wp:anchor>
        </w:drawing>
      </w:r>
    </w:p>
    <w:p w:rsidR="007D5E94" w:rsidRDefault="007D5E94" w:rsidP="004A4C17">
      <w:pPr>
        <w:spacing w:after="0" w:line="240" w:lineRule="auto"/>
        <w:jc w:val="both"/>
        <w:rPr>
          <w:rFonts w:ascii="Verdana" w:hAnsi="Verdana"/>
          <w:b/>
          <w:bCs/>
          <w:color w:val="548DD4" w:themeColor="text2" w:themeTint="99"/>
          <w:sz w:val="40"/>
          <w:szCs w:val="40"/>
        </w:rPr>
      </w:pPr>
    </w:p>
    <w:p w:rsidR="007D5E94" w:rsidRDefault="007D5E94" w:rsidP="004A4C17">
      <w:pPr>
        <w:spacing w:after="0" w:line="240" w:lineRule="auto"/>
        <w:jc w:val="both"/>
        <w:rPr>
          <w:rFonts w:ascii="Verdana" w:hAnsi="Verdana"/>
          <w:b/>
          <w:bCs/>
          <w:color w:val="548DD4" w:themeColor="text2" w:themeTint="99"/>
          <w:sz w:val="40"/>
          <w:szCs w:val="40"/>
        </w:rPr>
      </w:pPr>
    </w:p>
    <w:p w:rsidR="00B46760" w:rsidRDefault="00B46760" w:rsidP="004A4C17">
      <w:pPr>
        <w:spacing w:after="0" w:line="240" w:lineRule="auto"/>
        <w:jc w:val="both"/>
        <w:rPr>
          <w:rFonts w:ascii="Verdana" w:hAnsi="Verdana"/>
          <w:b/>
          <w:bCs/>
          <w:color w:val="548DD4" w:themeColor="text2" w:themeTint="99"/>
          <w:sz w:val="40"/>
          <w:szCs w:val="40"/>
        </w:rPr>
      </w:pPr>
    </w:p>
    <w:p w:rsidR="00B46760" w:rsidRDefault="00B46760" w:rsidP="004A4C17">
      <w:pPr>
        <w:spacing w:after="0" w:line="240" w:lineRule="auto"/>
        <w:jc w:val="both"/>
        <w:rPr>
          <w:rFonts w:ascii="Verdana" w:hAnsi="Verdana"/>
          <w:b/>
          <w:bCs/>
          <w:color w:val="548DD4" w:themeColor="text2" w:themeTint="99"/>
          <w:sz w:val="40"/>
          <w:szCs w:val="40"/>
        </w:rPr>
      </w:pPr>
    </w:p>
    <w:p w:rsidR="00B46760" w:rsidRDefault="005228F6" w:rsidP="004A4C17">
      <w:pPr>
        <w:spacing w:after="0" w:line="240" w:lineRule="auto"/>
        <w:jc w:val="both"/>
        <w:rPr>
          <w:rFonts w:ascii="Verdana" w:hAnsi="Verdana"/>
          <w:b/>
          <w:bCs/>
          <w:color w:val="548DD4" w:themeColor="text2" w:themeTint="99"/>
          <w:sz w:val="40"/>
          <w:szCs w:val="40"/>
        </w:rPr>
      </w:pPr>
      <w:r w:rsidRPr="005228F6">
        <w:rPr>
          <w:rFonts w:ascii="Verdana" w:hAnsi="Verdana"/>
          <w:b/>
          <w:bCs/>
          <w:noProof/>
          <w:color w:val="548DD4" w:themeColor="text2" w:themeTint="99"/>
          <w:sz w:val="40"/>
          <w:szCs w:val="40"/>
          <w:lang w:eastAsia="es-CO"/>
        </w:rPr>
        <w:drawing>
          <wp:anchor distT="0" distB="0" distL="114300" distR="114300" simplePos="0" relativeHeight="251736064" behindDoc="0" locked="0" layoutInCell="1" allowOverlap="1">
            <wp:simplePos x="0" y="0"/>
            <wp:positionH relativeFrom="column">
              <wp:posOffset>6609522</wp:posOffset>
            </wp:positionH>
            <wp:positionV relativeFrom="paragraph">
              <wp:posOffset>1963033</wp:posOffset>
            </wp:positionV>
            <wp:extent cx="504411" cy="357809"/>
            <wp:effectExtent l="19050" t="0" r="0" b="0"/>
            <wp:wrapThrough wrapText="bothSides">
              <wp:wrapPolygon edited="0">
                <wp:start x="-816" y="0"/>
                <wp:lineTo x="-816" y="20718"/>
                <wp:lineTo x="21219" y="20718"/>
                <wp:lineTo x="21219" y="0"/>
                <wp:lineTo x="-816" y="0"/>
              </wp:wrapPolygon>
            </wp:wrapThrough>
            <wp:docPr id="78" name="Objeto 10">
              <a:hlinkClick xmlns:a="http://schemas.openxmlformats.org/drawingml/2006/main" r:id="rId55" tooltip="Ir a la pagina de CONTENIDO."/>
            </wp:docPr>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4056" cy="360040"/>
                      <a:chOff x="683568" y="5517232"/>
                      <a:chExt cx="504056" cy="360040"/>
                    </a:xfrm>
                  </a:grpSpPr>
                  <a:sp>
                    <a:nvSpPr>
                      <a:cNvPr id="36" name="35 Botón de acción: Inicio"/>
                      <a:cNvSpPr/>
                    </a:nvSpPr>
                    <a:spPr>
                      <a:xfrm>
                        <a:off x="683568" y="5517232"/>
                        <a:ext cx="504056" cy="360040"/>
                      </a:xfrm>
                      <a:prstGeom prst="actionButtonHome">
                        <a:avLst/>
                      </a:prstGeom>
                      <a:solidFill>
                        <a:schemeClr val="accent5">
                          <a:lumMod val="60000"/>
                          <a:lumOff val="40000"/>
                        </a:schemeClr>
                      </a:soli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B46760" w:rsidRDefault="00B46760" w:rsidP="004A4C17">
      <w:pPr>
        <w:spacing w:after="0" w:line="240" w:lineRule="auto"/>
        <w:jc w:val="both"/>
        <w:rPr>
          <w:rFonts w:ascii="Verdana" w:hAnsi="Verdana"/>
          <w:b/>
          <w:bCs/>
          <w:color w:val="548DD4" w:themeColor="text2" w:themeTint="99"/>
          <w:sz w:val="40"/>
          <w:szCs w:val="40"/>
        </w:rPr>
      </w:pPr>
    </w:p>
    <w:p w:rsidR="00B46760" w:rsidRDefault="00B46760" w:rsidP="004A4C17">
      <w:pPr>
        <w:spacing w:after="0" w:line="240" w:lineRule="auto"/>
        <w:jc w:val="both"/>
        <w:rPr>
          <w:rFonts w:ascii="Verdana" w:hAnsi="Verdana"/>
          <w:b/>
          <w:bCs/>
          <w:color w:val="548DD4" w:themeColor="text2" w:themeTint="99"/>
          <w:sz w:val="40"/>
          <w:szCs w:val="40"/>
        </w:rPr>
      </w:pPr>
    </w:p>
    <w:p w:rsidR="00B46760" w:rsidRDefault="00B46760" w:rsidP="004A4C17">
      <w:pPr>
        <w:spacing w:after="0" w:line="240" w:lineRule="auto"/>
        <w:jc w:val="both"/>
        <w:rPr>
          <w:rFonts w:ascii="Verdana" w:hAnsi="Verdana"/>
          <w:b/>
          <w:bCs/>
          <w:color w:val="548DD4" w:themeColor="text2" w:themeTint="99"/>
          <w:sz w:val="40"/>
          <w:szCs w:val="40"/>
        </w:rPr>
      </w:pPr>
    </w:p>
    <w:p w:rsidR="00B46760" w:rsidRDefault="00B46760" w:rsidP="004A4C17">
      <w:pPr>
        <w:spacing w:after="0" w:line="240" w:lineRule="auto"/>
        <w:jc w:val="both"/>
        <w:rPr>
          <w:rFonts w:ascii="Verdana" w:hAnsi="Verdana"/>
          <w:b/>
          <w:bCs/>
          <w:color w:val="548DD4" w:themeColor="text2" w:themeTint="99"/>
          <w:sz w:val="40"/>
          <w:szCs w:val="40"/>
        </w:rPr>
      </w:pPr>
    </w:p>
    <w:p w:rsidR="00C75A93" w:rsidRPr="00B46760" w:rsidRDefault="00C75A93" w:rsidP="00B46760">
      <w:pPr>
        <w:spacing w:after="0" w:line="240" w:lineRule="auto"/>
        <w:rPr>
          <w:rFonts w:ascii="Verdana" w:hAnsi="Verdana"/>
          <w:b/>
          <w:sz w:val="24"/>
          <w:szCs w:val="24"/>
        </w:rPr>
      </w:pPr>
    </w:p>
    <w:p w:rsidR="00924F1D" w:rsidRDefault="00924F1D" w:rsidP="00D11249">
      <w:pPr>
        <w:spacing w:after="0" w:line="240" w:lineRule="auto"/>
        <w:jc w:val="both"/>
        <w:rPr>
          <w:rFonts w:ascii="Verdana" w:hAnsi="Verdana"/>
          <w:b/>
          <w:color w:val="4F81BD" w:themeColor="accent1"/>
          <w:sz w:val="32"/>
          <w:szCs w:val="24"/>
        </w:rPr>
      </w:pPr>
      <w:r>
        <w:rPr>
          <w:rFonts w:ascii="PT Sans" w:hAnsi="PT Sans"/>
          <w:noProof/>
          <w:color w:val="0000FF"/>
          <w:sz w:val="21"/>
          <w:szCs w:val="21"/>
          <w:lang w:eastAsia="es-CO"/>
        </w:rPr>
        <w:drawing>
          <wp:inline distT="0" distB="0" distL="0" distR="0">
            <wp:extent cx="6381750" cy="3114675"/>
            <wp:effectExtent l="19050" t="0" r="0" b="0"/>
            <wp:docPr id="457" name="Imagen 2" descr="La histórica encuesta sobre las víctimas">
              <a:hlinkClick xmlns:a="http://schemas.openxmlformats.org/drawingml/2006/main" r:id="rId56" tooltip="&quot;La histórica encuesta sobre las víctim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histórica encuesta sobre las víctimas">
                      <a:hlinkClick r:id="rId56" tooltip="&quot;La histórica encuesta sobre las víctimas&quot;"/>
                    </pic:cNvPr>
                    <pic:cNvPicPr>
                      <a:picLocks noChangeAspect="1" noChangeArrowheads="1"/>
                    </pic:cNvPicPr>
                  </pic:nvPicPr>
                  <pic:blipFill>
                    <a:blip r:embed="rId57" cstate="print"/>
                    <a:srcRect/>
                    <a:stretch>
                      <a:fillRect/>
                    </a:stretch>
                  </pic:blipFill>
                  <pic:spPr bwMode="auto">
                    <a:xfrm>
                      <a:off x="0" y="0"/>
                      <a:ext cx="6381750" cy="3114675"/>
                    </a:xfrm>
                    <a:prstGeom prst="rect">
                      <a:avLst/>
                    </a:prstGeom>
                    <a:noFill/>
                    <a:ln w="9525">
                      <a:noFill/>
                      <a:miter lim="800000"/>
                      <a:headEnd/>
                      <a:tailEnd/>
                    </a:ln>
                  </pic:spPr>
                </pic:pic>
              </a:graphicData>
            </a:graphic>
          </wp:inline>
        </w:drawing>
      </w:r>
    </w:p>
    <w:p w:rsidR="00924F1D" w:rsidRDefault="00B410EA" w:rsidP="00D11249">
      <w:pPr>
        <w:spacing w:after="0" w:line="240" w:lineRule="auto"/>
        <w:jc w:val="both"/>
        <w:rPr>
          <w:rFonts w:ascii="Verdana" w:hAnsi="Verdana"/>
          <w:b/>
          <w:color w:val="4F81BD" w:themeColor="accent1"/>
          <w:sz w:val="32"/>
          <w:szCs w:val="24"/>
        </w:rPr>
      </w:pPr>
      <w:r>
        <w:rPr>
          <w:rFonts w:ascii="PT Sans" w:hAnsi="PT Sans" w:cs="Helvetica"/>
          <w:noProof/>
          <w:color w:val="0088CC"/>
          <w:lang w:eastAsia="es-CO"/>
        </w:rPr>
        <w:drawing>
          <wp:inline distT="0" distB="0" distL="0" distR="0">
            <wp:extent cx="6400800" cy="3604260"/>
            <wp:effectExtent l="19050" t="0" r="0" b="0"/>
            <wp:docPr id="459" name="Imagen 6" descr="Construyendo país más allá de las fronteras">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struyendo país más allá de las fronteras">
                      <a:hlinkClick r:id="rId58"/>
                    </pic:cNvPr>
                    <pic:cNvPicPr>
                      <a:picLocks noChangeAspect="1" noChangeArrowheads="1"/>
                    </pic:cNvPicPr>
                  </pic:nvPicPr>
                  <pic:blipFill>
                    <a:blip r:embed="rId59" cstate="print"/>
                    <a:srcRect/>
                    <a:stretch>
                      <a:fillRect/>
                    </a:stretch>
                  </pic:blipFill>
                  <pic:spPr bwMode="auto">
                    <a:xfrm>
                      <a:off x="0" y="0"/>
                      <a:ext cx="6400800" cy="3604260"/>
                    </a:xfrm>
                    <a:prstGeom prst="rect">
                      <a:avLst/>
                    </a:prstGeom>
                    <a:noFill/>
                    <a:ln w="9525">
                      <a:noFill/>
                      <a:miter lim="800000"/>
                      <a:headEnd/>
                      <a:tailEnd/>
                    </a:ln>
                  </pic:spPr>
                </pic:pic>
              </a:graphicData>
            </a:graphic>
          </wp:inline>
        </w:drawing>
      </w:r>
    </w:p>
    <w:p w:rsidR="00B410EA" w:rsidRDefault="00B410EA" w:rsidP="00D11249">
      <w:pPr>
        <w:spacing w:after="0" w:line="240" w:lineRule="auto"/>
        <w:jc w:val="both"/>
        <w:rPr>
          <w:rFonts w:ascii="Verdana" w:hAnsi="Verdana"/>
          <w:b/>
          <w:color w:val="4F81BD" w:themeColor="accent1"/>
          <w:sz w:val="32"/>
          <w:szCs w:val="24"/>
        </w:rPr>
      </w:pPr>
    </w:p>
    <w:p w:rsidR="00B46760" w:rsidRPr="00CE0320" w:rsidRDefault="00CE0320" w:rsidP="00D11249">
      <w:pPr>
        <w:spacing w:after="0" w:line="240" w:lineRule="auto"/>
        <w:jc w:val="both"/>
        <w:rPr>
          <w:rFonts w:ascii="Verdana" w:hAnsi="Verdana"/>
          <w:b/>
          <w:color w:val="4F81BD" w:themeColor="accent1"/>
          <w:sz w:val="28"/>
          <w:szCs w:val="24"/>
        </w:rPr>
      </w:pPr>
      <w:r w:rsidRPr="00CE0320">
        <w:rPr>
          <w:rFonts w:ascii="Verdana" w:hAnsi="Verdana"/>
          <w:b/>
          <w:noProof/>
          <w:color w:val="4F81BD" w:themeColor="accent1"/>
          <w:sz w:val="32"/>
          <w:szCs w:val="24"/>
          <w:lang w:eastAsia="es-CO"/>
        </w:rPr>
        <w:lastRenderedPageBreak/>
        <w:drawing>
          <wp:inline distT="0" distB="0" distL="0" distR="0">
            <wp:extent cx="216024" cy="216024"/>
            <wp:effectExtent l="19050" t="0" r="0" b="0"/>
            <wp:docPr id="61"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8100392" y="4797152"/>
                      <a:chExt cx="216024" cy="216024"/>
                    </a:xfrm>
                  </a:grpSpPr>
                  <a:sp>
                    <a:nvSpPr>
                      <a:cNvPr id="41" name="40 Rectángulo redondeado"/>
                      <a:cNvSpPr/>
                    </a:nvSpPr>
                    <a:spPr>
                      <a:xfrm>
                        <a:off x="8100392" y="4797152"/>
                        <a:ext cx="216024" cy="216024"/>
                      </a:xfrm>
                      <a:prstGeom prst="roundRect">
                        <a:avLst/>
                      </a:prstGeom>
                      <a:gradFill flip="none" rotWithShape="1">
                        <a:gsLst>
                          <a:gs pos="0">
                            <a:schemeClr val="bg1">
                              <a:lumMod val="85000"/>
                              <a:shade val="30000"/>
                              <a:satMod val="115000"/>
                            </a:schemeClr>
                          </a:gs>
                          <a:gs pos="50000">
                            <a:schemeClr val="bg1">
                              <a:lumMod val="85000"/>
                              <a:shade val="67500"/>
                              <a:satMod val="115000"/>
                            </a:schemeClr>
                          </a:gs>
                          <a:gs pos="100000">
                            <a:schemeClr val="bg1">
                              <a:lumMod val="85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hAnsi="Verdana"/>
          <w:b/>
          <w:color w:val="4F81BD" w:themeColor="accent1"/>
          <w:sz w:val="32"/>
          <w:szCs w:val="24"/>
        </w:rPr>
        <w:t xml:space="preserve">  </w:t>
      </w:r>
      <w:r w:rsidR="00B46760" w:rsidRPr="00CE0320">
        <w:rPr>
          <w:rFonts w:ascii="Verdana" w:hAnsi="Verdana"/>
          <w:b/>
          <w:color w:val="4F81BD" w:themeColor="accent1"/>
          <w:sz w:val="28"/>
          <w:szCs w:val="24"/>
        </w:rPr>
        <w:t>PRESUPUESTO</w:t>
      </w:r>
      <w:r w:rsidR="00B46760" w:rsidRPr="00CE0320">
        <w:rPr>
          <w:rFonts w:ascii="Verdana" w:hAnsi="Verdana"/>
          <w:b/>
          <w:color w:val="4F81BD" w:themeColor="accent1"/>
          <w:sz w:val="28"/>
          <w:szCs w:val="24"/>
        </w:rPr>
        <w:tab/>
      </w:r>
    </w:p>
    <w:p w:rsidR="00C310DF" w:rsidRDefault="00C310DF" w:rsidP="00C310DF">
      <w:pPr>
        <w:spacing w:after="0" w:line="240" w:lineRule="auto"/>
        <w:jc w:val="both"/>
        <w:rPr>
          <w:rFonts w:ascii="Verdana" w:hAnsi="Verdana"/>
          <w:sz w:val="24"/>
          <w:szCs w:val="24"/>
        </w:rPr>
      </w:pPr>
    </w:p>
    <w:p w:rsidR="00C310DF" w:rsidRPr="00BC7F3F" w:rsidRDefault="00C310DF" w:rsidP="00C310DF">
      <w:pPr>
        <w:spacing w:after="0" w:line="240" w:lineRule="auto"/>
        <w:jc w:val="both"/>
        <w:rPr>
          <w:rFonts w:ascii="Verdana" w:hAnsi="Verdana"/>
          <w:sz w:val="24"/>
          <w:szCs w:val="24"/>
        </w:rPr>
      </w:pPr>
      <w:r w:rsidRPr="00BC7F3F">
        <w:rPr>
          <w:rFonts w:ascii="Verdana" w:hAnsi="Verdana"/>
          <w:sz w:val="24"/>
          <w:szCs w:val="24"/>
        </w:rPr>
        <w:t>En la siguiente tabla se presenta el presupuesto total del CNMH apropiado y ejecutado durante la vigencia 2014. Los estados financieros correspondientes a las vigencias 2013 y 2014 se presentan en el Anexo 1 de este informe.</w:t>
      </w:r>
    </w:p>
    <w:p w:rsidR="00C310DF" w:rsidRPr="00BC7F3F" w:rsidRDefault="00C310DF" w:rsidP="00C310DF">
      <w:pPr>
        <w:spacing w:after="0" w:line="240" w:lineRule="auto"/>
        <w:jc w:val="both"/>
        <w:rPr>
          <w:rFonts w:ascii="Verdana" w:hAnsi="Verdana"/>
          <w:sz w:val="24"/>
          <w:szCs w:val="24"/>
        </w:rPr>
      </w:pPr>
    </w:p>
    <w:p w:rsidR="00C310DF" w:rsidRPr="00C310DF" w:rsidRDefault="00C310DF" w:rsidP="00C310DF">
      <w:pPr>
        <w:spacing w:after="0" w:line="240" w:lineRule="auto"/>
        <w:rPr>
          <w:rFonts w:ascii="Verdana" w:hAnsi="Verdana"/>
          <w:color w:val="4F81BD" w:themeColor="accent1"/>
          <w:sz w:val="24"/>
          <w:szCs w:val="24"/>
        </w:rPr>
      </w:pPr>
      <w:r w:rsidRPr="00C310DF">
        <w:rPr>
          <w:rFonts w:ascii="Verdana" w:hAnsi="Verdana"/>
          <w:color w:val="4F81BD" w:themeColor="accent1"/>
          <w:sz w:val="24"/>
          <w:szCs w:val="24"/>
        </w:rPr>
        <w:t>Ejecución presupuestal 2014</w:t>
      </w:r>
    </w:p>
    <w:tbl>
      <w:tblPr>
        <w:tblW w:w="5000" w:type="pct"/>
        <w:jc w:val="center"/>
        <w:tblCellMar>
          <w:left w:w="70" w:type="dxa"/>
          <w:right w:w="70" w:type="dxa"/>
        </w:tblCellMar>
        <w:tblLook w:val="04A0"/>
      </w:tblPr>
      <w:tblGrid>
        <w:gridCol w:w="2374"/>
        <w:gridCol w:w="1242"/>
        <w:gridCol w:w="1476"/>
        <w:gridCol w:w="1301"/>
        <w:gridCol w:w="1311"/>
        <w:gridCol w:w="821"/>
        <w:gridCol w:w="836"/>
        <w:gridCol w:w="805"/>
      </w:tblGrid>
      <w:tr w:rsidR="00C310DF" w:rsidRPr="00BC7F3F" w:rsidTr="00C310DF">
        <w:trPr>
          <w:trHeight w:val="187"/>
          <w:jc w:val="center"/>
        </w:trPr>
        <w:tc>
          <w:tcPr>
            <w:tcW w:w="1167" w:type="pct"/>
            <w:vMerge w:val="restart"/>
            <w:tcBorders>
              <w:top w:val="single" w:sz="8" w:space="0" w:color="auto"/>
              <w:left w:val="single" w:sz="8" w:space="0" w:color="auto"/>
              <w:right w:val="single" w:sz="4" w:space="0" w:color="auto"/>
            </w:tcBorders>
            <w:shd w:val="clear" w:color="4F81BD" w:fill="4F81BD"/>
            <w:vAlign w:val="center"/>
            <w:hideMark/>
          </w:tcPr>
          <w:p w:rsidR="00C310DF" w:rsidRPr="00BC7F3F" w:rsidRDefault="00C310DF" w:rsidP="00C310DF">
            <w:pPr>
              <w:spacing w:after="0" w:line="240" w:lineRule="auto"/>
              <w:jc w:val="center"/>
              <w:rPr>
                <w:rFonts w:ascii="Verdana" w:eastAsia="Times New Roman" w:hAnsi="Verdana" w:cs="Times New Roman"/>
                <w:b/>
                <w:bCs/>
                <w:color w:val="FFFFFF" w:themeColor="background1"/>
                <w:sz w:val="16"/>
                <w:szCs w:val="18"/>
                <w:lang w:eastAsia="es-CO"/>
              </w:rPr>
            </w:pPr>
            <w:r w:rsidRPr="00BC7F3F">
              <w:rPr>
                <w:rFonts w:ascii="Verdana" w:eastAsia="Times New Roman" w:hAnsi="Verdana" w:cs="Times New Roman"/>
                <w:b/>
                <w:bCs/>
                <w:color w:val="FFFFFF" w:themeColor="background1"/>
                <w:sz w:val="16"/>
                <w:szCs w:val="18"/>
                <w:lang w:eastAsia="es-CO"/>
              </w:rPr>
              <w:t>Descripción</w:t>
            </w:r>
          </w:p>
        </w:tc>
        <w:tc>
          <w:tcPr>
            <w:tcW w:w="611" w:type="pct"/>
            <w:vMerge w:val="restart"/>
            <w:tcBorders>
              <w:top w:val="single" w:sz="8" w:space="0" w:color="auto"/>
              <w:left w:val="single" w:sz="4" w:space="0" w:color="auto"/>
              <w:right w:val="single" w:sz="4" w:space="0" w:color="auto"/>
            </w:tcBorders>
            <w:shd w:val="clear" w:color="4F81BD" w:fill="4F81BD"/>
            <w:vAlign w:val="center"/>
            <w:hideMark/>
          </w:tcPr>
          <w:p w:rsidR="00C310DF" w:rsidRPr="00C310DF" w:rsidRDefault="00C310DF" w:rsidP="00C310DF">
            <w:pPr>
              <w:spacing w:after="0" w:line="240" w:lineRule="auto"/>
              <w:jc w:val="center"/>
              <w:rPr>
                <w:rFonts w:ascii="Verdana" w:eastAsia="Times New Roman" w:hAnsi="Verdana" w:cs="Times New Roman"/>
                <w:bCs/>
                <w:color w:val="FFFFFF" w:themeColor="background1"/>
                <w:sz w:val="16"/>
                <w:szCs w:val="18"/>
                <w:lang w:eastAsia="es-CO"/>
              </w:rPr>
            </w:pPr>
            <w:r w:rsidRPr="00C310DF">
              <w:rPr>
                <w:rFonts w:ascii="Verdana" w:eastAsia="Times New Roman" w:hAnsi="Verdana" w:cs="Times New Roman"/>
                <w:bCs/>
                <w:color w:val="FFFFFF" w:themeColor="background1"/>
                <w:sz w:val="16"/>
                <w:szCs w:val="18"/>
                <w:lang w:eastAsia="es-CO"/>
              </w:rPr>
              <w:t>P</w:t>
            </w:r>
            <w:r>
              <w:rPr>
                <w:rFonts w:ascii="Verdana" w:eastAsia="Times New Roman" w:hAnsi="Verdana" w:cs="Times New Roman"/>
                <w:bCs/>
                <w:color w:val="FFFFFF" w:themeColor="background1"/>
                <w:sz w:val="16"/>
                <w:szCs w:val="18"/>
                <w:lang w:eastAsia="es-CO"/>
              </w:rPr>
              <w:t>resupuesto</w:t>
            </w:r>
            <w:r w:rsidRPr="00C310DF">
              <w:rPr>
                <w:rFonts w:ascii="Verdana" w:eastAsia="Times New Roman" w:hAnsi="Verdana" w:cs="Times New Roman"/>
                <w:bCs/>
                <w:color w:val="FFFFFF" w:themeColor="background1"/>
                <w:sz w:val="16"/>
                <w:szCs w:val="18"/>
                <w:lang w:eastAsia="es-CO"/>
              </w:rPr>
              <w:t xml:space="preserve"> Final</w:t>
            </w:r>
          </w:p>
        </w:tc>
        <w:tc>
          <w:tcPr>
            <w:tcW w:w="726" w:type="pct"/>
            <w:vMerge w:val="restart"/>
            <w:tcBorders>
              <w:top w:val="single" w:sz="8" w:space="0" w:color="auto"/>
              <w:left w:val="single" w:sz="4" w:space="0" w:color="auto"/>
              <w:right w:val="single" w:sz="4" w:space="0" w:color="auto"/>
            </w:tcBorders>
            <w:shd w:val="clear" w:color="4F81BD" w:fill="4F81BD"/>
            <w:vAlign w:val="center"/>
            <w:hideMark/>
          </w:tcPr>
          <w:p w:rsidR="00C310DF" w:rsidRPr="00C310DF" w:rsidRDefault="00C310DF" w:rsidP="00C310DF">
            <w:pPr>
              <w:spacing w:after="0" w:line="240" w:lineRule="auto"/>
              <w:jc w:val="center"/>
              <w:rPr>
                <w:rFonts w:ascii="Verdana" w:eastAsia="Times New Roman" w:hAnsi="Verdana" w:cs="Times New Roman"/>
                <w:bCs/>
                <w:color w:val="FFFFFF" w:themeColor="background1"/>
                <w:sz w:val="16"/>
                <w:szCs w:val="18"/>
                <w:lang w:eastAsia="es-CO"/>
              </w:rPr>
            </w:pPr>
            <w:r w:rsidRPr="00C310DF">
              <w:rPr>
                <w:rFonts w:ascii="Verdana" w:eastAsia="Times New Roman" w:hAnsi="Verdana" w:cs="Times New Roman"/>
                <w:bCs/>
                <w:color w:val="FFFFFF" w:themeColor="background1"/>
                <w:sz w:val="16"/>
                <w:szCs w:val="18"/>
                <w:lang w:eastAsia="es-CO"/>
              </w:rPr>
              <w:t>Compromiso</w:t>
            </w:r>
          </w:p>
        </w:tc>
        <w:tc>
          <w:tcPr>
            <w:tcW w:w="640" w:type="pct"/>
            <w:vMerge w:val="restart"/>
            <w:tcBorders>
              <w:top w:val="single" w:sz="8" w:space="0" w:color="auto"/>
              <w:left w:val="single" w:sz="4" w:space="0" w:color="auto"/>
              <w:right w:val="single" w:sz="4" w:space="0" w:color="auto"/>
            </w:tcBorders>
            <w:shd w:val="clear" w:color="4F81BD" w:fill="4F81BD"/>
            <w:vAlign w:val="center"/>
            <w:hideMark/>
          </w:tcPr>
          <w:p w:rsidR="00C310DF" w:rsidRPr="00C310DF" w:rsidRDefault="00C310DF" w:rsidP="00C310DF">
            <w:pPr>
              <w:spacing w:after="0" w:line="240" w:lineRule="auto"/>
              <w:jc w:val="center"/>
              <w:rPr>
                <w:rFonts w:ascii="Verdana" w:eastAsia="Times New Roman" w:hAnsi="Verdana" w:cs="Times New Roman"/>
                <w:bCs/>
                <w:color w:val="FFFFFF" w:themeColor="background1"/>
                <w:sz w:val="16"/>
                <w:szCs w:val="18"/>
                <w:lang w:eastAsia="es-CO"/>
              </w:rPr>
            </w:pPr>
            <w:r w:rsidRPr="00C310DF">
              <w:rPr>
                <w:rFonts w:ascii="Verdana" w:eastAsia="Times New Roman" w:hAnsi="Verdana" w:cs="Times New Roman"/>
                <w:bCs/>
                <w:color w:val="FFFFFF" w:themeColor="background1"/>
                <w:sz w:val="16"/>
                <w:szCs w:val="18"/>
                <w:lang w:eastAsia="es-CO"/>
              </w:rPr>
              <w:t>Obligación</w:t>
            </w:r>
          </w:p>
        </w:tc>
        <w:tc>
          <w:tcPr>
            <w:tcW w:w="645" w:type="pct"/>
            <w:vMerge w:val="restart"/>
            <w:tcBorders>
              <w:top w:val="single" w:sz="8" w:space="0" w:color="auto"/>
              <w:left w:val="single" w:sz="4" w:space="0" w:color="auto"/>
              <w:right w:val="nil"/>
            </w:tcBorders>
            <w:shd w:val="clear" w:color="4F81BD" w:fill="4F81BD"/>
            <w:vAlign w:val="center"/>
            <w:hideMark/>
          </w:tcPr>
          <w:p w:rsidR="00C310DF" w:rsidRPr="00C310DF" w:rsidRDefault="00C310DF" w:rsidP="00C310DF">
            <w:pPr>
              <w:spacing w:after="0" w:line="240" w:lineRule="auto"/>
              <w:jc w:val="center"/>
              <w:rPr>
                <w:rFonts w:ascii="Verdana" w:eastAsia="Times New Roman" w:hAnsi="Verdana" w:cs="Times New Roman"/>
                <w:bCs/>
                <w:color w:val="FFFFFF" w:themeColor="background1"/>
                <w:sz w:val="16"/>
                <w:szCs w:val="18"/>
                <w:lang w:eastAsia="es-CO"/>
              </w:rPr>
            </w:pPr>
            <w:r w:rsidRPr="00C310DF">
              <w:rPr>
                <w:rFonts w:ascii="Verdana" w:eastAsia="Times New Roman" w:hAnsi="Verdana" w:cs="Times New Roman"/>
                <w:bCs/>
                <w:color w:val="FFFFFF" w:themeColor="background1"/>
                <w:sz w:val="16"/>
                <w:szCs w:val="18"/>
                <w:lang w:eastAsia="es-CO"/>
              </w:rPr>
              <w:t>Pagos</w:t>
            </w:r>
          </w:p>
        </w:tc>
        <w:tc>
          <w:tcPr>
            <w:tcW w:w="1211" w:type="pct"/>
            <w:gridSpan w:val="3"/>
            <w:tcBorders>
              <w:top w:val="single" w:sz="8" w:space="0" w:color="auto"/>
              <w:left w:val="single" w:sz="8" w:space="0" w:color="auto"/>
              <w:bottom w:val="single" w:sz="4" w:space="0" w:color="auto"/>
              <w:right w:val="single" w:sz="8" w:space="0" w:color="auto"/>
            </w:tcBorders>
            <w:shd w:val="clear" w:color="4F81BD" w:fill="4F81BD"/>
            <w:vAlign w:val="center"/>
            <w:hideMark/>
          </w:tcPr>
          <w:p w:rsidR="00C310DF" w:rsidRPr="00C310DF" w:rsidRDefault="00C310DF" w:rsidP="00C310DF">
            <w:pPr>
              <w:spacing w:after="0" w:line="240" w:lineRule="auto"/>
              <w:jc w:val="center"/>
              <w:rPr>
                <w:rFonts w:ascii="Verdana" w:eastAsia="Times New Roman" w:hAnsi="Verdana" w:cs="Times New Roman"/>
                <w:bCs/>
                <w:sz w:val="16"/>
                <w:szCs w:val="18"/>
                <w:lang w:eastAsia="es-CO"/>
              </w:rPr>
            </w:pPr>
            <w:r w:rsidRPr="00C310DF">
              <w:rPr>
                <w:rFonts w:ascii="Verdana" w:eastAsia="Times New Roman" w:hAnsi="Verdana" w:cs="Times New Roman"/>
                <w:bCs/>
                <w:color w:val="FFFFFF" w:themeColor="background1"/>
                <w:sz w:val="16"/>
                <w:szCs w:val="18"/>
                <w:lang w:eastAsia="es-CO"/>
              </w:rPr>
              <w:t>% Ejecución</w:t>
            </w:r>
          </w:p>
        </w:tc>
      </w:tr>
      <w:tr w:rsidR="00C310DF" w:rsidRPr="00BC7F3F" w:rsidTr="00C310DF">
        <w:trPr>
          <w:trHeight w:val="101"/>
          <w:jc w:val="center"/>
        </w:trPr>
        <w:tc>
          <w:tcPr>
            <w:tcW w:w="1167" w:type="pct"/>
            <w:vMerge/>
            <w:tcBorders>
              <w:left w:val="single" w:sz="8" w:space="0" w:color="auto"/>
              <w:bottom w:val="single" w:sz="4" w:space="0" w:color="auto"/>
              <w:right w:val="single" w:sz="4" w:space="0" w:color="auto"/>
            </w:tcBorders>
            <w:shd w:val="clear" w:color="DCE6F1" w:fill="DCE6F1"/>
            <w:vAlign w:val="center"/>
            <w:hideMark/>
          </w:tcPr>
          <w:p w:rsidR="00C310DF" w:rsidRPr="00BC7F3F" w:rsidRDefault="00C310DF" w:rsidP="00C310DF">
            <w:pPr>
              <w:spacing w:after="0" w:line="240" w:lineRule="auto"/>
              <w:jc w:val="center"/>
              <w:rPr>
                <w:rFonts w:ascii="Verdana" w:eastAsia="Times New Roman" w:hAnsi="Verdana" w:cs="Times New Roman"/>
                <w:b/>
                <w:bCs/>
                <w:color w:val="000000"/>
                <w:sz w:val="16"/>
                <w:szCs w:val="18"/>
                <w:lang w:eastAsia="es-CO"/>
              </w:rPr>
            </w:pPr>
          </w:p>
        </w:tc>
        <w:tc>
          <w:tcPr>
            <w:tcW w:w="611" w:type="pct"/>
            <w:vMerge/>
            <w:tcBorders>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bCs/>
                <w:color w:val="000000"/>
                <w:sz w:val="16"/>
                <w:szCs w:val="18"/>
                <w:lang w:eastAsia="es-CO"/>
              </w:rPr>
            </w:pPr>
          </w:p>
        </w:tc>
        <w:tc>
          <w:tcPr>
            <w:tcW w:w="726" w:type="pct"/>
            <w:vMerge/>
            <w:tcBorders>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bCs/>
                <w:color w:val="000000"/>
                <w:sz w:val="16"/>
                <w:szCs w:val="18"/>
                <w:lang w:eastAsia="es-CO"/>
              </w:rPr>
            </w:pPr>
          </w:p>
        </w:tc>
        <w:tc>
          <w:tcPr>
            <w:tcW w:w="640" w:type="pct"/>
            <w:vMerge/>
            <w:tcBorders>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bCs/>
                <w:color w:val="000000"/>
                <w:sz w:val="16"/>
                <w:szCs w:val="18"/>
                <w:lang w:eastAsia="es-CO"/>
              </w:rPr>
            </w:pPr>
          </w:p>
        </w:tc>
        <w:tc>
          <w:tcPr>
            <w:tcW w:w="645" w:type="pct"/>
            <w:vMerge/>
            <w:tcBorders>
              <w:left w:val="single" w:sz="4" w:space="0" w:color="auto"/>
              <w:bottom w:val="single" w:sz="4" w:space="0" w:color="auto"/>
              <w:right w:val="nil"/>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bCs/>
                <w:color w:val="000000"/>
                <w:sz w:val="16"/>
                <w:szCs w:val="18"/>
                <w:lang w:eastAsia="es-CO"/>
              </w:rPr>
            </w:pPr>
          </w:p>
        </w:tc>
        <w:tc>
          <w:tcPr>
            <w:tcW w:w="404" w:type="pct"/>
            <w:tcBorders>
              <w:top w:val="single" w:sz="4" w:space="0" w:color="auto"/>
              <w:left w:val="single" w:sz="8" w:space="0" w:color="auto"/>
              <w:bottom w:val="single" w:sz="4" w:space="0" w:color="95B3D7"/>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bCs/>
                <w:sz w:val="16"/>
                <w:szCs w:val="18"/>
                <w:lang w:eastAsia="es-CO"/>
              </w:rPr>
            </w:pPr>
            <w:r w:rsidRPr="00C310DF">
              <w:rPr>
                <w:rFonts w:ascii="Verdana" w:eastAsia="Times New Roman" w:hAnsi="Verdana" w:cs="Times New Roman"/>
                <w:bCs/>
                <w:sz w:val="16"/>
                <w:szCs w:val="18"/>
                <w:lang w:eastAsia="es-CO"/>
              </w:rPr>
              <w:t>% Comp</w:t>
            </w:r>
          </w:p>
        </w:tc>
        <w:tc>
          <w:tcPr>
            <w:tcW w:w="411" w:type="pct"/>
            <w:tcBorders>
              <w:top w:val="single" w:sz="4" w:space="0" w:color="auto"/>
              <w:left w:val="single" w:sz="4" w:space="0" w:color="auto"/>
              <w:bottom w:val="single" w:sz="4" w:space="0" w:color="95B3D7"/>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bCs/>
                <w:sz w:val="16"/>
                <w:szCs w:val="18"/>
                <w:lang w:eastAsia="es-CO"/>
              </w:rPr>
            </w:pPr>
            <w:r w:rsidRPr="00C310DF">
              <w:rPr>
                <w:rFonts w:ascii="Verdana" w:eastAsia="Times New Roman" w:hAnsi="Verdana" w:cs="Times New Roman"/>
                <w:bCs/>
                <w:sz w:val="16"/>
                <w:szCs w:val="18"/>
                <w:lang w:eastAsia="es-CO"/>
              </w:rPr>
              <w:t>% Oblig</w:t>
            </w:r>
          </w:p>
        </w:tc>
        <w:tc>
          <w:tcPr>
            <w:tcW w:w="396" w:type="pct"/>
            <w:tcBorders>
              <w:top w:val="single" w:sz="4" w:space="0" w:color="auto"/>
              <w:left w:val="single" w:sz="4" w:space="0" w:color="auto"/>
              <w:bottom w:val="single" w:sz="4" w:space="0" w:color="95B3D7"/>
              <w:right w:val="single" w:sz="8"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bCs/>
                <w:sz w:val="16"/>
                <w:szCs w:val="18"/>
                <w:lang w:eastAsia="es-CO"/>
              </w:rPr>
            </w:pPr>
            <w:r w:rsidRPr="00C310DF">
              <w:rPr>
                <w:rFonts w:ascii="Verdana" w:eastAsia="Times New Roman" w:hAnsi="Verdana" w:cs="Times New Roman"/>
                <w:bCs/>
                <w:sz w:val="16"/>
                <w:szCs w:val="18"/>
                <w:lang w:eastAsia="es-CO"/>
              </w:rPr>
              <w:t>% Pago</w:t>
            </w:r>
          </w:p>
        </w:tc>
      </w:tr>
      <w:tr w:rsidR="00C310DF" w:rsidRPr="00BC7F3F" w:rsidTr="00C310DF">
        <w:trPr>
          <w:trHeight w:val="313"/>
          <w:jc w:val="center"/>
        </w:trPr>
        <w:tc>
          <w:tcPr>
            <w:tcW w:w="1167" w:type="pct"/>
            <w:tcBorders>
              <w:top w:val="single" w:sz="8" w:space="0" w:color="auto"/>
              <w:left w:val="single" w:sz="8" w:space="0" w:color="auto"/>
              <w:bottom w:val="single" w:sz="4" w:space="0" w:color="auto"/>
              <w:right w:val="single" w:sz="4" w:space="0" w:color="auto"/>
            </w:tcBorders>
            <w:shd w:val="clear" w:color="000000" w:fill="538DD5"/>
            <w:vAlign w:val="center"/>
            <w:hideMark/>
          </w:tcPr>
          <w:p w:rsidR="00C310DF" w:rsidRPr="00BC7F3F" w:rsidRDefault="00C310DF" w:rsidP="00C310DF">
            <w:pPr>
              <w:spacing w:after="0" w:line="240" w:lineRule="auto"/>
              <w:jc w:val="center"/>
              <w:rPr>
                <w:rFonts w:ascii="Verdana" w:eastAsia="Times New Roman" w:hAnsi="Verdana" w:cs="Times New Roman"/>
                <w:b/>
                <w:bCs/>
                <w:color w:val="FFFFFF"/>
                <w:sz w:val="16"/>
                <w:szCs w:val="18"/>
                <w:lang w:eastAsia="es-CO"/>
              </w:rPr>
            </w:pPr>
            <w:r w:rsidRPr="00BC7F3F">
              <w:rPr>
                <w:rFonts w:ascii="Verdana" w:eastAsia="Times New Roman" w:hAnsi="Verdana" w:cs="Times New Roman"/>
                <w:b/>
                <w:bCs/>
                <w:color w:val="FFFFFF"/>
                <w:sz w:val="16"/>
                <w:szCs w:val="18"/>
                <w:lang w:eastAsia="es-CO"/>
              </w:rPr>
              <w:t>Presupuesto Total</w:t>
            </w:r>
          </w:p>
        </w:tc>
        <w:tc>
          <w:tcPr>
            <w:tcW w:w="611" w:type="pct"/>
            <w:tcBorders>
              <w:top w:val="single" w:sz="8" w:space="0" w:color="auto"/>
              <w:left w:val="single" w:sz="4" w:space="0" w:color="auto"/>
              <w:bottom w:val="single" w:sz="4" w:space="0" w:color="auto"/>
              <w:right w:val="single" w:sz="4" w:space="0" w:color="auto"/>
            </w:tcBorders>
            <w:shd w:val="clear" w:color="000000" w:fill="538DD5"/>
            <w:vAlign w:val="center"/>
            <w:hideMark/>
          </w:tcPr>
          <w:p w:rsidR="00C310DF" w:rsidRPr="00BC7F3F" w:rsidRDefault="00C310DF" w:rsidP="00C310DF">
            <w:pPr>
              <w:spacing w:after="0" w:line="240" w:lineRule="auto"/>
              <w:jc w:val="right"/>
              <w:rPr>
                <w:rFonts w:ascii="Verdana" w:eastAsia="Times New Roman" w:hAnsi="Verdana" w:cs="Times New Roman"/>
                <w:b/>
                <w:bCs/>
                <w:color w:val="FFFFFF"/>
                <w:sz w:val="16"/>
                <w:szCs w:val="18"/>
                <w:lang w:eastAsia="es-CO"/>
              </w:rPr>
            </w:pPr>
            <w:r w:rsidRPr="00BC7F3F">
              <w:rPr>
                <w:rFonts w:ascii="Verdana" w:eastAsia="Times New Roman" w:hAnsi="Verdana" w:cs="Times New Roman"/>
                <w:b/>
                <w:bCs/>
                <w:color w:val="FFFFFF"/>
                <w:sz w:val="16"/>
                <w:szCs w:val="18"/>
                <w:lang w:eastAsia="es-CO"/>
              </w:rPr>
              <w:t>40.965,00</w:t>
            </w:r>
          </w:p>
        </w:tc>
        <w:tc>
          <w:tcPr>
            <w:tcW w:w="726" w:type="pct"/>
            <w:tcBorders>
              <w:top w:val="single" w:sz="8" w:space="0" w:color="auto"/>
              <w:left w:val="single" w:sz="4" w:space="0" w:color="auto"/>
              <w:bottom w:val="single" w:sz="4" w:space="0" w:color="auto"/>
              <w:right w:val="single" w:sz="4" w:space="0" w:color="auto"/>
            </w:tcBorders>
            <w:shd w:val="clear" w:color="000000" w:fill="538DD5"/>
            <w:vAlign w:val="center"/>
            <w:hideMark/>
          </w:tcPr>
          <w:p w:rsidR="00C310DF" w:rsidRPr="00BC7F3F" w:rsidRDefault="00C310DF" w:rsidP="00C310DF">
            <w:pPr>
              <w:spacing w:after="0" w:line="240" w:lineRule="auto"/>
              <w:jc w:val="right"/>
              <w:rPr>
                <w:rFonts w:ascii="Verdana" w:eastAsia="Times New Roman" w:hAnsi="Verdana" w:cs="Times New Roman"/>
                <w:b/>
                <w:bCs/>
                <w:color w:val="FFFFFF"/>
                <w:sz w:val="16"/>
                <w:szCs w:val="18"/>
                <w:lang w:eastAsia="es-CO"/>
              </w:rPr>
            </w:pPr>
            <w:r w:rsidRPr="00BC7F3F">
              <w:rPr>
                <w:rFonts w:ascii="Verdana" w:eastAsia="Times New Roman" w:hAnsi="Verdana" w:cs="Times New Roman"/>
                <w:b/>
                <w:bCs/>
                <w:color w:val="FFFFFF"/>
                <w:sz w:val="16"/>
                <w:szCs w:val="18"/>
                <w:lang w:eastAsia="es-CO"/>
              </w:rPr>
              <w:t>37.627,63</w:t>
            </w:r>
          </w:p>
        </w:tc>
        <w:tc>
          <w:tcPr>
            <w:tcW w:w="640" w:type="pct"/>
            <w:tcBorders>
              <w:top w:val="single" w:sz="8" w:space="0" w:color="auto"/>
              <w:left w:val="single" w:sz="4" w:space="0" w:color="auto"/>
              <w:bottom w:val="single" w:sz="4" w:space="0" w:color="auto"/>
              <w:right w:val="single" w:sz="4" w:space="0" w:color="auto"/>
            </w:tcBorders>
            <w:shd w:val="clear" w:color="000000" w:fill="538DD5"/>
            <w:vAlign w:val="center"/>
            <w:hideMark/>
          </w:tcPr>
          <w:p w:rsidR="00C310DF" w:rsidRPr="00BC7F3F" w:rsidRDefault="00C310DF" w:rsidP="00C310DF">
            <w:pPr>
              <w:spacing w:after="0" w:line="240" w:lineRule="auto"/>
              <w:jc w:val="right"/>
              <w:rPr>
                <w:rFonts w:ascii="Verdana" w:eastAsia="Times New Roman" w:hAnsi="Verdana" w:cs="Times New Roman"/>
                <w:b/>
                <w:bCs/>
                <w:color w:val="FFFFFF"/>
                <w:sz w:val="16"/>
                <w:szCs w:val="18"/>
                <w:lang w:eastAsia="es-CO"/>
              </w:rPr>
            </w:pPr>
            <w:r w:rsidRPr="00BC7F3F">
              <w:rPr>
                <w:rFonts w:ascii="Verdana" w:eastAsia="Times New Roman" w:hAnsi="Verdana" w:cs="Times New Roman"/>
                <w:b/>
                <w:bCs/>
                <w:color w:val="FFFFFF"/>
                <w:sz w:val="16"/>
                <w:szCs w:val="18"/>
                <w:lang w:eastAsia="es-CO"/>
              </w:rPr>
              <w:t>37.387,92</w:t>
            </w:r>
          </w:p>
        </w:tc>
        <w:tc>
          <w:tcPr>
            <w:tcW w:w="645" w:type="pct"/>
            <w:tcBorders>
              <w:top w:val="single" w:sz="8" w:space="0" w:color="auto"/>
              <w:left w:val="single" w:sz="4" w:space="0" w:color="auto"/>
              <w:bottom w:val="single" w:sz="4" w:space="0" w:color="auto"/>
              <w:right w:val="nil"/>
            </w:tcBorders>
            <w:shd w:val="clear" w:color="000000" w:fill="538DD5"/>
            <w:vAlign w:val="center"/>
            <w:hideMark/>
          </w:tcPr>
          <w:p w:rsidR="00C310DF" w:rsidRPr="00BC7F3F" w:rsidRDefault="00C310DF" w:rsidP="00C310DF">
            <w:pPr>
              <w:spacing w:after="0" w:line="240" w:lineRule="auto"/>
              <w:jc w:val="right"/>
              <w:rPr>
                <w:rFonts w:ascii="Verdana" w:eastAsia="Times New Roman" w:hAnsi="Verdana" w:cs="Times New Roman"/>
                <w:b/>
                <w:bCs/>
                <w:color w:val="FFFFFF"/>
                <w:sz w:val="16"/>
                <w:szCs w:val="18"/>
                <w:lang w:eastAsia="es-CO"/>
              </w:rPr>
            </w:pPr>
            <w:r w:rsidRPr="00BC7F3F">
              <w:rPr>
                <w:rFonts w:ascii="Verdana" w:eastAsia="Times New Roman" w:hAnsi="Verdana" w:cs="Times New Roman"/>
                <w:b/>
                <w:bCs/>
                <w:color w:val="FFFFFF"/>
                <w:sz w:val="16"/>
                <w:szCs w:val="18"/>
                <w:lang w:eastAsia="es-CO"/>
              </w:rPr>
              <w:t>31.295,12</w:t>
            </w:r>
          </w:p>
        </w:tc>
        <w:tc>
          <w:tcPr>
            <w:tcW w:w="404" w:type="pct"/>
            <w:tcBorders>
              <w:top w:val="single" w:sz="8" w:space="0" w:color="auto"/>
              <w:left w:val="single" w:sz="8" w:space="0" w:color="auto"/>
              <w:bottom w:val="single" w:sz="4" w:space="0" w:color="auto"/>
              <w:right w:val="single" w:sz="4" w:space="0" w:color="auto"/>
            </w:tcBorders>
            <w:shd w:val="clear" w:color="000000" w:fill="538DD5"/>
            <w:vAlign w:val="center"/>
            <w:hideMark/>
          </w:tcPr>
          <w:p w:rsidR="00C310DF" w:rsidRPr="00BC7F3F" w:rsidRDefault="00C310DF" w:rsidP="00C310DF">
            <w:pPr>
              <w:spacing w:after="0" w:line="240" w:lineRule="auto"/>
              <w:jc w:val="center"/>
              <w:rPr>
                <w:rFonts w:ascii="Verdana" w:eastAsia="Times New Roman" w:hAnsi="Verdana" w:cs="Times New Roman"/>
                <w:b/>
                <w:bCs/>
                <w:color w:val="FFFFFF"/>
                <w:sz w:val="16"/>
                <w:szCs w:val="18"/>
                <w:lang w:eastAsia="es-CO"/>
              </w:rPr>
            </w:pPr>
            <w:r w:rsidRPr="00BC7F3F">
              <w:rPr>
                <w:rFonts w:ascii="Verdana" w:eastAsia="Times New Roman" w:hAnsi="Verdana" w:cs="Times New Roman"/>
                <w:b/>
                <w:bCs/>
                <w:color w:val="FFFFFF"/>
                <w:sz w:val="16"/>
                <w:szCs w:val="18"/>
                <w:lang w:eastAsia="es-CO"/>
              </w:rPr>
              <w:t>92%</w:t>
            </w:r>
          </w:p>
        </w:tc>
        <w:tc>
          <w:tcPr>
            <w:tcW w:w="411" w:type="pct"/>
            <w:tcBorders>
              <w:top w:val="single" w:sz="8" w:space="0" w:color="auto"/>
              <w:left w:val="single" w:sz="4" w:space="0" w:color="auto"/>
              <w:bottom w:val="single" w:sz="4" w:space="0" w:color="auto"/>
              <w:right w:val="single" w:sz="4" w:space="0" w:color="auto"/>
            </w:tcBorders>
            <w:shd w:val="clear" w:color="000000" w:fill="538DD5"/>
            <w:vAlign w:val="center"/>
            <w:hideMark/>
          </w:tcPr>
          <w:p w:rsidR="00C310DF" w:rsidRPr="00BC7F3F" w:rsidRDefault="00C310DF" w:rsidP="00C310DF">
            <w:pPr>
              <w:spacing w:after="0" w:line="240" w:lineRule="auto"/>
              <w:jc w:val="center"/>
              <w:rPr>
                <w:rFonts w:ascii="Verdana" w:eastAsia="Times New Roman" w:hAnsi="Verdana" w:cs="Times New Roman"/>
                <w:b/>
                <w:bCs/>
                <w:color w:val="FFFFFF"/>
                <w:sz w:val="16"/>
                <w:szCs w:val="18"/>
                <w:lang w:eastAsia="es-CO"/>
              </w:rPr>
            </w:pPr>
            <w:r w:rsidRPr="00BC7F3F">
              <w:rPr>
                <w:rFonts w:ascii="Verdana" w:eastAsia="Times New Roman" w:hAnsi="Verdana" w:cs="Times New Roman"/>
                <w:b/>
                <w:bCs/>
                <w:color w:val="FFFFFF"/>
                <w:sz w:val="16"/>
                <w:szCs w:val="18"/>
                <w:lang w:eastAsia="es-CO"/>
              </w:rPr>
              <w:t>91%</w:t>
            </w:r>
          </w:p>
        </w:tc>
        <w:tc>
          <w:tcPr>
            <w:tcW w:w="396" w:type="pct"/>
            <w:tcBorders>
              <w:top w:val="single" w:sz="8" w:space="0" w:color="auto"/>
              <w:left w:val="single" w:sz="4" w:space="0" w:color="auto"/>
              <w:bottom w:val="single" w:sz="4" w:space="0" w:color="auto"/>
              <w:right w:val="single" w:sz="8" w:space="0" w:color="auto"/>
            </w:tcBorders>
            <w:shd w:val="clear" w:color="000000" w:fill="538DD5"/>
            <w:vAlign w:val="center"/>
            <w:hideMark/>
          </w:tcPr>
          <w:p w:rsidR="00C310DF" w:rsidRPr="00BC7F3F" w:rsidRDefault="00C310DF" w:rsidP="00C310DF">
            <w:pPr>
              <w:spacing w:after="0" w:line="240" w:lineRule="auto"/>
              <w:jc w:val="center"/>
              <w:rPr>
                <w:rFonts w:ascii="Verdana" w:eastAsia="Times New Roman" w:hAnsi="Verdana" w:cs="Times New Roman"/>
                <w:b/>
                <w:bCs/>
                <w:color w:val="FFFFFF"/>
                <w:sz w:val="16"/>
                <w:szCs w:val="18"/>
                <w:lang w:eastAsia="es-CO"/>
              </w:rPr>
            </w:pPr>
            <w:r w:rsidRPr="00BC7F3F">
              <w:rPr>
                <w:rFonts w:ascii="Verdana" w:eastAsia="Times New Roman" w:hAnsi="Verdana" w:cs="Times New Roman"/>
                <w:b/>
                <w:bCs/>
                <w:color w:val="FFFFFF"/>
                <w:sz w:val="16"/>
                <w:szCs w:val="18"/>
                <w:lang w:eastAsia="es-CO"/>
              </w:rPr>
              <w:t>76%</w:t>
            </w:r>
          </w:p>
        </w:tc>
      </w:tr>
      <w:tr w:rsidR="00C310DF" w:rsidRPr="00BC7F3F" w:rsidTr="00C310DF">
        <w:trPr>
          <w:trHeight w:val="185"/>
          <w:jc w:val="center"/>
        </w:trPr>
        <w:tc>
          <w:tcPr>
            <w:tcW w:w="1167" w:type="pct"/>
            <w:tcBorders>
              <w:top w:val="single" w:sz="4" w:space="0" w:color="auto"/>
              <w:left w:val="single" w:sz="8" w:space="0" w:color="auto"/>
              <w:bottom w:val="single" w:sz="4" w:space="0" w:color="auto"/>
              <w:right w:val="single" w:sz="4" w:space="0" w:color="auto"/>
            </w:tcBorders>
            <w:shd w:val="clear" w:color="000000" w:fill="808080"/>
            <w:vAlign w:val="center"/>
            <w:hideMark/>
          </w:tcPr>
          <w:p w:rsidR="00C310DF" w:rsidRPr="00BC7F3F" w:rsidRDefault="00C310DF" w:rsidP="00C310DF">
            <w:pPr>
              <w:spacing w:after="0" w:line="240" w:lineRule="auto"/>
              <w:jc w:val="center"/>
              <w:rPr>
                <w:rFonts w:ascii="Verdana" w:eastAsia="Times New Roman" w:hAnsi="Verdana" w:cs="Times New Roman"/>
                <w:b/>
                <w:bCs/>
                <w:color w:val="FFFFFF"/>
                <w:sz w:val="16"/>
                <w:szCs w:val="18"/>
                <w:lang w:eastAsia="es-CO"/>
              </w:rPr>
            </w:pPr>
            <w:r w:rsidRPr="00BC7F3F">
              <w:rPr>
                <w:rFonts w:ascii="Verdana" w:eastAsia="Times New Roman" w:hAnsi="Verdana" w:cs="Times New Roman"/>
                <w:b/>
                <w:bCs/>
                <w:color w:val="FFFFFF"/>
                <w:sz w:val="16"/>
                <w:szCs w:val="18"/>
                <w:lang w:eastAsia="es-CO"/>
              </w:rPr>
              <w:t>Funcionamiento</w:t>
            </w:r>
          </w:p>
        </w:tc>
        <w:tc>
          <w:tcPr>
            <w:tcW w:w="611" w:type="pct"/>
            <w:tcBorders>
              <w:top w:val="single" w:sz="4" w:space="0" w:color="auto"/>
              <w:left w:val="single" w:sz="4" w:space="0" w:color="auto"/>
              <w:bottom w:val="single" w:sz="4" w:space="0" w:color="auto"/>
              <w:right w:val="single" w:sz="4" w:space="0" w:color="auto"/>
            </w:tcBorders>
            <w:shd w:val="clear" w:color="000000" w:fill="808080"/>
            <w:vAlign w:val="center"/>
            <w:hideMark/>
          </w:tcPr>
          <w:p w:rsidR="00C310DF" w:rsidRPr="00BC7F3F" w:rsidRDefault="00C310DF" w:rsidP="00C310DF">
            <w:pPr>
              <w:spacing w:after="0" w:line="240" w:lineRule="auto"/>
              <w:jc w:val="right"/>
              <w:rPr>
                <w:rFonts w:ascii="Verdana" w:eastAsia="Times New Roman" w:hAnsi="Verdana" w:cs="Times New Roman"/>
                <w:b/>
                <w:bCs/>
                <w:color w:val="FFFFFF"/>
                <w:sz w:val="16"/>
                <w:szCs w:val="18"/>
                <w:lang w:eastAsia="es-CO"/>
              </w:rPr>
            </w:pPr>
            <w:r w:rsidRPr="00BC7F3F">
              <w:rPr>
                <w:rFonts w:ascii="Verdana" w:eastAsia="Times New Roman" w:hAnsi="Verdana" w:cs="Times New Roman"/>
                <w:b/>
                <w:bCs/>
                <w:color w:val="FFFFFF"/>
                <w:sz w:val="16"/>
                <w:szCs w:val="18"/>
                <w:lang w:eastAsia="es-CO"/>
              </w:rPr>
              <w:t>10.840,00</w:t>
            </w:r>
          </w:p>
        </w:tc>
        <w:tc>
          <w:tcPr>
            <w:tcW w:w="726" w:type="pct"/>
            <w:tcBorders>
              <w:top w:val="single" w:sz="4" w:space="0" w:color="auto"/>
              <w:left w:val="single" w:sz="4" w:space="0" w:color="auto"/>
              <w:bottom w:val="single" w:sz="4" w:space="0" w:color="auto"/>
              <w:right w:val="single" w:sz="4" w:space="0" w:color="auto"/>
            </w:tcBorders>
            <w:shd w:val="clear" w:color="000000" w:fill="808080"/>
            <w:vAlign w:val="center"/>
            <w:hideMark/>
          </w:tcPr>
          <w:p w:rsidR="00C310DF" w:rsidRPr="00BC7F3F" w:rsidRDefault="00C310DF" w:rsidP="00C310DF">
            <w:pPr>
              <w:spacing w:after="0" w:line="240" w:lineRule="auto"/>
              <w:jc w:val="right"/>
              <w:rPr>
                <w:rFonts w:ascii="Verdana" w:eastAsia="Times New Roman" w:hAnsi="Verdana" w:cs="Times New Roman"/>
                <w:b/>
                <w:bCs/>
                <w:color w:val="FFFFFF"/>
                <w:sz w:val="16"/>
                <w:szCs w:val="18"/>
                <w:lang w:eastAsia="es-CO"/>
              </w:rPr>
            </w:pPr>
            <w:r w:rsidRPr="00BC7F3F">
              <w:rPr>
                <w:rFonts w:ascii="Verdana" w:eastAsia="Times New Roman" w:hAnsi="Verdana" w:cs="Times New Roman"/>
                <w:b/>
                <w:bCs/>
                <w:color w:val="FFFFFF"/>
                <w:sz w:val="16"/>
                <w:szCs w:val="18"/>
                <w:lang w:eastAsia="es-CO"/>
              </w:rPr>
              <w:t>10.281,07</w:t>
            </w:r>
          </w:p>
        </w:tc>
        <w:tc>
          <w:tcPr>
            <w:tcW w:w="640" w:type="pct"/>
            <w:tcBorders>
              <w:top w:val="single" w:sz="4" w:space="0" w:color="auto"/>
              <w:left w:val="single" w:sz="4" w:space="0" w:color="auto"/>
              <w:bottom w:val="single" w:sz="4" w:space="0" w:color="auto"/>
              <w:right w:val="single" w:sz="4" w:space="0" w:color="auto"/>
            </w:tcBorders>
            <w:shd w:val="clear" w:color="000000" w:fill="808080"/>
            <w:vAlign w:val="center"/>
            <w:hideMark/>
          </w:tcPr>
          <w:p w:rsidR="00C310DF" w:rsidRPr="00BC7F3F" w:rsidRDefault="00C310DF" w:rsidP="00C310DF">
            <w:pPr>
              <w:spacing w:after="0" w:line="240" w:lineRule="auto"/>
              <w:jc w:val="right"/>
              <w:rPr>
                <w:rFonts w:ascii="Verdana" w:eastAsia="Times New Roman" w:hAnsi="Verdana" w:cs="Times New Roman"/>
                <w:b/>
                <w:bCs/>
                <w:color w:val="FFFFFF"/>
                <w:sz w:val="16"/>
                <w:szCs w:val="18"/>
                <w:lang w:eastAsia="es-CO"/>
              </w:rPr>
            </w:pPr>
            <w:r w:rsidRPr="00BC7F3F">
              <w:rPr>
                <w:rFonts w:ascii="Verdana" w:eastAsia="Times New Roman" w:hAnsi="Verdana" w:cs="Times New Roman"/>
                <w:b/>
                <w:bCs/>
                <w:color w:val="FFFFFF"/>
                <w:sz w:val="16"/>
                <w:szCs w:val="18"/>
                <w:lang w:eastAsia="es-CO"/>
              </w:rPr>
              <w:t>10.278,27</w:t>
            </w:r>
          </w:p>
        </w:tc>
        <w:tc>
          <w:tcPr>
            <w:tcW w:w="645" w:type="pct"/>
            <w:tcBorders>
              <w:top w:val="single" w:sz="4" w:space="0" w:color="auto"/>
              <w:left w:val="single" w:sz="4" w:space="0" w:color="auto"/>
              <w:bottom w:val="single" w:sz="4" w:space="0" w:color="auto"/>
              <w:right w:val="nil"/>
            </w:tcBorders>
            <w:shd w:val="clear" w:color="000000" w:fill="808080"/>
            <w:vAlign w:val="center"/>
            <w:hideMark/>
          </w:tcPr>
          <w:p w:rsidR="00C310DF" w:rsidRPr="00BC7F3F" w:rsidRDefault="00C310DF" w:rsidP="00C310DF">
            <w:pPr>
              <w:spacing w:after="0" w:line="240" w:lineRule="auto"/>
              <w:jc w:val="right"/>
              <w:rPr>
                <w:rFonts w:ascii="Verdana" w:eastAsia="Times New Roman" w:hAnsi="Verdana" w:cs="Times New Roman"/>
                <w:b/>
                <w:bCs/>
                <w:color w:val="FFFFFF"/>
                <w:sz w:val="16"/>
                <w:szCs w:val="18"/>
                <w:lang w:eastAsia="es-CO"/>
              </w:rPr>
            </w:pPr>
            <w:r w:rsidRPr="00BC7F3F">
              <w:rPr>
                <w:rFonts w:ascii="Verdana" w:eastAsia="Times New Roman" w:hAnsi="Verdana" w:cs="Times New Roman"/>
                <w:b/>
                <w:bCs/>
                <w:color w:val="FFFFFF"/>
                <w:sz w:val="16"/>
                <w:szCs w:val="18"/>
                <w:lang w:eastAsia="es-CO"/>
              </w:rPr>
              <w:t>9.388,44</w:t>
            </w:r>
          </w:p>
        </w:tc>
        <w:tc>
          <w:tcPr>
            <w:tcW w:w="404" w:type="pct"/>
            <w:tcBorders>
              <w:top w:val="nil"/>
              <w:left w:val="single" w:sz="8" w:space="0" w:color="auto"/>
              <w:bottom w:val="single" w:sz="4" w:space="0" w:color="auto"/>
              <w:right w:val="single" w:sz="4" w:space="0" w:color="auto"/>
            </w:tcBorders>
            <w:shd w:val="clear" w:color="000000" w:fill="808080"/>
            <w:noWrap/>
            <w:vAlign w:val="center"/>
            <w:hideMark/>
          </w:tcPr>
          <w:p w:rsidR="00C310DF" w:rsidRPr="00BC7F3F" w:rsidRDefault="00C310DF" w:rsidP="00C310DF">
            <w:pPr>
              <w:spacing w:after="0" w:line="240" w:lineRule="auto"/>
              <w:jc w:val="center"/>
              <w:rPr>
                <w:rFonts w:ascii="Verdana" w:eastAsia="Times New Roman" w:hAnsi="Verdana" w:cs="Times New Roman"/>
                <w:b/>
                <w:color w:val="FFFFFF"/>
                <w:sz w:val="16"/>
                <w:szCs w:val="18"/>
                <w:lang w:eastAsia="es-CO"/>
              </w:rPr>
            </w:pPr>
            <w:r w:rsidRPr="00BC7F3F">
              <w:rPr>
                <w:rFonts w:ascii="Verdana" w:eastAsia="Times New Roman" w:hAnsi="Verdana" w:cs="Times New Roman"/>
                <w:b/>
                <w:color w:val="FFFFFF"/>
                <w:sz w:val="16"/>
                <w:szCs w:val="18"/>
                <w:lang w:eastAsia="es-CO"/>
              </w:rPr>
              <w:t>95%</w:t>
            </w:r>
          </w:p>
        </w:tc>
        <w:tc>
          <w:tcPr>
            <w:tcW w:w="411" w:type="pct"/>
            <w:tcBorders>
              <w:top w:val="nil"/>
              <w:left w:val="nil"/>
              <w:bottom w:val="single" w:sz="4" w:space="0" w:color="auto"/>
              <w:right w:val="single" w:sz="4" w:space="0" w:color="auto"/>
            </w:tcBorders>
            <w:shd w:val="clear" w:color="000000" w:fill="808080"/>
            <w:noWrap/>
            <w:vAlign w:val="center"/>
            <w:hideMark/>
          </w:tcPr>
          <w:p w:rsidR="00C310DF" w:rsidRPr="00BC7F3F" w:rsidRDefault="00C310DF" w:rsidP="00C310DF">
            <w:pPr>
              <w:spacing w:after="0" w:line="240" w:lineRule="auto"/>
              <w:jc w:val="center"/>
              <w:rPr>
                <w:rFonts w:ascii="Verdana" w:eastAsia="Times New Roman" w:hAnsi="Verdana" w:cs="Times New Roman"/>
                <w:b/>
                <w:color w:val="FFFFFF"/>
                <w:sz w:val="16"/>
                <w:szCs w:val="18"/>
                <w:lang w:eastAsia="es-CO"/>
              </w:rPr>
            </w:pPr>
            <w:r w:rsidRPr="00BC7F3F">
              <w:rPr>
                <w:rFonts w:ascii="Verdana" w:eastAsia="Times New Roman" w:hAnsi="Verdana" w:cs="Times New Roman"/>
                <w:b/>
                <w:color w:val="FFFFFF"/>
                <w:sz w:val="16"/>
                <w:szCs w:val="18"/>
                <w:lang w:eastAsia="es-CO"/>
              </w:rPr>
              <w:t>95%</w:t>
            </w:r>
          </w:p>
        </w:tc>
        <w:tc>
          <w:tcPr>
            <w:tcW w:w="396" w:type="pct"/>
            <w:tcBorders>
              <w:top w:val="single" w:sz="4" w:space="0" w:color="auto"/>
              <w:left w:val="single" w:sz="4" w:space="0" w:color="auto"/>
              <w:bottom w:val="single" w:sz="4" w:space="0" w:color="auto"/>
              <w:right w:val="single" w:sz="8" w:space="0" w:color="auto"/>
            </w:tcBorders>
            <w:shd w:val="clear" w:color="000000" w:fill="808080"/>
            <w:noWrap/>
            <w:vAlign w:val="center"/>
            <w:hideMark/>
          </w:tcPr>
          <w:p w:rsidR="00C310DF" w:rsidRPr="00BC7F3F" w:rsidRDefault="00C310DF" w:rsidP="00C310DF">
            <w:pPr>
              <w:spacing w:after="0" w:line="240" w:lineRule="auto"/>
              <w:jc w:val="center"/>
              <w:rPr>
                <w:rFonts w:ascii="Verdana" w:eastAsia="Times New Roman" w:hAnsi="Verdana" w:cs="Times New Roman"/>
                <w:b/>
                <w:color w:val="FFFFFF"/>
                <w:sz w:val="16"/>
                <w:szCs w:val="18"/>
                <w:lang w:eastAsia="es-CO"/>
              </w:rPr>
            </w:pPr>
            <w:r w:rsidRPr="00BC7F3F">
              <w:rPr>
                <w:rFonts w:ascii="Verdana" w:eastAsia="Times New Roman" w:hAnsi="Verdana" w:cs="Times New Roman"/>
                <w:b/>
                <w:color w:val="FFFFFF"/>
                <w:sz w:val="16"/>
                <w:szCs w:val="18"/>
                <w:lang w:eastAsia="es-CO"/>
              </w:rPr>
              <w:t>87%</w:t>
            </w:r>
          </w:p>
        </w:tc>
      </w:tr>
      <w:tr w:rsidR="00C310DF" w:rsidRPr="00BC7F3F" w:rsidTr="00C310DF">
        <w:trPr>
          <w:trHeight w:val="145"/>
          <w:jc w:val="center"/>
        </w:trPr>
        <w:tc>
          <w:tcPr>
            <w:tcW w:w="1167"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C310DF" w:rsidRPr="00BC7F3F" w:rsidRDefault="00C310DF" w:rsidP="00C310DF">
            <w:pPr>
              <w:spacing w:after="0" w:line="240" w:lineRule="auto"/>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Gastos de Personal</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BC7F3F" w:rsidRDefault="00C310DF" w:rsidP="00C310DF">
            <w:pPr>
              <w:spacing w:after="0" w:line="240" w:lineRule="auto"/>
              <w:jc w:val="right"/>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7.339,00</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BC7F3F" w:rsidRDefault="00C310DF" w:rsidP="00C310DF">
            <w:pPr>
              <w:spacing w:after="0" w:line="240" w:lineRule="auto"/>
              <w:jc w:val="right"/>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6.850,99</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BC7F3F" w:rsidRDefault="00C310DF" w:rsidP="00C310DF">
            <w:pPr>
              <w:spacing w:after="0" w:line="240" w:lineRule="auto"/>
              <w:jc w:val="right"/>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6.850,99</w:t>
            </w:r>
          </w:p>
        </w:tc>
        <w:tc>
          <w:tcPr>
            <w:tcW w:w="645" w:type="pct"/>
            <w:tcBorders>
              <w:top w:val="single" w:sz="4" w:space="0" w:color="auto"/>
              <w:left w:val="single" w:sz="4" w:space="0" w:color="auto"/>
              <w:bottom w:val="single" w:sz="4" w:space="0" w:color="auto"/>
              <w:right w:val="nil"/>
            </w:tcBorders>
            <w:shd w:val="clear" w:color="auto" w:fill="auto"/>
            <w:vAlign w:val="center"/>
            <w:hideMark/>
          </w:tcPr>
          <w:p w:rsidR="00C310DF" w:rsidRPr="00BC7F3F" w:rsidRDefault="00C310DF" w:rsidP="00C310DF">
            <w:pPr>
              <w:spacing w:after="0" w:line="240" w:lineRule="auto"/>
              <w:jc w:val="right"/>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6.850,99</w:t>
            </w:r>
          </w:p>
        </w:tc>
        <w:tc>
          <w:tcPr>
            <w:tcW w:w="40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310DF" w:rsidRPr="00BC7F3F" w:rsidRDefault="00C310DF" w:rsidP="00C310DF">
            <w:pPr>
              <w:spacing w:after="0" w:line="240" w:lineRule="auto"/>
              <w:jc w:val="center"/>
              <w:rPr>
                <w:rFonts w:ascii="Verdana" w:eastAsia="Times New Roman" w:hAnsi="Verdana" w:cs="Times New Roman"/>
                <w:sz w:val="16"/>
                <w:szCs w:val="18"/>
                <w:lang w:eastAsia="es-CO"/>
              </w:rPr>
            </w:pPr>
            <w:r w:rsidRPr="00BC7F3F">
              <w:rPr>
                <w:rFonts w:ascii="Verdana" w:eastAsia="Times New Roman" w:hAnsi="Verdana" w:cs="Times New Roman"/>
                <w:sz w:val="16"/>
                <w:szCs w:val="18"/>
                <w:lang w:eastAsia="es-CO"/>
              </w:rPr>
              <w:t>93%</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0DF" w:rsidRPr="00BC7F3F" w:rsidRDefault="00C310DF" w:rsidP="00C310DF">
            <w:pPr>
              <w:spacing w:after="0" w:line="240" w:lineRule="auto"/>
              <w:jc w:val="center"/>
              <w:rPr>
                <w:rFonts w:ascii="Verdana" w:eastAsia="Times New Roman" w:hAnsi="Verdana" w:cs="Times New Roman"/>
                <w:sz w:val="16"/>
                <w:szCs w:val="18"/>
                <w:lang w:eastAsia="es-CO"/>
              </w:rPr>
            </w:pPr>
            <w:r w:rsidRPr="00BC7F3F">
              <w:rPr>
                <w:rFonts w:ascii="Verdana" w:eastAsia="Times New Roman" w:hAnsi="Verdana" w:cs="Times New Roman"/>
                <w:sz w:val="16"/>
                <w:szCs w:val="18"/>
                <w:lang w:eastAsia="es-CO"/>
              </w:rPr>
              <w:t>93%</w:t>
            </w:r>
          </w:p>
        </w:tc>
        <w:tc>
          <w:tcPr>
            <w:tcW w:w="396"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310DF" w:rsidRPr="00BC7F3F" w:rsidRDefault="00C310DF" w:rsidP="00C310DF">
            <w:pPr>
              <w:spacing w:after="0" w:line="240" w:lineRule="auto"/>
              <w:jc w:val="center"/>
              <w:rPr>
                <w:rFonts w:ascii="Verdana" w:eastAsia="Times New Roman" w:hAnsi="Verdana" w:cs="Times New Roman"/>
                <w:sz w:val="16"/>
                <w:szCs w:val="18"/>
                <w:lang w:eastAsia="es-CO"/>
              </w:rPr>
            </w:pPr>
            <w:r w:rsidRPr="00BC7F3F">
              <w:rPr>
                <w:rFonts w:ascii="Verdana" w:eastAsia="Times New Roman" w:hAnsi="Verdana" w:cs="Times New Roman"/>
                <w:sz w:val="16"/>
                <w:szCs w:val="18"/>
                <w:lang w:eastAsia="es-CO"/>
              </w:rPr>
              <w:t>93%</w:t>
            </w:r>
          </w:p>
        </w:tc>
      </w:tr>
      <w:tr w:rsidR="00C310DF" w:rsidRPr="00BC7F3F" w:rsidTr="00C310DF">
        <w:trPr>
          <w:trHeight w:val="191"/>
          <w:jc w:val="center"/>
        </w:trPr>
        <w:tc>
          <w:tcPr>
            <w:tcW w:w="1167" w:type="pct"/>
            <w:tcBorders>
              <w:top w:val="single" w:sz="4" w:space="0" w:color="auto"/>
              <w:left w:val="single" w:sz="8" w:space="0" w:color="auto"/>
              <w:bottom w:val="single" w:sz="4" w:space="0" w:color="auto"/>
              <w:right w:val="single" w:sz="4" w:space="0" w:color="auto"/>
            </w:tcBorders>
            <w:shd w:val="clear" w:color="DCE6F1" w:fill="DCE6F1"/>
            <w:vAlign w:val="center"/>
            <w:hideMark/>
          </w:tcPr>
          <w:p w:rsidR="00C310DF" w:rsidRPr="00BC7F3F" w:rsidRDefault="00C310DF" w:rsidP="00C310DF">
            <w:pPr>
              <w:spacing w:after="0" w:line="240" w:lineRule="auto"/>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Gastos Generales</w:t>
            </w:r>
          </w:p>
        </w:tc>
        <w:tc>
          <w:tcPr>
            <w:tcW w:w="611"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BC7F3F" w:rsidRDefault="00C310DF" w:rsidP="00C310DF">
            <w:pPr>
              <w:spacing w:after="0" w:line="240" w:lineRule="auto"/>
              <w:jc w:val="right"/>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3.398,00</w:t>
            </w:r>
          </w:p>
        </w:tc>
        <w:tc>
          <w:tcPr>
            <w:tcW w:w="726"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BC7F3F" w:rsidRDefault="00C310DF" w:rsidP="00C310DF">
            <w:pPr>
              <w:spacing w:after="0" w:line="240" w:lineRule="auto"/>
              <w:jc w:val="right"/>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3.372,14</w:t>
            </w:r>
          </w:p>
        </w:tc>
        <w:tc>
          <w:tcPr>
            <w:tcW w:w="640"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BC7F3F" w:rsidRDefault="00C310DF" w:rsidP="00C310DF">
            <w:pPr>
              <w:spacing w:after="0" w:line="240" w:lineRule="auto"/>
              <w:jc w:val="right"/>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3.369,34</w:t>
            </w:r>
          </w:p>
        </w:tc>
        <w:tc>
          <w:tcPr>
            <w:tcW w:w="645" w:type="pct"/>
            <w:tcBorders>
              <w:top w:val="single" w:sz="4" w:space="0" w:color="auto"/>
              <w:left w:val="single" w:sz="4" w:space="0" w:color="auto"/>
              <w:bottom w:val="single" w:sz="4" w:space="0" w:color="auto"/>
              <w:right w:val="nil"/>
            </w:tcBorders>
            <w:shd w:val="clear" w:color="DCE6F1" w:fill="DCE6F1"/>
            <w:vAlign w:val="center"/>
            <w:hideMark/>
          </w:tcPr>
          <w:p w:rsidR="00C310DF" w:rsidRPr="00BC7F3F" w:rsidRDefault="00C310DF" w:rsidP="00C310DF">
            <w:pPr>
              <w:spacing w:after="0" w:line="240" w:lineRule="auto"/>
              <w:jc w:val="right"/>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2.479,52</w:t>
            </w:r>
          </w:p>
        </w:tc>
        <w:tc>
          <w:tcPr>
            <w:tcW w:w="404" w:type="pct"/>
            <w:tcBorders>
              <w:top w:val="single" w:sz="4" w:space="0" w:color="auto"/>
              <w:left w:val="single" w:sz="8" w:space="0" w:color="auto"/>
              <w:bottom w:val="single" w:sz="4" w:space="0" w:color="auto"/>
              <w:right w:val="single" w:sz="4" w:space="0" w:color="auto"/>
            </w:tcBorders>
            <w:shd w:val="clear" w:color="DCE6F1" w:fill="DCE6F1"/>
            <w:noWrap/>
            <w:vAlign w:val="center"/>
            <w:hideMark/>
          </w:tcPr>
          <w:p w:rsidR="00C310DF" w:rsidRPr="00BC7F3F" w:rsidRDefault="00C310DF" w:rsidP="00C310DF">
            <w:pPr>
              <w:spacing w:after="0" w:line="240" w:lineRule="auto"/>
              <w:jc w:val="center"/>
              <w:rPr>
                <w:rFonts w:ascii="Verdana" w:eastAsia="Times New Roman" w:hAnsi="Verdana" w:cs="Times New Roman"/>
                <w:sz w:val="16"/>
                <w:szCs w:val="18"/>
                <w:lang w:eastAsia="es-CO"/>
              </w:rPr>
            </w:pPr>
            <w:r w:rsidRPr="00BC7F3F">
              <w:rPr>
                <w:rFonts w:ascii="Verdana" w:eastAsia="Times New Roman" w:hAnsi="Verdana" w:cs="Times New Roman"/>
                <w:sz w:val="16"/>
                <w:szCs w:val="18"/>
                <w:lang w:eastAsia="es-CO"/>
              </w:rPr>
              <w:t>99%</w:t>
            </w:r>
          </w:p>
        </w:tc>
        <w:tc>
          <w:tcPr>
            <w:tcW w:w="41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C310DF" w:rsidRPr="00BC7F3F" w:rsidRDefault="00C310DF" w:rsidP="00C310DF">
            <w:pPr>
              <w:spacing w:after="0" w:line="240" w:lineRule="auto"/>
              <w:jc w:val="center"/>
              <w:rPr>
                <w:rFonts w:ascii="Verdana" w:eastAsia="Times New Roman" w:hAnsi="Verdana" w:cs="Times New Roman"/>
                <w:sz w:val="16"/>
                <w:szCs w:val="18"/>
                <w:lang w:eastAsia="es-CO"/>
              </w:rPr>
            </w:pPr>
            <w:r w:rsidRPr="00BC7F3F">
              <w:rPr>
                <w:rFonts w:ascii="Verdana" w:eastAsia="Times New Roman" w:hAnsi="Verdana" w:cs="Times New Roman"/>
                <w:sz w:val="16"/>
                <w:szCs w:val="18"/>
                <w:lang w:eastAsia="es-CO"/>
              </w:rPr>
              <w:t>99%</w:t>
            </w:r>
          </w:p>
        </w:tc>
        <w:tc>
          <w:tcPr>
            <w:tcW w:w="396" w:type="pct"/>
            <w:tcBorders>
              <w:top w:val="single" w:sz="4" w:space="0" w:color="auto"/>
              <w:left w:val="single" w:sz="4" w:space="0" w:color="auto"/>
              <w:bottom w:val="single" w:sz="4" w:space="0" w:color="auto"/>
              <w:right w:val="single" w:sz="8" w:space="0" w:color="auto"/>
            </w:tcBorders>
            <w:shd w:val="clear" w:color="DCE6F1" w:fill="DCE6F1"/>
            <w:noWrap/>
            <w:vAlign w:val="center"/>
            <w:hideMark/>
          </w:tcPr>
          <w:p w:rsidR="00C310DF" w:rsidRPr="00BC7F3F" w:rsidRDefault="00C310DF" w:rsidP="00C310DF">
            <w:pPr>
              <w:spacing w:after="0" w:line="240" w:lineRule="auto"/>
              <w:jc w:val="center"/>
              <w:rPr>
                <w:rFonts w:ascii="Verdana" w:eastAsia="Times New Roman" w:hAnsi="Verdana" w:cs="Times New Roman"/>
                <w:sz w:val="16"/>
                <w:szCs w:val="18"/>
                <w:lang w:eastAsia="es-CO"/>
              </w:rPr>
            </w:pPr>
            <w:r w:rsidRPr="00BC7F3F">
              <w:rPr>
                <w:rFonts w:ascii="Verdana" w:eastAsia="Times New Roman" w:hAnsi="Verdana" w:cs="Times New Roman"/>
                <w:sz w:val="16"/>
                <w:szCs w:val="18"/>
                <w:lang w:eastAsia="es-CO"/>
              </w:rPr>
              <w:t>73%</w:t>
            </w:r>
          </w:p>
        </w:tc>
      </w:tr>
      <w:tr w:rsidR="00C310DF" w:rsidRPr="00BC7F3F" w:rsidTr="00C310DF">
        <w:trPr>
          <w:trHeight w:val="237"/>
          <w:jc w:val="center"/>
        </w:trPr>
        <w:tc>
          <w:tcPr>
            <w:tcW w:w="1167"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C310DF" w:rsidRPr="00BC7F3F" w:rsidRDefault="00C310DF" w:rsidP="00C310DF">
            <w:pPr>
              <w:spacing w:after="0" w:line="240" w:lineRule="auto"/>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Transferencias</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BC7F3F" w:rsidRDefault="00C310DF" w:rsidP="00C310DF">
            <w:pPr>
              <w:spacing w:after="0" w:line="240" w:lineRule="auto"/>
              <w:jc w:val="right"/>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103,00</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BC7F3F" w:rsidRDefault="00C310DF" w:rsidP="00C310DF">
            <w:pPr>
              <w:spacing w:after="0" w:line="240" w:lineRule="auto"/>
              <w:jc w:val="right"/>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57,93</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BC7F3F" w:rsidRDefault="00C310DF" w:rsidP="00C310DF">
            <w:pPr>
              <w:spacing w:after="0" w:line="240" w:lineRule="auto"/>
              <w:jc w:val="right"/>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57,93</w:t>
            </w:r>
          </w:p>
        </w:tc>
        <w:tc>
          <w:tcPr>
            <w:tcW w:w="645" w:type="pct"/>
            <w:tcBorders>
              <w:top w:val="single" w:sz="4" w:space="0" w:color="auto"/>
              <w:left w:val="single" w:sz="4" w:space="0" w:color="auto"/>
              <w:bottom w:val="single" w:sz="4" w:space="0" w:color="auto"/>
              <w:right w:val="nil"/>
            </w:tcBorders>
            <w:shd w:val="clear" w:color="auto" w:fill="auto"/>
            <w:vAlign w:val="center"/>
            <w:hideMark/>
          </w:tcPr>
          <w:p w:rsidR="00C310DF" w:rsidRPr="00BC7F3F" w:rsidRDefault="00C310DF" w:rsidP="00C310DF">
            <w:pPr>
              <w:spacing w:after="0" w:line="240" w:lineRule="auto"/>
              <w:jc w:val="right"/>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57,93</w:t>
            </w:r>
          </w:p>
        </w:tc>
        <w:tc>
          <w:tcPr>
            <w:tcW w:w="40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310DF" w:rsidRPr="00BC7F3F" w:rsidRDefault="00C310DF" w:rsidP="00C310DF">
            <w:pPr>
              <w:spacing w:after="0" w:line="240" w:lineRule="auto"/>
              <w:jc w:val="center"/>
              <w:rPr>
                <w:rFonts w:ascii="Verdana" w:eastAsia="Times New Roman" w:hAnsi="Verdana" w:cs="Times New Roman"/>
                <w:sz w:val="16"/>
                <w:szCs w:val="18"/>
                <w:lang w:eastAsia="es-CO"/>
              </w:rPr>
            </w:pPr>
            <w:r w:rsidRPr="00BC7F3F">
              <w:rPr>
                <w:rFonts w:ascii="Verdana" w:eastAsia="Times New Roman" w:hAnsi="Verdana" w:cs="Times New Roman"/>
                <w:sz w:val="16"/>
                <w:szCs w:val="18"/>
                <w:lang w:eastAsia="es-CO"/>
              </w:rPr>
              <w:t>56%</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0DF" w:rsidRPr="00BC7F3F" w:rsidRDefault="00C310DF" w:rsidP="00C310DF">
            <w:pPr>
              <w:spacing w:after="0" w:line="240" w:lineRule="auto"/>
              <w:jc w:val="center"/>
              <w:rPr>
                <w:rFonts w:ascii="Verdana" w:eastAsia="Times New Roman" w:hAnsi="Verdana" w:cs="Times New Roman"/>
                <w:sz w:val="16"/>
                <w:szCs w:val="18"/>
                <w:lang w:eastAsia="es-CO"/>
              </w:rPr>
            </w:pPr>
            <w:r w:rsidRPr="00BC7F3F">
              <w:rPr>
                <w:rFonts w:ascii="Verdana" w:eastAsia="Times New Roman" w:hAnsi="Verdana" w:cs="Times New Roman"/>
                <w:sz w:val="16"/>
                <w:szCs w:val="18"/>
                <w:lang w:eastAsia="es-CO"/>
              </w:rPr>
              <w:t>56%</w:t>
            </w:r>
          </w:p>
        </w:tc>
        <w:tc>
          <w:tcPr>
            <w:tcW w:w="396"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310DF" w:rsidRPr="00BC7F3F" w:rsidRDefault="00C310DF" w:rsidP="00C310DF">
            <w:pPr>
              <w:spacing w:after="0" w:line="240" w:lineRule="auto"/>
              <w:jc w:val="center"/>
              <w:rPr>
                <w:rFonts w:ascii="Verdana" w:eastAsia="Times New Roman" w:hAnsi="Verdana" w:cs="Times New Roman"/>
                <w:sz w:val="16"/>
                <w:szCs w:val="18"/>
                <w:lang w:eastAsia="es-CO"/>
              </w:rPr>
            </w:pPr>
            <w:r w:rsidRPr="00BC7F3F">
              <w:rPr>
                <w:rFonts w:ascii="Verdana" w:eastAsia="Times New Roman" w:hAnsi="Verdana" w:cs="Times New Roman"/>
                <w:sz w:val="16"/>
                <w:szCs w:val="18"/>
                <w:lang w:eastAsia="es-CO"/>
              </w:rPr>
              <w:t>56%</w:t>
            </w:r>
          </w:p>
        </w:tc>
      </w:tr>
      <w:tr w:rsidR="00C310DF" w:rsidRPr="00BC7F3F" w:rsidTr="00C310DF">
        <w:trPr>
          <w:trHeight w:val="183"/>
          <w:jc w:val="center"/>
        </w:trPr>
        <w:tc>
          <w:tcPr>
            <w:tcW w:w="1167" w:type="pct"/>
            <w:tcBorders>
              <w:top w:val="single" w:sz="4" w:space="0" w:color="auto"/>
              <w:left w:val="single" w:sz="8" w:space="0" w:color="auto"/>
              <w:bottom w:val="single" w:sz="4" w:space="0" w:color="auto"/>
              <w:right w:val="single" w:sz="4" w:space="0" w:color="auto"/>
            </w:tcBorders>
            <w:shd w:val="clear" w:color="000000" w:fill="808080"/>
            <w:vAlign w:val="center"/>
            <w:hideMark/>
          </w:tcPr>
          <w:p w:rsidR="00C310DF" w:rsidRPr="00BC7F3F" w:rsidRDefault="00C310DF" w:rsidP="00C310DF">
            <w:pPr>
              <w:spacing w:after="0" w:line="240" w:lineRule="auto"/>
              <w:jc w:val="center"/>
              <w:rPr>
                <w:rFonts w:ascii="Verdana" w:eastAsia="Times New Roman" w:hAnsi="Verdana" w:cs="Times New Roman"/>
                <w:b/>
                <w:bCs/>
                <w:color w:val="FFFFFF"/>
                <w:sz w:val="16"/>
                <w:szCs w:val="18"/>
                <w:lang w:eastAsia="es-CO"/>
              </w:rPr>
            </w:pPr>
            <w:r w:rsidRPr="00BC7F3F">
              <w:rPr>
                <w:rFonts w:ascii="Verdana" w:eastAsia="Times New Roman" w:hAnsi="Verdana" w:cs="Times New Roman"/>
                <w:b/>
                <w:bCs/>
                <w:color w:val="FFFFFF"/>
                <w:sz w:val="16"/>
                <w:szCs w:val="18"/>
                <w:lang w:eastAsia="es-CO"/>
              </w:rPr>
              <w:t>Inversión</w:t>
            </w:r>
          </w:p>
        </w:tc>
        <w:tc>
          <w:tcPr>
            <w:tcW w:w="611" w:type="pct"/>
            <w:tcBorders>
              <w:top w:val="single" w:sz="4" w:space="0" w:color="auto"/>
              <w:left w:val="single" w:sz="4" w:space="0" w:color="auto"/>
              <w:bottom w:val="single" w:sz="4" w:space="0" w:color="auto"/>
              <w:right w:val="single" w:sz="4" w:space="0" w:color="auto"/>
            </w:tcBorders>
            <w:shd w:val="clear" w:color="000000" w:fill="808080"/>
            <w:vAlign w:val="center"/>
            <w:hideMark/>
          </w:tcPr>
          <w:p w:rsidR="00C310DF" w:rsidRPr="00BC7F3F" w:rsidRDefault="00C310DF" w:rsidP="00C310DF">
            <w:pPr>
              <w:spacing w:after="0" w:line="240" w:lineRule="auto"/>
              <w:jc w:val="right"/>
              <w:rPr>
                <w:rFonts w:ascii="Verdana" w:eastAsia="Times New Roman" w:hAnsi="Verdana" w:cs="Times New Roman"/>
                <w:b/>
                <w:bCs/>
                <w:color w:val="FFFFFF"/>
                <w:sz w:val="16"/>
                <w:szCs w:val="18"/>
                <w:lang w:eastAsia="es-CO"/>
              </w:rPr>
            </w:pPr>
            <w:r w:rsidRPr="00BC7F3F">
              <w:rPr>
                <w:rFonts w:ascii="Verdana" w:eastAsia="Times New Roman" w:hAnsi="Verdana" w:cs="Times New Roman"/>
                <w:b/>
                <w:bCs/>
                <w:color w:val="FFFFFF"/>
                <w:sz w:val="16"/>
                <w:szCs w:val="18"/>
                <w:lang w:eastAsia="es-CO"/>
              </w:rPr>
              <w:t>30.125,00</w:t>
            </w:r>
          </w:p>
        </w:tc>
        <w:tc>
          <w:tcPr>
            <w:tcW w:w="726" w:type="pct"/>
            <w:tcBorders>
              <w:top w:val="single" w:sz="4" w:space="0" w:color="auto"/>
              <w:left w:val="single" w:sz="4" w:space="0" w:color="auto"/>
              <w:bottom w:val="single" w:sz="4" w:space="0" w:color="auto"/>
              <w:right w:val="single" w:sz="4" w:space="0" w:color="auto"/>
            </w:tcBorders>
            <w:shd w:val="clear" w:color="000000" w:fill="808080"/>
            <w:vAlign w:val="center"/>
            <w:hideMark/>
          </w:tcPr>
          <w:p w:rsidR="00C310DF" w:rsidRPr="00BC7F3F" w:rsidRDefault="00C310DF" w:rsidP="00C310DF">
            <w:pPr>
              <w:spacing w:after="0" w:line="240" w:lineRule="auto"/>
              <w:jc w:val="right"/>
              <w:rPr>
                <w:rFonts w:ascii="Verdana" w:eastAsia="Times New Roman" w:hAnsi="Verdana" w:cs="Times New Roman"/>
                <w:b/>
                <w:bCs/>
                <w:color w:val="FFFFFF"/>
                <w:sz w:val="16"/>
                <w:szCs w:val="18"/>
                <w:lang w:eastAsia="es-CO"/>
              </w:rPr>
            </w:pPr>
            <w:r w:rsidRPr="00BC7F3F">
              <w:rPr>
                <w:rFonts w:ascii="Verdana" w:eastAsia="Times New Roman" w:hAnsi="Verdana" w:cs="Times New Roman"/>
                <w:b/>
                <w:bCs/>
                <w:color w:val="FFFFFF"/>
                <w:sz w:val="16"/>
                <w:szCs w:val="18"/>
                <w:lang w:eastAsia="es-CO"/>
              </w:rPr>
              <w:t>27.346,55</w:t>
            </w:r>
          </w:p>
        </w:tc>
        <w:tc>
          <w:tcPr>
            <w:tcW w:w="640" w:type="pct"/>
            <w:tcBorders>
              <w:top w:val="single" w:sz="4" w:space="0" w:color="auto"/>
              <w:left w:val="single" w:sz="4" w:space="0" w:color="auto"/>
              <w:bottom w:val="single" w:sz="4" w:space="0" w:color="auto"/>
              <w:right w:val="single" w:sz="4" w:space="0" w:color="auto"/>
            </w:tcBorders>
            <w:shd w:val="clear" w:color="000000" w:fill="808080"/>
            <w:vAlign w:val="center"/>
            <w:hideMark/>
          </w:tcPr>
          <w:p w:rsidR="00C310DF" w:rsidRPr="00BC7F3F" w:rsidRDefault="00C310DF" w:rsidP="00C310DF">
            <w:pPr>
              <w:spacing w:after="0" w:line="240" w:lineRule="auto"/>
              <w:jc w:val="right"/>
              <w:rPr>
                <w:rFonts w:ascii="Verdana" w:eastAsia="Times New Roman" w:hAnsi="Verdana" w:cs="Times New Roman"/>
                <w:b/>
                <w:bCs/>
                <w:color w:val="FFFFFF"/>
                <w:sz w:val="16"/>
                <w:szCs w:val="18"/>
                <w:lang w:eastAsia="es-CO"/>
              </w:rPr>
            </w:pPr>
            <w:r w:rsidRPr="00BC7F3F">
              <w:rPr>
                <w:rFonts w:ascii="Verdana" w:eastAsia="Times New Roman" w:hAnsi="Verdana" w:cs="Times New Roman"/>
                <w:b/>
                <w:bCs/>
                <w:color w:val="FFFFFF"/>
                <w:sz w:val="16"/>
                <w:szCs w:val="18"/>
                <w:lang w:eastAsia="es-CO"/>
              </w:rPr>
              <w:t>27.109,65</w:t>
            </w:r>
          </w:p>
        </w:tc>
        <w:tc>
          <w:tcPr>
            <w:tcW w:w="645" w:type="pct"/>
            <w:tcBorders>
              <w:top w:val="single" w:sz="4" w:space="0" w:color="auto"/>
              <w:left w:val="single" w:sz="4" w:space="0" w:color="auto"/>
              <w:bottom w:val="single" w:sz="4" w:space="0" w:color="auto"/>
              <w:right w:val="nil"/>
            </w:tcBorders>
            <w:shd w:val="clear" w:color="000000" w:fill="808080"/>
            <w:vAlign w:val="center"/>
            <w:hideMark/>
          </w:tcPr>
          <w:p w:rsidR="00C310DF" w:rsidRPr="00BC7F3F" w:rsidRDefault="00C310DF" w:rsidP="00C310DF">
            <w:pPr>
              <w:spacing w:after="0" w:line="240" w:lineRule="auto"/>
              <w:jc w:val="right"/>
              <w:rPr>
                <w:rFonts w:ascii="Verdana" w:eastAsia="Times New Roman" w:hAnsi="Verdana" w:cs="Times New Roman"/>
                <w:b/>
                <w:bCs/>
                <w:color w:val="FFFFFF"/>
                <w:sz w:val="16"/>
                <w:szCs w:val="18"/>
                <w:lang w:eastAsia="es-CO"/>
              </w:rPr>
            </w:pPr>
            <w:r w:rsidRPr="00BC7F3F">
              <w:rPr>
                <w:rFonts w:ascii="Verdana" w:eastAsia="Times New Roman" w:hAnsi="Verdana" w:cs="Times New Roman"/>
                <w:b/>
                <w:bCs/>
                <w:color w:val="FFFFFF"/>
                <w:sz w:val="16"/>
                <w:szCs w:val="18"/>
                <w:lang w:eastAsia="es-CO"/>
              </w:rPr>
              <w:t>21.906,68</w:t>
            </w:r>
          </w:p>
        </w:tc>
        <w:tc>
          <w:tcPr>
            <w:tcW w:w="404" w:type="pct"/>
            <w:tcBorders>
              <w:top w:val="nil"/>
              <w:left w:val="single" w:sz="8" w:space="0" w:color="auto"/>
              <w:bottom w:val="single" w:sz="4" w:space="0" w:color="auto"/>
              <w:right w:val="single" w:sz="4" w:space="0" w:color="auto"/>
            </w:tcBorders>
            <w:shd w:val="clear" w:color="000000" w:fill="808080"/>
            <w:noWrap/>
            <w:vAlign w:val="center"/>
            <w:hideMark/>
          </w:tcPr>
          <w:p w:rsidR="00C310DF" w:rsidRPr="00BC7F3F" w:rsidRDefault="00C310DF" w:rsidP="00C310DF">
            <w:pPr>
              <w:spacing w:after="0" w:line="240" w:lineRule="auto"/>
              <w:jc w:val="center"/>
              <w:rPr>
                <w:rFonts w:ascii="Verdana" w:eastAsia="Times New Roman" w:hAnsi="Verdana" w:cs="Times New Roman"/>
                <w:b/>
                <w:bCs/>
                <w:color w:val="FFFFFF"/>
                <w:sz w:val="16"/>
                <w:szCs w:val="18"/>
                <w:lang w:eastAsia="es-CO"/>
              </w:rPr>
            </w:pPr>
            <w:r w:rsidRPr="00BC7F3F">
              <w:rPr>
                <w:rFonts w:ascii="Verdana" w:eastAsia="Times New Roman" w:hAnsi="Verdana" w:cs="Times New Roman"/>
                <w:b/>
                <w:bCs/>
                <w:color w:val="FFFFFF"/>
                <w:sz w:val="16"/>
                <w:szCs w:val="18"/>
                <w:lang w:eastAsia="es-CO"/>
              </w:rPr>
              <w:t>91%</w:t>
            </w:r>
          </w:p>
        </w:tc>
        <w:tc>
          <w:tcPr>
            <w:tcW w:w="411" w:type="pct"/>
            <w:tcBorders>
              <w:top w:val="nil"/>
              <w:left w:val="nil"/>
              <w:bottom w:val="single" w:sz="4" w:space="0" w:color="auto"/>
              <w:right w:val="single" w:sz="4" w:space="0" w:color="auto"/>
            </w:tcBorders>
            <w:shd w:val="clear" w:color="000000" w:fill="808080"/>
            <w:noWrap/>
            <w:vAlign w:val="center"/>
            <w:hideMark/>
          </w:tcPr>
          <w:p w:rsidR="00C310DF" w:rsidRPr="00BC7F3F" w:rsidRDefault="00C310DF" w:rsidP="00C310DF">
            <w:pPr>
              <w:spacing w:after="0" w:line="240" w:lineRule="auto"/>
              <w:jc w:val="center"/>
              <w:rPr>
                <w:rFonts w:ascii="Verdana" w:eastAsia="Times New Roman" w:hAnsi="Verdana" w:cs="Times New Roman"/>
                <w:b/>
                <w:bCs/>
                <w:color w:val="FFFFFF"/>
                <w:sz w:val="16"/>
                <w:szCs w:val="18"/>
                <w:lang w:eastAsia="es-CO"/>
              </w:rPr>
            </w:pPr>
            <w:r w:rsidRPr="00BC7F3F">
              <w:rPr>
                <w:rFonts w:ascii="Verdana" w:eastAsia="Times New Roman" w:hAnsi="Verdana" w:cs="Times New Roman"/>
                <w:b/>
                <w:bCs/>
                <w:color w:val="FFFFFF"/>
                <w:sz w:val="16"/>
                <w:szCs w:val="18"/>
                <w:lang w:eastAsia="es-CO"/>
              </w:rPr>
              <w:t>90%</w:t>
            </w:r>
          </w:p>
        </w:tc>
        <w:tc>
          <w:tcPr>
            <w:tcW w:w="396" w:type="pct"/>
            <w:tcBorders>
              <w:top w:val="single" w:sz="4" w:space="0" w:color="auto"/>
              <w:left w:val="single" w:sz="4" w:space="0" w:color="auto"/>
              <w:bottom w:val="single" w:sz="4" w:space="0" w:color="auto"/>
              <w:right w:val="single" w:sz="8" w:space="0" w:color="auto"/>
            </w:tcBorders>
            <w:shd w:val="clear" w:color="000000" w:fill="808080"/>
            <w:noWrap/>
            <w:vAlign w:val="center"/>
            <w:hideMark/>
          </w:tcPr>
          <w:p w:rsidR="00C310DF" w:rsidRPr="00BC7F3F" w:rsidRDefault="00C310DF" w:rsidP="00C310DF">
            <w:pPr>
              <w:spacing w:after="0" w:line="240" w:lineRule="auto"/>
              <w:jc w:val="center"/>
              <w:rPr>
                <w:rFonts w:ascii="Verdana" w:eastAsia="Times New Roman" w:hAnsi="Verdana" w:cs="Times New Roman"/>
                <w:b/>
                <w:bCs/>
                <w:color w:val="FFFFFF"/>
                <w:sz w:val="16"/>
                <w:szCs w:val="18"/>
                <w:lang w:eastAsia="es-CO"/>
              </w:rPr>
            </w:pPr>
            <w:r w:rsidRPr="00BC7F3F">
              <w:rPr>
                <w:rFonts w:ascii="Verdana" w:eastAsia="Times New Roman" w:hAnsi="Verdana" w:cs="Times New Roman"/>
                <w:b/>
                <w:bCs/>
                <w:color w:val="FFFFFF"/>
                <w:sz w:val="16"/>
                <w:szCs w:val="18"/>
                <w:lang w:eastAsia="es-CO"/>
              </w:rPr>
              <w:t>73%</w:t>
            </w:r>
          </w:p>
        </w:tc>
      </w:tr>
      <w:tr w:rsidR="00C310DF" w:rsidRPr="00BC7F3F" w:rsidTr="00C310DF">
        <w:trPr>
          <w:trHeight w:val="387"/>
          <w:jc w:val="center"/>
        </w:trPr>
        <w:tc>
          <w:tcPr>
            <w:tcW w:w="1167"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C310DF" w:rsidRPr="00BC7F3F" w:rsidRDefault="00C310DF" w:rsidP="00C310DF">
            <w:pPr>
              <w:spacing w:after="0" w:line="240" w:lineRule="auto"/>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Museo de la memoria (Rec. Nación)</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BC7F3F" w:rsidRDefault="00C310DF" w:rsidP="00C310DF">
            <w:pPr>
              <w:spacing w:after="0" w:line="240" w:lineRule="auto"/>
              <w:jc w:val="right"/>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3.990,00</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BC7F3F" w:rsidRDefault="00C310DF" w:rsidP="00C310DF">
            <w:pPr>
              <w:spacing w:after="0" w:line="240" w:lineRule="auto"/>
              <w:jc w:val="right"/>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3.465,81</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BC7F3F" w:rsidRDefault="00C310DF" w:rsidP="00C310DF">
            <w:pPr>
              <w:spacing w:after="0" w:line="240" w:lineRule="auto"/>
              <w:jc w:val="right"/>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3.364,00</w:t>
            </w:r>
          </w:p>
        </w:tc>
        <w:tc>
          <w:tcPr>
            <w:tcW w:w="645" w:type="pct"/>
            <w:tcBorders>
              <w:top w:val="single" w:sz="4" w:space="0" w:color="auto"/>
              <w:left w:val="single" w:sz="4" w:space="0" w:color="auto"/>
              <w:bottom w:val="single" w:sz="4" w:space="0" w:color="auto"/>
              <w:right w:val="nil"/>
            </w:tcBorders>
            <w:shd w:val="clear" w:color="auto" w:fill="auto"/>
            <w:vAlign w:val="center"/>
            <w:hideMark/>
          </w:tcPr>
          <w:p w:rsidR="00C310DF" w:rsidRPr="00BC7F3F" w:rsidRDefault="00C310DF" w:rsidP="00C310DF">
            <w:pPr>
              <w:spacing w:after="0" w:line="240" w:lineRule="auto"/>
              <w:jc w:val="right"/>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2.555,52</w:t>
            </w:r>
          </w:p>
        </w:tc>
        <w:tc>
          <w:tcPr>
            <w:tcW w:w="40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310DF" w:rsidRPr="00BC7F3F" w:rsidRDefault="00C310DF" w:rsidP="00C310DF">
            <w:pPr>
              <w:spacing w:after="0" w:line="240" w:lineRule="auto"/>
              <w:jc w:val="center"/>
              <w:rPr>
                <w:rFonts w:ascii="Verdana" w:eastAsia="Times New Roman" w:hAnsi="Verdana" w:cs="Times New Roman"/>
                <w:sz w:val="16"/>
                <w:szCs w:val="18"/>
                <w:lang w:eastAsia="es-CO"/>
              </w:rPr>
            </w:pPr>
            <w:r w:rsidRPr="00BC7F3F">
              <w:rPr>
                <w:rFonts w:ascii="Verdana" w:eastAsia="Times New Roman" w:hAnsi="Verdana" w:cs="Times New Roman"/>
                <w:sz w:val="16"/>
                <w:szCs w:val="18"/>
                <w:lang w:eastAsia="es-CO"/>
              </w:rPr>
              <w:t>87%</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0DF" w:rsidRPr="00BC7F3F" w:rsidRDefault="00C310DF" w:rsidP="00C310DF">
            <w:pPr>
              <w:spacing w:after="0" w:line="240" w:lineRule="auto"/>
              <w:jc w:val="center"/>
              <w:rPr>
                <w:rFonts w:ascii="Verdana" w:eastAsia="Times New Roman" w:hAnsi="Verdana" w:cs="Times New Roman"/>
                <w:sz w:val="16"/>
                <w:szCs w:val="18"/>
                <w:lang w:eastAsia="es-CO"/>
              </w:rPr>
            </w:pPr>
            <w:r w:rsidRPr="00BC7F3F">
              <w:rPr>
                <w:rFonts w:ascii="Verdana" w:eastAsia="Times New Roman" w:hAnsi="Verdana" w:cs="Times New Roman"/>
                <w:sz w:val="16"/>
                <w:szCs w:val="18"/>
                <w:lang w:eastAsia="es-CO"/>
              </w:rPr>
              <w:t>84%</w:t>
            </w:r>
          </w:p>
        </w:tc>
        <w:tc>
          <w:tcPr>
            <w:tcW w:w="396"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310DF" w:rsidRPr="00BC7F3F" w:rsidRDefault="00C310DF" w:rsidP="00C310DF">
            <w:pPr>
              <w:spacing w:after="0" w:line="240" w:lineRule="auto"/>
              <w:jc w:val="center"/>
              <w:rPr>
                <w:rFonts w:ascii="Verdana" w:eastAsia="Times New Roman" w:hAnsi="Verdana" w:cs="Times New Roman"/>
                <w:sz w:val="16"/>
                <w:szCs w:val="18"/>
                <w:lang w:eastAsia="es-CO"/>
              </w:rPr>
            </w:pPr>
            <w:r w:rsidRPr="00BC7F3F">
              <w:rPr>
                <w:rFonts w:ascii="Verdana" w:eastAsia="Times New Roman" w:hAnsi="Verdana" w:cs="Times New Roman"/>
                <w:sz w:val="16"/>
                <w:szCs w:val="18"/>
                <w:lang w:eastAsia="es-CO"/>
              </w:rPr>
              <w:t>64%</w:t>
            </w:r>
          </w:p>
        </w:tc>
      </w:tr>
      <w:tr w:rsidR="00C310DF" w:rsidRPr="00BC7F3F" w:rsidTr="00C310DF">
        <w:trPr>
          <w:trHeight w:val="195"/>
          <w:jc w:val="center"/>
        </w:trPr>
        <w:tc>
          <w:tcPr>
            <w:tcW w:w="1167" w:type="pct"/>
            <w:tcBorders>
              <w:top w:val="single" w:sz="4" w:space="0" w:color="auto"/>
              <w:left w:val="single" w:sz="8" w:space="0" w:color="auto"/>
              <w:bottom w:val="single" w:sz="4" w:space="0" w:color="auto"/>
              <w:right w:val="single" w:sz="4" w:space="0" w:color="auto"/>
            </w:tcBorders>
            <w:shd w:val="clear" w:color="DCE6F1" w:fill="DCE6F1"/>
            <w:vAlign w:val="center"/>
            <w:hideMark/>
          </w:tcPr>
          <w:p w:rsidR="00C310DF" w:rsidRPr="00BC7F3F" w:rsidRDefault="00C310DF" w:rsidP="00C310DF">
            <w:pPr>
              <w:spacing w:after="0" w:line="240" w:lineRule="auto"/>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Museo de la memoria (Rec. Propios)</w:t>
            </w:r>
          </w:p>
        </w:tc>
        <w:tc>
          <w:tcPr>
            <w:tcW w:w="611"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BC7F3F" w:rsidRDefault="00C310DF" w:rsidP="00C310DF">
            <w:pPr>
              <w:spacing w:after="0" w:line="240" w:lineRule="auto"/>
              <w:jc w:val="right"/>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1.025,00</w:t>
            </w:r>
          </w:p>
        </w:tc>
        <w:tc>
          <w:tcPr>
            <w:tcW w:w="726"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BC7F3F" w:rsidRDefault="00C310DF" w:rsidP="00C310DF">
            <w:pPr>
              <w:spacing w:after="0" w:line="240" w:lineRule="auto"/>
              <w:jc w:val="right"/>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w:t>
            </w:r>
          </w:p>
        </w:tc>
        <w:tc>
          <w:tcPr>
            <w:tcW w:w="640"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BC7F3F" w:rsidRDefault="00C310DF" w:rsidP="00C310DF">
            <w:pPr>
              <w:spacing w:after="0" w:line="240" w:lineRule="auto"/>
              <w:jc w:val="right"/>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w:t>
            </w:r>
          </w:p>
        </w:tc>
        <w:tc>
          <w:tcPr>
            <w:tcW w:w="645" w:type="pct"/>
            <w:tcBorders>
              <w:top w:val="single" w:sz="4" w:space="0" w:color="auto"/>
              <w:left w:val="single" w:sz="4" w:space="0" w:color="auto"/>
              <w:bottom w:val="single" w:sz="4" w:space="0" w:color="auto"/>
              <w:right w:val="nil"/>
            </w:tcBorders>
            <w:shd w:val="clear" w:color="DCE6F1" w:fill="DCE6F1"/>
            <w:vAlign w:val="center"/>
            <w:hideMark/>
          </w:tcPr>
          <w:p w:rsidR="00C310DF" w:rsidRPr="00BC7F3F" w:rsidRDefault="00C310DF" w:rsidP="00C310DF">
            <w:pPr>
              <w:spacing w:after="0" w:line="240" w:lineRule="auto"/>
              <w:jc w:val="right"/>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w:t>
            </w:r>
          </w:p>
        </w:tc>
        <w:tc>
          <w:tcPr>
            <w:tcW w:w="404" w:type="pct"/>
            <w:tcBorders>
              <w:top w:val="single" w:sz="4" w:space="0" w:color="auto"/>
              <w:left w:val="single" w:sz="8" w:space="0" w:color="auto"/>
              <w:bottom w:val="single" w:sz="4" w:space="0" w:color="auto"/>
              <w:right w:val="single" w:sz="4" w:space="0" w:color="auto"/>
            </w:tcBorders>
            <w:shd w:val="clear" w:color="DCE6F1" w:fill="DCE6F1"/>
            <w:noWrap/>
            <w:vAlign w:val="center"/>
            <w:hideMark/>
          </w:tcPr>
          <w:p w:rsidR="00C310DF" w:rsidRPr="00BC7F3F" w:rsidRDefault="00C310DF" w:rsidP="00C310DF">
            <w:pPr>
              <w:spacing w:after="0" w:line="240" w:lineRule="auto"/>
              <w:jc w:val="center"/>
              <w:rPr>
                <w:rFonts w:ascii="Verdana" w:eastAsia="Times New Roman" w:hAnsi="Verdana" w:cs="Times New Roman"/>
                <w:sz w:val="16"/>
                <w:szCs w:val="18"/>
                <w:lang w:eastAsia="es-CO"/>
              </w:rPr>
            </w:pPr>
            <w:r w:rsidRPr="00BC7F3F">
              <w:rPr>
                <w:rFonts w:ascii="Verdana" w:eastAsia="Times New Roman" w:hAnsi="Verdana" w:cs="Times New Roman"/>
                <w:sz w:val="16"/>
                <w:szCs w:val="18"/>
                <w:lang w:eastAsia="es-CO"/>
              </w:rPr>
              <w:t>0%</w:t>
            </w:r>
          </w:p>
        </w:tc>
        <w:tc>
          <w:tcPr>
            <w:tcW w:w="41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C310DF" w:rsidRPr="00BC7F3F" w:rsidRDefault="00C310DF" w:rsidP="00C310DF">
            <w:pPr>
              <w:spacing w:after="0" w:line="240" w:lineRule="auto"/>
              <w:jc w:val="center"/>
              <w:rPr>
                <w:rFonts w:ascii="Verdana" w:eastAsia="Times New Roman" w:hAnsi="Verdana" w:cs="Times New Roman"/>
                <w:sz w:val="16"/>
                <w:szCs w:val="18"/>
                <w:lang w:eastAsia="es-CO"/>
              </w:rPr>
            </w:pPr>
            <w:r w:rsidRPr="00BC7F3F">
              <w:rPr>
                <w:rFonts w:ascii="Verdana" w:eastAsia="Times New Roman" w:hAnsi="Verdana" w:cs="Times New Roman"/>
                <w:sz w:val="16"/>
                <w:szCs w:val="18"/>
                <w:lang w:eastAsia="es-CO"/>
              </w:rPr>
              <w:t>0%</w:t>
            </w:r>
          </w:p>
        </w:tc>
        <w:tc>
          <w:tcPr>
            <w:tcW w:w="396" w:type="pct"/>
            <w:tcBorders>
              <w:top w:val="single" w:sz="4" w:space="0" w:color="auto"/>
              <w:left w:val="single" w:sz="4" w:space="0" w:color="auto"/>
              <w:bottom w:val="single" w:sz="4" w:space="0" w:color="auto"/>
              <w:right w:val="single" w:sz="8" w:space="0" w:color="auto"/>
            </w:tcBorders>
            <w:shd w:val="clear" w:color="DCE6F1" w:fill="DCE6F1"/>
            <w:noWrap/>
            <w:vAlign w:val="center"/>
            <w:hideMark/>
          </w:tcPr>
          <w:p w:rsidR="00C310DF" w:rsidRPr="00BC7F3F" w:rsidRDefault="00C310DF" w:rsidP="00C310DF">
            <w:pPr>
              <w:spacing w:after="0" w:line="240" w:lineRule="auto"/>
              <w:jc w:val="center"/>
              <w:rPr>
                <w:rFonts w:ascii="Verdana" w:eastAsia="Times New Roman" w:hAnsi="Verdana" w:cs="Times New Roman"/>
                <w:sz w:val="16"/>
                <w:szCs w:val="18"/>
                <w:lang w:eastAsia="es-CO"/>
              </w:rPr>
            </w:pPr>
            <w:r w:rsidRPr="00BC7F3F">
              <w:rPr>
                <w:rFonts w:ascii="Verdana" w:eastAsia="Times New Roman" w:hAnsi="Verdana" w:cs="Times New Roman"/>
                <w:sz w:val="16"/>
                <w:szCs w:val="18"/>
                <w:lang w:eastAsia="es-CO"/>
              </w:rPr>
              <w:t>0%</w:t>
            </w:r>
          </w:p>
        </w:tc>
      </w:tr>
      <w:tr w:rsidR="00C310DF" w:rsidRPr="00BC7F3F" w:rsidTr="00C310DF">
        <w:trPr>
          <w:trHeight w:val="301"/>
          <w:jc w:val="center"/>
        </w:trPr>
        <w:tc>
          <w:tcPr>
            <w:tcW w:w="1167"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C310DF" w:rsidRPr="00BC7F3F" w:rsidRDefault="00C310DF" w:rsidP="00C310DF">
            <w:pPr>
              <w:spacing w:after="0" w:line="240" w:lineRule="auto"/>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Estrategia tecnológica</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BC7F3F" w:rsidRDefault="00C310DF" w:rsidP="00C310DF">
            <w:pPr>
              <w:spacing w:after="0" w:line="240" w:lineRule="auto"/>
              <w:jc w:val="right"/>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3.566,84</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BC7F3F" w:rsidRDefault="00C310DF" w:rsidP="00C310DF">
            <w:pPr>
              <w:spacing w:after="0" w:line="240" w:lineRule="auto"/>
              <w:jc w:val="right"/>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3.305,02</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BC7F3F" w:rsidRDefault="00C310DF" w:rsidP="00C310DF">
            <w:pPr>
              <w:spacing w:after="0" w:line="240" w:lineRule="auto"/>
              <w:jc w:val="right"/>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3.305,02</w:t>
            </w:r>
          </w:p>
        </w:tc>
        <w:tc>
          <w:tcPr>
            <w:tcW w:w="645" w:type="pct"/>
            <w:tcBorders>
              <w:top w:val="single" w:sz="4" w:space="0" w:color="auto"/>
              <w:left w:val="single" w:sz="4" w:space="0" w:color="auto"/>
              <w:bottom w:val="single" w:sz="4" w:space="0" w:color="auto"/>
              <w:right w:val="nil"/>
            </w:tcBorders>
            <w:shd w:val="clear" w:color="auto" w:fill="auto"/>
            <w:vAlign w:val="center"/>
            <w:hideMark/>
          </w:tcPr>
          <w:p w:rsidR="00C310DF" w:rsidRPr="00BC7F3F" w:rsidRDefault="00C310DF" w:rsidP="00C310DF">
            <w:pPr>
              <w:spacing w:after="0" w:line="240" w:lineRule="auto"/>
              <w:jc w:val="right"/>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1.752,62</w:t>
            </w:r>
          </w:p>
        </w:tc>
        <w:tc>
          <w:tcPr>
            <w:tcW w:w="40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310DF" w:rsidRPr="00BC7F3F" w:rsidRDefault="00C310DF" w:rsidP="00C310DF">
            <w:pPr>
              <w:spacing w:after="0" w:line="240" w:lineRule="auto"/>
              <w:jc w:val="center"/>
              <w:rPr>
                <w:rFonts w:ascii="Verdana" w:eastAsia="Times New Roman" w:hAnsi="Verdana" w:cs="Times New Roman"/>
                <w:sz w:val="16"/>
                <w:szCs w:val="18"/>
                <w:lang w:eastAsia="es-CO"/>
              </w:rPr>
            </w:pPr>
            <w:r w:rsidRPr="00BC7F3F">
              <w:rPr>
                <w:rFonts w:ascii="Verdana" w:eastAsia="Times New Roman" w:hAnsi="Verdana" w:cs="Times New Roman"/>
                <w:sz w:val="16"/>
                <w:szCs w:val="18"/>
                <w:lang w:eastAsia="es-CO"/>
              </w:rPr>
              <w:t>93%</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0DF" w:rsidRPr="00BC7F3F" w:rsidRDefault="00C310DF" w:rsidP="00C310DF">
            <w:pPr>
              <w:spacing w:after="0" w:line="240" w:lineRule="auto"/>
              <w:jc w:val="center"/>
              <w:rPr>
                <w:rFonts w:ascii="Verdana" w:eastAsia="Times New Roman" w:hAnsi="Verdana" w:cs="Times New Roman"/>
                <w:sz w:val="16"/>
                <w:szCs w:val="18"/>
                <w:lang w:eastAsia="es-CO"/>
              </w:rPr>
            </w:pPr>
            <w:r w:rsidRPr="00BC7F3F">
              <w:rPr>
                <w:rFonts w:ascii="Verdana" w:eastAsia="Times New Roman" w:hAnsi="Verdana" w:cs="Times New Roman"/>
                <w:sz w:val="16"/>
                <w:szCs w:val="18"/>
                <w:lang w:eastAsia="es-CO"/>
              </w:rPr>
              <w:t>93%</w:t>
            </w:r>
          </w:p>
        </w:tc>
        <w:tc>
          <w:tcPr>
            <w:tcW w:w="396"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310DF" w:rsidRPr="00BC7F3F" w:rsidRDefault="00C310DF" w:rsidP="00C310DF">
            <w:pPr>
              <w:spacing w:after="0" w:line="240" w:lineRule="auto"/>
              <w:jc w:val="center"/>
              <w:rPr>
                <w:rFonts w:ascii="Verdana" w:eastAsia="Times New Roman" w:hAnsi="Verdana" w:cs="Times New Roman"/>
                <w:sz w:val="16"/>
                <w:szCs w:val="18"/>
                <w:lang w:eastAsia="es-CO"/>
              </w:rPr>
            </w:pPr>
            <w:r w:rsidRPr="00BC7F3F">
              <w:rPr>
                <w:rFonts w:ascii="Verdana" w:eastAsia="Times New Roman" w:hAnsi="Verdana" w:cs="Times New Roman"/>
                <w:sz w:val="16"/>
                <w:szCs w:val="18"/>
                <w:lang w:eastAsia="es-CO"/>
              </w:rPr>
              <w:t>49%</w:t>
            </w:r>
          </w:p>
        </w:tc>
      </w:tr>
      <w:tr w:rsidR="00C310DF" w:rsidRPr="00BC7F3F" w:rsidTr="00C310DF">
        <w:trPr>
          <w:trHeight w:val="392"/>
          <w:jc w:val="center"/>
        </w:trPr>
        <w:tc>
          <w:tcPr>
            <w:tcW w:w="1167" w:type="pct"/>
            <w:tcBorders>
              <w:top w:val="single" w:sz="4" w:space="0" w:color="auto"/>
              <w:left w:val="single" w:sz="8" w:space="0" w:color="auto"/>
              <w:bottom w:val="single" w:sz="4" w:space="0" w:color="auto"/>
              <w:right w:val="single" w:sz="4" w:space="0" w:color="auto"/>
            </w:tcBorders>
            <w:shd w:val="clear" w:color="DCE6F1" w:fill="DCE6F1"/>
            <w:vAlign w:val="center"/>
            <w:hideMark/>
          </w:tcPr>
          <w:p w:rsidR="00C310DF" w:rsidRPr="00BC7F3F" w:rsidRDefault="00C310DF" w:rsidP="00C310DF">
            <w:pPr>
              <w:spacing w:after="0" w:line="240" w:lineRule="auto"/>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Programa nacional de derechos humanos y memoria histórica</w:t>
            </w:r>
          </w:p>
        </w:tc>
        <w:tc>
          <w:tcPr>
            <w:tcW w:w="611"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BC7F3F" w:rsidRDefault="00C310DF" w:rsidP="00C310DF">
            <w:pPr>
              <w:spacing w:after="0" w:line="240" w:lineRule="auto"/>
              <w:jc w:val="right"/>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14.036,52</w:t>
            </w:r>
          </w:p>
        </w:tc>
        <w:tc>
          <w:tcPr>
            <w:tcW w:w="726"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BC7F3F" w:rsidRDefault="00C310DF" w:rsidP="00C310DF">
            <w:pPr>
              <w:spacing w:after="0" w:line="240" w:lineRule="auto"/>
              <w:jc w:val="right"/>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13.714,51</w:t>
            </w:r>
          </w:p>
        </w:tc>
        <w:tc>
          <w:tcPr>
            <w:tcW w:w="640"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BC7F3F" w:rsidRDefault="00C310DF" w:rsidP="00C310DF">
            <w:pPr>
              <w:spacing w:after="0" w:line="240" w:lineRule="auto"/>
              <w:jc w:val="right"/>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13.617,98</w:t>
            </w:r>
          </w:p>
        </w:tc>
        <w:tc>
          <w:tcPr>
            <w:tcW w:w="645" w:type="pct"/>
            <w:tcBorders>
              <w:top w:val="single" w:sz="4" w:space="0" w:color="auto"/>
              <w:left w:val="single" w:sz="4" w:space="0" w:color="auto"/>
              <w:bottom w:val="single" w:sz="4" w:space="0" w:color="auto"/>
              <w:right w:val="nil"/>
            </w:tcBorders>
            <w:shd w:val="clear" w:color="DCE6F1" w:fill="DCE6F1"/>
            <w:vAlign w:val="center"/>
            <w:hideMark/>
          </w:tcPr>
          <w:p w:rsidR="00C310DF" w:rsidRPr="00BC7F3F" w:rsidRDefault="00C310DF" w:rsidP="00C310DF">
            <w:pPr>
              <w:spacing w:after="0" w:line="240" w:lineRule="auto"/>
              <w:jc w:val="right"/>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11.011,87</w:t>
            </w:r>
          </w:p>
        </w:tc>
        <w:tc>
          <w:tcPr>
            <w:tcW w:w="404" w:type="pct"/>
            <w:tcBorders>
              <w:top w:val="single" w:sz="4" w:space="0" w:color="auto"/>
              <w:left w:val="single" w:sz="8" w:space="0" w:color="auto"/>
              <w:bottom w:val="single" w:sz="4" w:space="0" w:color="auto"/>
              <w:right w:val="single" w:sz="4" w:space="0" w:color="auto"/>
            </w:tcBorders>
            <w:shd w:val="clear" w:color="DCE6F1" w:fill="DCE6F1"/>
            <w:noWrap/>
            <w:vAlign w:val="center"/>
            <w:hideMark/>
          </w:tcPr>
          <w:p w:rsidR="00C310DF" w:rsidRPr="00BC7F3F" w:rsidRDefault="00C310DF" w:rsidP="00C310DF">
            <w:pPr>
              <w:spacing w:after="0" w:line="240" w:lineRule="auto"/>
              <w:jc w:val="center"/>
              <w:rPr>
                <w:rFonts w:ascii="Verdana" w:eastAsia="Times New Roman" w:hAnsi="Verdana" w:cs="Times New Roman"/>
                <w:sz w:val="16"/>
                <w:szCs w:val="18"/>
                <w:lang w:eastAsia="es-CO"/>
              </w:rPr>
            </w:pPr>
            <w:r w:rsidRPr="00BC7F3F">
              <w:rPr>
                <w:rFonts w:ascii="Verdana" w:eastAsia="Times New Roman" w:hAnsi="Verdana" w:cs="Times New Roman"/>
                <w:sz w:val="16"/>
                <w:szCs w:val="18"/>
                <w:lang w:eastAsia="es-CO"/>
              </w:rPr>
              <w:t>98%</w:t>
            </w:r>
          </w:p>
        </w:tc>
        <w:tc>
          <w:tcPr>
            <w:tcW w:w="41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C310DF" w:rsidRPr="00BC7F3F" w:rsidRDefault="00C310DF" w:rsidP="00C310DF">
            <w:pPr>
              <w:spacing w:after="0" w:line="240" w:lineRule="auto"/>
              <w:jc w:val="center"/>
              <w:rPr>
                <w:rFonts w:ascii="Verdana" w:eastAsia="Times New Roman" w:hAnsi="Verdana" w:cs="Times New Roman"/>
                <w:sz w:val="16"/>
                <w:szCs w:val="18"/>
                <w:lang w:eastAsia="es-CO"/>
              </w:rPr>
            </w:pPr>
            <w:r w:rsidRPr="00BC7F3F">
              <w:rPr>
                <w:rFonts w:ascii="Verdana" w:eastAsia="Times New Roman" w:hAnsi="Verdana" w:cs="Times New Roman"/>
                <w:sz w:val="16"/>
                <w:szCs w:val="18"/>
                <w:lang w:eastAsia="es-CO"/>
              </w:rPr>
              <w:t>97%</w:t>
            </w:r>
          </w:p>
        </w:tc>
        <w:tc>
          <w:tcPr>
            <w:tcW w:w="396" w:type="pct"/>
            <w:tcBorders>
              <w:top w:val="single" w:sz="4" w:space="0" w:color="auto"/>
              <w:left w:val="single" w:sz="4" w:space="0" w:color="auto"/>
              <w:bottom w:val="single" w:sz="4" w:space="0" w:color="auto"/>
              <w:right w:val="single" w:sz="8" w:space="0" w:color="auto"/>
            </w:tcBorders>
            <w:shd w:val="clear" w:color="DCE6F1" w:fill="DCE6F1"/>
            <w:noWrap/>
            <w:vAlign w:val="center"/>
            <w:hideMark/>
          </w:tcPr>
          <w:p w:rsidR="00C310DF" w:rsidRPr="00BC7F3F" w:rsidRDefault="00C310DF" w:rsidP="00C310DF">
            <w:pPr>
              <w:spacing w:after="0" w:line="240" w:lineRule="auto"/>
              <w:jc w:val="center"/>
              <w:rPr>
                <w:rFonts w:ascii="Verdana" w:eastAsia="Times New Roman" w:hAnsi="Verdana" w:cs="Times New Roman"/>
                <w:sz w:val="16"/>
                <w:szCs w:val="18"/>
                <w:lang w:eastAsia="es-CO"/>
              </w:rPr>
            </w:pPr>
            <w:r w:rsidRPr="00BC7F3F">
              <w:rPr>
                <w:rFonts w:ascii="Verdana" w:eastAsia="Times New Roman" w:hAnsi="Verdana" w:cs="Times New Roman"/>
                <w:sz w:val="16"/>
                <w:szCs w:val="18"/>
                <w:lang w:eastAsia="es-CO"/>
              </w:rPr>
              <w:t>78%</w:t>
            </w:r>
          </w:p>
        </w:tc>
      </w:tr>
      <w:tr w:rsidR="00C310DF" w:rsidRPr="00BC7F3F" w:rsidTr="00C310DF">
        <w:trPr>
          <w:trHeight w:val="261"/>
          <w:jc w:val="center"/>
        </w:trPr>
        <w:tc>
          <w:tcPr>
            <w:tcW w:w="1167" w:type="pct"/>
            <w:tcBorders>
              <w:top w:val="single" w:sz="4" w:space="0" w:color="auto"/>
              <w:left w:val="single" w:sz="8" w:space="0" w:color="auto"/>
              <w:bottom w:val="single" w:sz="8" w:space="0" w:color="auto"/>
              <w:right w:val="single" w:sz="4" w:space="0" w:color="auto"/>
            </w:tcBorders>
            <w:shd w:val="clear" w:color="auto" w:fill="auto"/>
            <w:vAlign w:val="center"/>
            <w:hideMark/>
          </w:tcPr>
          <w:p w:rsidR="00C310DF" w:rsidRPr="00BC7F3F" w:rsidRDefault="00C310DF" w:rsidP="00C310DF">
            <w:pPr>
              <w:spacing w:after="0" w:line="240" w:lineRule="auto"/>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Acuerdos de la verdad</w:t>
            </w:r>
          </w:p>
        </w:tc>
        <w:tc>
          <w:tcPr>
            <w:tcW w:w="611"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C310DF" w:rsidRPr="00BC7F3F" w:rsidRDefault="00C310DF" w:rsidP="00C310DF">
            <w:pPr>
              <w:spacing w:after="0" w:line="240" w:lineRule="auto"/>
              <w:jc w:val="right"/>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7.506,64</w:t>
            </w:r>
          </w:p>
        </w:tc>
        <w:tc>
          <w:tcPr>
            <w:tcW w:w="726"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C310DF" w:rsidRPr="00BC7F3F" w:rsidRDefault="00C310DF" w:rsidP="00C310DF">
            <w:pPr>
              <w:spacing w:after="0" w:line="240" w:lineRule="auto"/>
              <w:jc w:val="right"/>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6.861,22</w:t>
            </w:r>
          </w:p>
        </w:tc>
        <w:tc>
          <w:tcPr>
            <w:tcW w:w="640"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C310DF" w:rsidRPr="00BC7F3F" w:rsidRDefault="00C310DF" w:rsidP="00C310DF">
            <w:pPr>
              <w:spacing w:after="0" w:line="240" w:lineRule="auto"/>
              <w:jc w:val="right"/>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6.822,65</w:t>
            </w:r>
          </w:p>
        </w:tc>
        <w:tc>
          <w:tcPr>
            <w:tcW w:w="645" w:type="pct"/>
            <w:tcBorders>
              <w:top w:val="single" w:sz="4" w:space="0" w:color="auto"/>
              <w:left w:val="single" w:sz="4" w:space="0" w:color="auto"/>
              <w:bottom w:val="single" w:sz="8" w:space="0" w:color="auto"/>
              <w:right w:val="nil"/>
            </w:tcBorders>
            <w:shd w:val="clear" w:color="auto" w:fill="auto"/>
            <w:vAlign w:val="center"/>
            <w:hideMark/>
          </w:tcPr>
          <w:p w:rsidR="00C310DF" w:rsidRPr="00BC7F3F" w:rsidRDefault="00C310DF" w:rsidP="00C310DF">
            <w:pPr>
              <w:spacing w:after="0" w:line="240" w:lineRule="auto"/>
              <w:jc w:val="right"/>
              <w:rPr>
                <w:rFonts w:ascii="Verdana" w:eastAsia="Times New Roman" w:hAnsi="Verdana" w:cs="Times New Roman"/>
                <w:color w:val="000000"/>
                <w:sz w:val="16"/>
                <w:szCs w:val="18"/>
                <w:lang w:eastAsia="es-CO"/>
              </w:rPr>
            </w:pPr>
            <w:r w:rsidRPr="00BC7F3F">
              <w:rPr>
                <w:rFonts w:ascii="Verdana" w:eastAsia="Times New Roman" w:hAnsi="Verdana" w:cs="Times New Roman"/>
                <w:color w:val="000000"/>
                <w:sz w:val="16"/>
                <w:szCs w:val="18"/>
                <w:lang w:eastAsia="es-CO"/>
              </w:rPr>
              <w:t>6.586,67</w:t>
            </w:r>
          </w:p>
        </w:tc>
        <w:tc>
          <w:tcPr>
            <w:tcW w:w="404"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rsidR="00C310DF" w:rsidRPr="00BC7F3F" w:rsidRDefault="00C310DF" w:rsidP="00C310DF">
            <w:pPr>
              <w:spacing w:after="0" w:line="240" w:lineRule="auto"/>
              <w:jc w:val="center"/>
              <w:rPr>
                <w:rFonts w:ascii="Verdana" w:eastAsia="Times New Roman" w:hAnsi="Verdana" w:cs="Times New Roman"/>
                <w:sz w:val="16"/>
                <w:szCs w:val="18"/>
                <w:lang w:eastAsia="es-CO"/>
              </w:rPr>
            </w:pPr>
            <w:r w:rsidRPr="00BC7F3F">
              <w:rPr>
                <w:rFonts w:ascii="Verdana" w:eastAsia="Times New Roman" w:hAnsi="Verdana" w:cs="Times New Roman"/>
                <w:sz w:val="16"/>
                <w:szCs w:val="18"/>
                <w:lang w:eastAsia="es-CO"/>
              </w:rPr>
              <w:t>91%</w:t>
            </w:r>
          </w:p>
        </w:tc>
        <w:tc>
          <w:tcPr>
            <w:tcW w:w="411"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rsidR="00C310DF" w:rsidRPr="00BC7F3F" w:rsidRDefault="00C310DF" w:rsidP="00C310DF">
            <w:pPr>
              <w:spacing w:after="0" w:line="240" w:lineRule="auto"/>
              <w:jc w:val="center"/>
              <w:rPr>
                <w:rFonts w:ascii="Verdana" w:eastAsia="Times New Roman" w:hAnsi="Verdana" w:cs="Times New Roman"/>
                <w:sz w:val="16"/>
                <w:szCs w:val="18"/>
                <w:lang w:eastAsia="es-CO"/>
              </w:rPr>
            </w:pPr>
            <w:r w:rsidRPr="00BC7F3F">
              <w:rPr>
                <w:rFonts w:ascii="Verdana" w:eastAsia="Times New Roman" w:hAnsi="Verdana" w:cs="Times New Roman"/>
                <w:sz w:val="16"/>
                <w:szCs w:val="18"/>
                <w:lang w:eastAsia="es-CO"/>
              </w:rPr>
              <w:t>91%</w:t>
            </w:r>
          </w:p>
        </w:tc>
        <w:tc>
          <w:tcPr>
            <w:tcW w:w="396" w:type="pct"/>
            <w:tcBorders>
              <w:top w:val="single" w:sz="4" w:space="0" w:color="auto"/>
              <w:left w:val="single" w:sz="4" w:space="0" w:color="auto"/>
              <w:bottom w:val="single" w:sz="8" w:space="0" w:color="auto"/>
              <w:right w:val="single" w:sz="8" w:space="0" w:color="auto"/>
            </w:tcBorders>
            <w:shd w:val="clear" w:color="auto" w:fill="auto"/>
            <w:noWrap/>
            <w:vAlign w:val="center"/>
            <w:hideMark/>
          </w:tcPr>
          <w:p w:rsidR="00C310DF" w:rsidRPr="00BC7F3F" w:rsidRDefault="00C310DF" w:rsidP="00C310DF">
            <w:pPr>
              <w:spacing w:after="0" w:line="240" w:lineRule="auto"/>
              <w:jc w:val="center"/>
              <w:rPr>
                <w:rFonts w:ascii="Verdana" w:eastAsia="Times New Roman" w:hAnsi="Verdana" w:cs="Times New Roman"/>
                <w:sz w:val="16"/>
                <w:szCs w:val="18"/>
                <w:lang w:eastAsia="es-CO"/>
              </w:rPr>
            </w:pPr>
            <w:r w:rsidRPr="00BC7F3F">
              <w:rPr>
                <w:rFonts w:ascii="Verdana" w:eastAsia="Times New Roman" w:hAnsi="Verdana" w:cs="Times New Roman"/>
                <w:sz w:val="16"/>
                <w:szCs w:val="18"/>
                <w:lang w:eastAsia="es-CO"/>
              </w:rPr>
              <w:t>88%</w:t>
            </w:r>
          </w:p>
        </w:tc>
      </w:tr>
    </w:tbl>
    <w:p w:rsidR="00C310DF" w:rsidRPr="00BC7F3F" w:rsidRDefault="00C310DF" w:rsidP="00C310DF">
      <w:pPr>
        <w:spacing w:after="0" w:line="240" w:lineRule="auto"/>
        <w:jc w:val="both"/>
        <w:rPr>
          <w:rFonts w:ascii="Verdana" w:hAnsi="Verdana"/>
          <w:sz w:val="24"/>
          <w:szCs w:val="24"/>
        </w:rPr>
      </w:pPr>
    </w:p>
    <w:p w:rsidR="00C310DF" w:rsidRPr="00C310DF" w:rsidRDefault="00C310DF" w:rsidP="00C310DF">
      <w:pPr>
        <w:spacing w:after="0" w:line="240" w:lineRule="auto"/>
        <w:rPr>
          <w:rFonts w:ascii="Verdana" w:hAnsi="Verdana"/>
          <w:color w:val="4F81BD" w:themeColor="accent1"/>
          <w:sz w:val="24"/>
          <w:szCs w:val="24"/>
        </w:rPr>
      </w:pPr>
      <w:r w:rsidRPr="00C310DF">
        <w:rPr>
          <w:rFonts w:ascii="Verdana" w:hAnsi="Verdana"/>
          <w:color w:val="4F81BD" w:themeColor="accent1"/>
          <w:sz w:val="24"/>
          <w:szCs w:val="24"/>
        </w:rPr>
        <w:t>Comparativo ejecución presupuestal 2014 vs. 2013</w:t>
      </w:r>
    </w:p>
    <w:tbl>
      <w:tblPr>
        <w:tblW w:w="5000" w:type="pct"/>
        <w:jc w:val="center"/>
        <w:tblCellMar>
          <w:left w:w="70" w:type="dxa"/>
          <w:right w:w="70" w:type="dxa"/>
        </w:tblCellMar>
        <w:tblLook w:val="04A0"/>
      </w:tblPr>
      <w:tblGrid>
        <w:gridCol w:w="1454"/>
        <w:gridCol w:w="1125"/>
        <w:gridCol w:w="1027"/>
        <w:gridCol w:w="938"/>
        <w:gridCol w:w="667"/>
        <w:gridCol w:w="669"/>
        <w:gridCol w:w="1002"/>
        <w:gridCol w:w="1027"/>
        <w:gridCol w:w="938"/>
        <w:gridCol w:w="767"/>
        <w:gridCol w:w="552"/>
      </w:tblGrid>
      <w:tr w:rsidR="00C310DF" w:rsidRPr="00C310DF" w:rsidTr="00C310DF">
        <w:trPr>
          <w:trHeight w:val="223"/>
          <w:tblHeader/>
          <w:jc w:val="center"/>
        </w:trPr>
        <w:tc>
          <w:tcPr>
            <w:tcW w:w="759" w:type="pct"/>
            <w:vMerge w:val="restart"/>
            <w:tcBorders>
              <w:top w:val="single" w:sz="4" w:space="0" w:color="auto"/>
              <w:left w:val="single" w:sz="4" w:space="0" w:color="auto"/>
              <w:right w:val="single" w:sz="4" w:space="0" w:color="auto"/>
            </w:tcBorders>
            <w:shd w:val="clear" w:color="4F81BD" w:fill="4F81BD"/>
            <w:vAlign w:val="center"/>
            <w:hideMark/>
          </w:tcPr>
          <w:p w:rsidR="00C310DF" w:rsidRPr="00C310DF" w:rsidRDefault="00C310DF" w:rsidP="00C310DF">
            <w:pPr>
              <w:spacing w:after="0" w:line="240" w:lineRule="auto"/>
              <w:jc w:val="center"/>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Descripción</w:t>
            </w:r>
          </w:p>
        </w:tc>
        <w:tc>
          <w:tcPr>
            <w:tcW w:w="2029" w:type="pct"/>
            <w:gridSpan w:val="5"/>
            <w:tcBorders>
              <w:top w:val="single" w:sz="4" w:space="0" w:color="auto"/>
              <w:left w:val="single" w:sz="4" w:space="0" w:color="auto"/>
              <w:bottom w:val="single" w:sz="4" w:space="0" w:color="auto"/>
              <w:right w:val="single" w:sz="4" w:space="0" w:color="auto"/>
            </w:tcBorders>
            <w:shd w:val="clear" w:color="4F81BD" w:fill="4F81BD"/>
            <w:noWrap/>
            <w:vAlign w:val="center"/>
            <w:hideMark/>
          </w:tcPr>
          <w:p w:rsidR="00C310DF" w:rsidRPr="00C310DF" w:rsidRDefault="00C310DF" w:rsidP="00C310DF">
            <w:pPr>
              <w:spacing w:after="0" w:line="240" w:lineRule="auto"/>
              <w:jc w:val="center"/>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Ejecución % 2013</w:t>
            </w:r>
          </w:p>
        </w:tc>
        <w:tc>
          <w:tcPr>
            <w:tcW w:w="2212" w:type="pct"/>
            <w:gridSpan w:val="5"/>
            <w:tcBorders>
              <w:top w:val="single" w:sz="4" w:space="0" w:color="auto"/>
              <w:left w:val="single" w:sz="4" w:space="0" w:color="auto"/>
              <w:bottom w:val="single" w:sz="4" w:space="0" w:color="auto"/>
              <w:right w:val="single" w:sz="4" w:space="0" w:color="auto"/>
            </w:tcBorders>
            <w:shd w:val="clear" w:color="4F81BD" w:fill="4F81BD"/>
            <w:noWrap/>
            <w:vAlign w:val="center"/>
            <w:hideMark/>
          </w:tcPr>
          <w:p w:rsidR="00C310DF" w:rsidRPr="00C310DF" w:rsidRDefault="00C310DF" w:rsidP="00C310DF">
            <w:pPr>
              <w:spacing w:after="0" w:line="240" w:lineRule="auto"/>
              <w:jc w:val="center"/>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Ejecución % 2014</w:t>
            </w:r>
          </w:p>
        </w:tc>
      </w:tr>
      <w:tr w:rsidR="00C310DF" w:rsidRPr="00C310DF" w:rsidTr="00C310DF">
        <w:trPr>
          <w:trHeight w:val="127"/>
          <w:tblHeader/>
          <w:jc w:val="center"/>
        </w:trPr>
        <w:tc>
          <w:tcPr>
            <w:tcW w:w="759" w:type="pct"/>
            <w:vMerge/>
            <w:tcBorders>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b/>
                <w:bCs/>
                <w:szCs w:val="18"/>
                <w:vertAlign w:val="superscript"/>
                <w:lang w:eastAsia="es-CO"/>
              </w:rPr>
            </w:pPr>
          </w:p>
        </w:tc>
        <w:tc>
          <w:tcPr>
            <w:tcW w:w="416"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bCs/>
                <w:szCs w:val="18"/>
                <w:vertAlign w:val="superscript"/>
                <w:lang w:eastAsia="es-CO"/>
              </w:rPr>
            </w:pPr>
            <w:r w:rsidRPr="00C310DF">
              <w:rPr>
                <w:rFonts w:ascii="Verdana" w:eastAsia="Times New Roman" w:hAnsi="Verdana" w:cs="Times New Roman"/>
                <w:bCs/>
                <w:sz w:val="16"/>
                <w:szCs w:val="18"/>
                <w:lang w:eastAsia="es-CO"/>
              </w:rPr>
              <w:t>Presupuesto</w:t>
            </w:r>
            <w:r w:rsidRPr="00C310DF">
              <w:rPr>
                <w:rFonts w:ascii="Verdana" w:eastAsia="Times New Roman" w:hAnsi="Verdana" w:cs="Times New Roman"/>
                <w:bCs/>
                <w:szCs w:val="18"/>
                <w:vertAlign w:val="superscript"/>
                <w:lang w:val="es-ES" w:eastAsia="es-CO"/>
              </w:rPr>
              <w:t xml:space="preserve"> Final</w:t>
            </w:r>
          </w:p>
        </w:tc>
        <w:tc>
          <w:tcPr>
            <w:tcW w:w="434"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bCs/>
                <w:szCs w:val="18"/>
                <w:vertAlign w:val="superscript"/>
                <w:lang w:eastAsia="es-CO"/>
              </w:rPr>
            </w:pPr>
            <w:r w:rsidRPr="00C310DF">
              <w:rPr>
                <w:rFonts w:ascii="Verdana" w:eastAsia="Times New Roman" w:hAnsi="Verdana" w:cs="Times New Roman"/>
                <w:bCs/>
                <w:szCs w:val="18"/>
                <w:vertAlign w:val="superscript"/>
                <w:lang w:val="es-ES" w:eastAsia="es-CO"/>
              </w:rPr>
              <w:t>Obligac</w:t>
            </w:r>
            <w:r>
              <w:rPr>
                <w:rFonts w:ascii="Verdana" w:eastAsia="Times New Roman" w:hAnsi="Verdana" w:cs="Times New Roman"/>
                <w:bCs/>
                <w:szCs w:val="18"/>
                <w:vertAlign w:val="superscript"/>
                <w:lang w:val="es-ES" w:eastAsia="es-CO"/>
              </w:rPr>
              <w:t>iones</w:t>
            </w:r>
          </w:p>
        </w:tc>
        <w:tc>
          <w:tcPr>
            <w:tcW w:w="434"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bCs/>
                <w:szCs w:val="18"/>
                <w:vertAlign w:val="superscript"/>
                <w:lang w:eastAsia="es-CO"/>
              </w:rPr>
            </w:pPr>
            <w:r w:rsidRPr="00C310DF">
              <w:rPr>
                <w:rFonts w:ascii="Verdana" w:eastAsia="Times New Roman" w:hAnsi="Verdana" w:cs="Times New Roman"/>
                <w:bCs/>
                <w:szCs w:val="18"/>
                <w:vertAlign w:val="superscript"/>
                <w:lang w:val="es-ES" w:eastAsia="es-CO"/>
              </w:rPr>
              <w:t>Pagos</w:t>
            </w:r>
          </w:p>
        </w:tc>
        <w:tc>
          <w:tcPr>
            <w:tcW w:w="372"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bCs/>
                <w:szCs w:val="18"/>
                <w:vertAlign w:val="superscript"/>
                <w:lang w:eastAsia="es-CO"/>
              </w:rPr>
            </w:pPr>
            <w:r w:rsidRPr="00C310DF">
              <w:rPr>
                <w:rFonts w:ascii="Verdana" w:eastAsia="Times New Roman" w:hAnsi="Verdana" w:cs="Times New Roman"/>
                <w:bCs/>
                <w:szCs w:val="18"/>
                <w:vertAlign w:val="superscript"/>
                <w:lang w:val="es-ES" w:eastAsia="es-CO"/>
              </w:rPr>
              <w:t>% Obli</w:t>
            </w:r>
          </w:p>
        </w:tc>
        <w:tc>
          <w:tcPr>
            <w:tcW w:w="373"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bCs/>
                <w:szCs w:val="18"/>
                <w:vertAlign w:val="superscript"/>
                <w:lang w:eastAsia="es-CO"/>
              </w:rPr>
            </w:pPr>
            <w:r w:rsidRPr="00C310DF">
              <w:rPr>
                <w:rFonts w:ascii="Verdana" w:eastAsia="Times New Roman" w:hAnsi="Verdana" w:cs="Times New Roman"/>
                <w:bCs/>
                <w:szCs w:val="18"/>
                <w:vertAlign w:val="superscript"/>
                <w:lang w:val="es-ES" w:eastAsia="es-CO"/>
              </w:rPr>
              <w:t xml:space="preserve"> pago</w:t>
            </w:r>
          </w:p>
        </w:tc>
        <w:tc>
          <w:tcPr>
            <w:tcW w:w="496"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Default="00C310DF" w:rsidP="00C310DF">
            <w:pPr>
              <w:spacing w:after="0" w:line="240" w:lineRule="auto"/>
              <w:jc w:val="center"/>
              <w:rPr>
                <w:rFonts w:ascii="Verdana" w:eastAsia="Times New Roman" w:hAnsi="Verdana" w:cs="Times New Roman"/>
                <w:bCs/>
                <w:szCs w:val="18"/>
                <w:vertAlign w:val="superscript"/>
                <w:lang w:val="es-ES" w:eastAsia="es-CO"/>
              </w:rPr>
            </w:pPr>
            <w:r>
              <w:rPr>
                <w:rFonts w:ascii="Verdana" w:eastAsia="Times New Roman" w:hAnsi="Verdana" w:cs="Times New Roman"/>
                <w:bCs/>
                <w:szCs w:val="18"/>
                <w:vertAlign w:val="superscript"/>
                <w:lang w:val="es-ES" w:eastAsia="es-CO"/>
              </w:rPr>
              <w:t>Presupuesto</w:t>
            </w:r>
          </w:p>
          <w:p w:rsidR="00C310DF" w:rsidRPr="00C310DF" w:rsidRDefault="00C310DF" w:rsidP="00C310DF">
            <w:pPr>
              <w:spacing w:after="0" w:line="240" w:lineRule="auto"/>
              <w:jc w:val="center"/>
              <w:rPr>
                <w:rFonts w:ascii="Verdana" w:eastAsia="Times New Roman" w:hAnsi="Verdana" w:cs="Times New Roman"/>
                <w:bCs/>
                <w:szCs w:val="18"/>
                <w:vertAlign w:val="superscript"/>
                <w:lang w:eastAsia="es-CO"/>
              </w:rPr>
            </w:pPr>
            <w:r w:rsidRPr="00C310DF">
              <w:rPr>
                <w:rFonts w:ascii="Verdana" w:eastAsia="Times New Roman" w:hAnsi="Verdana" w:cs="Times New Roman"/>
                <w:bCs/>
                <w:szCs w:val="18"/>
                <w:vertAlign w:val="superscript"/>
                <w:lang w:val="es-ES" w:eastAsia="es-CO"/>
              </w:rPr>
              <w:t>. Final</w:t>
            </w:r>
          </w:p>
        </w:tc>
        <w:tc>
          <w:tcPr>
            <w:tcW w:w="435"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bCs/>
                <w:szCs w:val="18"/>
                <w:vertAlign w:val="superscript"/>
                <w:lang w:eastAsia="es-CO"/>
              </w:rPr>
            </w:pPr>
            <w:r w:rsidRPr="00C310DF">
              <w:rPr>
                <w:rFonts w:ascii="Verdana" w:eastAsia="Times New Roman" w:hAnsi="Verdana" w:cs="Times New Roman"/>
                <w:bCs/>
                <w:szCs w:val="18"/>
                <w:vertAlign w:val="superscript"/>
                <w:lang w:val="es-ES" w:eastAsia="es-CO"/>
              </w:rPr>
              <w:t>Obligac</w:t>
            </w:r>
            <w:r>
              <w:rPr>
                <w:rFonts w:ascii="Verdana" w:eastAsia="Times New Roman" w:hAnsi="Verdana" w:cs="Times New Roman"/>
                <w:bCs/>
                <w:szCs w:val="18"/>
                <w:vertAlign w:val="superscript"/>
                <w:lang w:val="es-ES" w:eastAsia="es-CO"/>
              </w:rPr>
              <w:t>iones</w:t>
            </w:r>
          </w:p>
        </w:tc>
        <w:tc>
          <w:tcPr>
            <w:tcW w:w="496"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bCs/>
                <w:szCs w:val="18"/>
                <w:vertAlign w:val="superscript"/>
                <w:lang w:eastAsia="es-CO"/>
              </w:rPr>
            </w:pPr>
            <w:r w:rsidRPr="00C310DF">
              <w:rPr>
                <w:rFonts w:ascii="Verdana" w:eastAsia="Times New Roman" w:hAnsi="Verdana" w:cs="Times New Roman"/>
                <w:bCs/>
                <w:szCs w:val="18"/>
                <w:vertAlign w:val="superscript"/>
                <w:lang w:val="es-ES" w:eastAsia="es-CO"/>
              </w:rPr>
              <w:t>Pagos</w:t>
            </w:r>
          </w:p>
        </w:tc>
        <w:tc>
          <w:tcPr>
            <w:tcW w:w="470"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bCs/>
                <w:szCs w:val="18"/>
                <w:vertAlign w:val="superscript"/>
                <w:lang w:eastAsia="es-CO"/>
              </w:rPr>
            </w:pPr>
            <w:r w:rsidRPr="00C310DF">
              <w:rPr>
                <w:rFonts w:ascii="Verdana" w:eastAsia="Times New Roman" w:hAnsi="Verdana" w:cs="Times New Roman"/>
                <w:bCs/>
                <w:szCs w:val="18"/>
                <w:vertAlign w:val="superscript"/>
                <w:lang w:val="es-ES" w:eastAsia="es-CO"/>
              </w:rPr>
              <w:t>% obli</w:t>
            </w:r>
          </w:p>
        </w:tc>
        <w:tc>
          <w:tcPr>
            <w:tcW w:w="315"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bCs/>
                <w:szCs w:val="18"/>
                <w:vertAlign w:val="superscript"/>
                <w:lang w:eastAsia="es-CO"/>
              </w:rPr>
            </w:pPr>
            <w:r w:rsidRPr="00C310DF">
              <w:rPr>
                <w:rFonts w:ascii="Verdana" w:eastAsia="Times New Roman" w:hAnsi="Verdana" w:cs="Times New Roman"/>
                <w:bCs/>
                <w:szCs w:val="18"/>
                <w:vertAlign w:val="superscript"/>
                <w:lang w:val="es-ES" w:eastAsia="es-CO"/>
              </w:rPr>
              <w:t>% pago</w:t>
            </w:r>
          </w:p>
        </w:tc>
      </w:tr>
      <w:tr w:rsidR="00C310DF" w:rsidRPr="00C310DF" w:rsidTr="00C310DF">
        <w:trPr>
          <w:trHeight w:val="133"/>
          <w:jc w:val="center"/>
        </w:trPr>
        <w:tc>
          <w:tcPr>
            <w:tcW w:w="759"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C310DF" w:rsidRPr="00C310DF" w:rsidRDefault="00C310DF" w:rsidP="00C310DF">
            <w:pPr>
              <w:spacing w:after="0" w:line="240" w:lineRule="auto"/>
              <w:jc w:val="center"/>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Total Presupuesto</w:t>
            </w:r>
          </w:p>
        </w:tc>
        <w:tc>
          <w:tcPr>
            <w:tcW w:w="416"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C310DF" w:rsidRPr="00C310DF" w:rsidRDefault="00C310DF" w:rsidP="00C310DF">
            <w:pPr>
              <w:spacing w:after="0" w:line="240" w:lineRule="auto"/>
              <w:jc w:val="right"/>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43.908,91</w:t>
            </w:r>
          </w:p>
        </w:tc>
        <w:tc>
          <w:tcPr>
            <w:tcW w:w="434"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C310DF" w:rsidRPr="00C310DF" w:rsidRDefault="00C310DF" w:rsidP="00C310DF">
            <w:pPr>
              <w:spacing w:after="0" w:line="240" w:lineRule="auto"/>
              <w:jc w:val="right"/>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32.993,28</w:t>
            </w:r>
          </w:p>
        </w:tc>
        <w:tc>
          <w:tcPr>
            <w:tcW w:w="434"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C310DF" w:rsidRPr="00C310DF" w:rsidRDefault="00C310DF" w:rsidP="00C310DF">
            <w:pPr>
              <w:spacing w:after="0" w:line="240" w:lineRule="auto"/>
              <w:jc w:val="right"/>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29.766,31</w:t>
            </w:r>
          </w:p>
        </w:tc>
        <w:tc>
          <w:tcPr>
            <w:tcW w:w="372"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C310DF" w:rsidRPr="00C310DF" w:rsidRDefault="00C310DF" w:rsidP="00C310DF">
            <w:pPr>
              <w:spacing w:after="0" w:line="240" w:lineRule="auto"/>
              <w:jc w:val="center"/>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75%</w:t>
            </w:r>
          </w:p>
        </w:tc>
        <w:tc>
          <w:tcPr>
            <w:tcW w:w="373"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C310DF" w:rsidRPr="00C310DF" w:rsidRDefault="00C310DF" w:rsidP="00C310DF">
            <w:pPr>
              <w:spacing w:after="0" w:line="240" w:lineRule="auto"/>
              <w:jc w:val="center"/>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68%</w:t>
            </w:r>
          </w:p>
        </w:tc>
        <w:tc>
          <w:tcPr>
            <w:tcW w:w="496"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C310DF" w:rsidRPr="00C310DF" w:rsidRDefault="00C310DF" w:rsidP="00C310DF">
            <w:pPr>
              <w:spacing w:after="0" w:line="240" w:lineRule="auto"/>
              <w:jc w:val="right"/>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40.965,00</w:t>
            </w:r>
          </w:p>
        </w:tc>
        <w:tc>
          <w:tcPr>
            <w:tcW w:w="435"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C310DF" w:rsidRPr="00C310DF" w:rsidRDefault="00C310DF" w:rsidP="00C310DF">
            <w:pPr>
              <w:spacing w:after="0" w:line="240" w:lineRule="auto"/>
              <w:jc w:val="right"/>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37.387,92</w:t>
            </w:r>
          </w:p>
        </w:tc>
        <w:tc>
          <w:tcPr>
            <w:tcW w:w="496"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C310DF" w:rsidRPr="00C310DF" w:rsidRDefault="00C310DF" w:rsidP="00C310DF">
            <w:pPr>
              <w:spacing w:after="0" w:line="240" w:lineRule="auto"/>
              <w:jc w:val="right"/>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31.295,12</w:t>
            </w:r>
          </w:p>
        </w:tc>
        <w:tc>
          <w:tcPr>
            <w:tcW w:w="470"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C310DF" w:rsidRPr="00C310DF" w:rsidRDefault="00C310DF" w:rsidP="00C310DF">
            <w:pPr>
              <w:spacing w:after="0" w:line="240" w:lineRule="auto"/>
              <w:jc w:val="center"/>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91%</w:t>
            </w:r>
          </w:p>
        </w:tc>
        <w:tc>
          <w:tcPr>
            <w:tcW w:w="315"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C310DF" w:rsidRPr="00C310DF" w:rsidRDefault="00C310DF" w:rsidP="00C310DF">
            <w:pPr>
              <w:spacing w:after="0" w:line="240" w:lineRule="auto"/>
              <w:jc w:val="center"/>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76%</w:t>
            </w:r>
          </w:p>
        </w:tc>
      </w:tr>
      <w:tr w:rsidR="00C310DF" w:rsidRPr="00C310DF" w:rsidTr="00C310DF">
        <w:trPr>
          <w:trHeight w:val="281"/>
          <w:jc w:val="center"/>
        </w:trPr>
        <w:tc>
          <w:tcPr>
            <w:tcW w:w="759"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C310DF" w:rsidRPr="00C310DF" w:rsidRDefault="00C310DF" w:rsidP="00C310DF">
            <w:pPr>
              <w:spacing w:after="0" w:line="240" w:lineRule="auto"/>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Gastos de Funcionamiento</w:t>
            </w:r>
          </w:p>
        </w:tc>
        <w:tc>
          <w:tcPr>
            <w:tcW w:w="416"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C310DF" w:rsidRPr="00C310DF" w:rsidRDefault="00C310DF" w:rsidP="00C310DF">
            <w:pPr>
              <w:spacing w:after="0" w:line="240" w:lineRule="auto"/>
              <w:jc w:val="right"/>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10.490,00</w:t>
            </w:r>
          </w:p>
        </w:tc>
        <w:tc>
          <w:tcPr>
            <w:tcW w:w="434"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C310DF" w:rsidRPr="00C310DF" w:rsidRDefault="00C310DF" w:rsidP="00C310DF">
            <w:pPr>
              <w:spacing w:after="0" w:line="240" w:lineRule="auto"/>
              <w:jc w:val="right"/>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8.503,95</w:t>
            </w:r>
          </w:p>
        </w:tc>
        <w:tc>
          <w:tcPr>
            <w:tcW w:w="434"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C310DF" w:rsidRPr="00C310DF" w:rsidRDefault="00C310DF" w:rsidP="00C310DF">
            <w:pPr>
              <w:spacing w:after="0" w:line="240" w:lineRule="auto"/>
              <w:jc w:val="right"/>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8.320,28</w:t>
            </w:r>
          </w:p>
        </w:tc>
        <w:tc>
          <w:tcPr>
            <w:tcW w:w="372"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C310DF" w:rsidRPr="00C310DF" w:rsidRDefault="00C310DF" w:rsidP="00C310DF">
            <w:pPr>
              <w:spacing w:after="0" w:line="240" w:lineRule="auto"/>
              <w:jc w:val="center"/>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81%</w:t>
            </w:r>
          </w:p>
        </w:tc>
        <w:tc>
          <w:tcPr>
            <w:tcW w:w="373"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C310DF" w:rsidRPr="00C310DF" w:rsidRDefault="00C310DF" w:rsidP="00C310DF">
            <w:pPr>
              <w:spacing w:after="0" w:line="240" w:lineRule="auto"/>
              <w:jc w:val="center"/>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79%</w:t>
            </w:r>
          </w:p>
        </w:tc>
        <w:tc>
          <w:tcPr>
            <w:tcW w:w="496"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rsidR="00C310DF" w:rsidRPr="00C310DF" w:rsidRDefault="00C310DF" w:rsidP="00C310DF">
            <w:pPr>
              <w:spacing w:after="0" w:line="240" w:lineRule="auto"/>
              <w:jc w:val="right"/>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10.840,00</w:t>
            </w:r>
          </w:p>
        </w:tc>
        <w:tc>
          <w:tcPr>
            <w:tcW w:w="435"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rsidR="00C310DF" w:rsidRPr="00C310DF" w:rsidRDefault="00C310DF" w:rsidP="00C310DF">
            <w:pPr>
              <w:spacing w:after="0" w:line="240" w:lineRule="auto"/>
              <w:jc w:val="right"/>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10.278,27</w:t>
            </w:r>
          </w:p>
        </w:tc>
        <w:tc>
          <w:tcPr>
            <w:tcW w:w="496"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rsidR="00C310DF" w:rsidRPr="00C310DF" w:rsidRDefault="00C310DF" w:rsidP="00C310DF">
            <w:pPr>
              <w:spacing w:after="0" w:line="240" w:lineRule="auto"/>
              <w:jc w:val="right"/>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9.388,44</w:t>
            </w:r>
          </w:p>
        </w:tc>
        <w:tc>
          <w:tcPr>
            <w:tcW w:w="470"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C310DF" w:rsidRPr="00C310DF" w:rsidRDefault="00C310DF" w:rsidP="00C310DF">
            <w:pPr>
              <w:spacing w:after="0" w:line="240" w:lineRule="auto"/>
              <w:jc w:val="center"/>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95%</w:t>
            </w:r>
          </w:p>
        </w:tc>
        <w:tc>
          <w:tcPr>
            <w:tcW w:w="31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C310DF" w:rsidRPr="00C310DF" w:rsidRDefault="00C310DF" w:rsidP="00C310DF">
            <w:pPr>
              <w:spacing w:after="0" w:line="240" w:lineRule="auto"/>
              <w:jc w:val="center"/>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87%</w:t>
            </w:r>
          </w:p>
        </w:tc>
      </w:tr>
      <w:tr w:rsidR="00C310DF" w:rsidRPr="00C310DF" w:rsidTr="00C310DF">
        <w:trPr>
          <w:trHeight w:val="287"/>
          <w:jc w:val="center"/>
        </w:trPr>
        <w:tc>
          <w:tcPr>
            <w:tcW w:w="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rPr>
                <w:rFonts w:ascii="Verdana" w:eastAsia="Times New Roman" w:hAnsi="Verdana" w:cs="Times New Roman"/>
                <w:szCs w:val="18"/>
                <w:vertAlign w:val="superscript"/>
                <w:lang w:eastAsia="es-CO"/>
              </w:rPr>
            </w:pPr>
            <w:r w:rsidRPr="00C310DF">
              <w:rPr>
                <w:rFonts w:ascii="Verdana" w:eastAsia="Times New Roman" w:hAnsi="Verdana" w:cs="Times New Roman"/>
                <w:bCs/>
                <w:szCs w:val="18"/>
                <w:vertAlign w:val="superscript"/>
                <w:lang w:val="es-ES" w:eastAsia="es-CO"/>
              </w:rPr>
              <w:t>Gastos de Personal</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7.075,00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6.365,00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6.339,48</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90%</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90%</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7.339,00</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6.850,99</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6.850,99</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93%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93%</w:t>
            </w:r>
          </w:p>
        </w:tc>
      </w:tr>
      <w:tr w:rsidR="00C310DF" w:rsidRPr="00C310DF" w:rsidTr="00C310DF">
        <w:trPr>
          <w:trHeight w:val="279"/>
          <w:jc w:val="center"/>
        </w:trPr>
        <w:tc>
          <w:tcPr>
            <w:tcW w:w="75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C310DF" w:rsidRPr="00C310DF" w:rsidRDefault="00C310DF" w:rsidP="00C310DF">
            <w:pPr>
              <w:spacing w:after="0" w:line="240" w:lineRule="auto"/>
              <w:rPr>
                <w:rFonts w:ascii="Verdana" w:eastAsia="Times New Roman" w:hAnsi="Verdana" w:cs="Times New Roman"/>
                <w:szCs w:val="18"/>
                <w:vertAlign w:val="superscript"/>
                <w:lang w:eastAsia="es-CO"/>
              </w:rPr>
            </w:pPr>
            <w:r w:rsidRPr="00C310DF">
              <w:rPr>
                <w:rFonts w:ascii="Verdana" w:eastAsia="Times New Roman" w:hAnsi="Verdana" w:cs="Times New Roman"/>
                <w:bCs/>
                <w:szCs w:val="18"/>
                <w:vertAlign w:val="superscript"/>
                <w:lang w:val="es-ES" w:eastAsia="es-CO"/>
              </w:rPr>
              <w:t>Gastos Generales</w:t>
            </w:r>
          </w:p>
        </w:tc>
        <w:tc>
          <w:tcPr>
            <w:tcW w:w="416"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3.315,00</w:t>
            </w:r>
          </w:p>
        </w:tc>
        <w:tc>
          <w:tcPr>
            <w:tcW w:w="434"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2.078,57</w:t>
            </w:r>
          </w:p>
        </w:tc>
        <w:tc>
          <w:tcPr>
            <w:tcW w:w="434"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1.980,80</w:t>
            </w:r>
          </w:p>
        </w:tc>
        <w:tc>
          <w:tcPr>
            <w:tcW w:w="372"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63%</w:t>
            </w:r>
          </w:p>
        </w:tc>
        <w:tc>
          <w:tcPr>
            <w:tcW w:w="373"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60%</w:t>
            </w:r>
          </w:p>
        </w:tc>
        <w:tc>
          <w:tcPr>
            <w:tcW w:w="496"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3.398,00</w:t>
            </w:r>
          </w:p>
        </w:tc>
        <w:tc>
          <w:tcPr>
            <w:tcW w:w="435"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3.369,34</w:t>
            </w:r>
          </w:p>
        </w:tc>
        <w:tc>
          <w:tcPr>
            <w:tcW w:w="496"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2.479,52</w:t>
            </w:r>
          </w:p>
        </w:tc>
        <w:tc>
          <w:tcPr>
            <w:tcW w:w="470"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99%</w:t>
            </w:r>
          </w:p>
        </w:tc>
        <w:tc>
          <w:tcPr>
            <w:tcW w:w="315"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73%</w:t>
            </w:r>
          </w:p>
        </w:tc>
      </w:tr>
      <w:tr w:rsidR="00C310DF" w:rsidRPr="00C310DF" w:rsidTr="00C310DF">
        <w:trPr>
          <w:trHeight w:val="300"/>
          <w:jc w:val="center"/>
        </w:trPr>
        <w:tc>
          <w:tcPr>
            <w:tcW w:w="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rPr>
                <w:rFonts w:ascii="Verdana" w:eastAsia="Times New Roman" w:hAnsi="Verdana" w:cs="Times New Roman"/>
                <w:szCs w:val="18"/>
                <w:vertAlign w:val="superscript"/>
                <w:lang w:eastAsia="es-CO"/>
              </w:rPr>
            </w:pPr>
            <w:r w:rsidRPr="00C310DF">
              <w:rPr>
                <w:rFonts w:ascii="Verdana" w:eastAsia="Times New Roman" w:hAnsi="Verdana" w:cs="Times New Roman"/>
                <w:bCs/>
                <w:szCs w:val="18"/>
                <w:vertAlign w:val="superscript"/>
                <w:lang w:val="es-ES" w:eastAsia="es-CO"/>
              </w:rPr>
              <w:t>Transferencias</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100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60,38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60%</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0%</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103</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57,93</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57,93</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56%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56%</w:t>
            </w:r>
          </w:p>
        </w:tc>
      </w:tr>
      <w:tr w:rsidR="00C310DF" w:rsidRPr="00C310DF" w:rsidTr="00C310DF">
        <w:trPr>
          <w:trHeight w:val="300"/>
          <w:jc w:val="center"/>
        </w:trPr>
        <w:tc>
          <w:tcPr>
            <w:tcW w:w="759"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rsidR="00C310DF" w:rsidRPr="00C310DF" w:rsidRDefault="00C310DF" w:rsidP="00C310DF">
            <w:pPr>
              <w:spacing w:after="0" w:line="240" w:lineRule="auto"/>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Inversión</w:t>
            </w:r>
          </w:p>
        </w:tc>
        <w:tc>
          <w:tcPr>
            <w:tcW w:w="416"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C310DF" w:rsidRPr="00C310DF" w:rsidRDefault="00C310DF" w:rsidP="00C310DF">
            <w:pPr>
              <w:spacing w:after="0" w:line="240" w:lineRule="auto"/>
              <w:jc w:val="right"/>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33.418,91</w:t>
            </w:r>
          </w:p>
        </w:tc>
        <w:tc>
          <w:tcPr>
            <w:tcW w:w="434"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C310DF" w:rsidRPr="00C310DF" w:rsidRDefault="00C310DF" w:rsidP="00C310DF">
            <w:pPr>
              <w:spacing w:after="0" w:line="240" w:lineRule="auto"/>
              <w:jc w:val="right"/>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24.489,33</w:t>
            </w:r>
          </w:p>
        </w:tc>
        <w:tc>
          <w:tcPr>
            <w:tcW w:w="434"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C310DF" w:rsidRPr="00C310DF" w:rsidRDefault="00C310DF" w:rsidP="00C310DF">
            <w:pPr>
              <w:spacing w:after="0" w:line="240" w:lineRule="auto"/>
              <w:jc w:val="right"/>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21.446,03</w:t>
            </w:r>
          </w:p>
        </w:tc>
        <w:tc>
          <w:tcPr>
            <w:tcW w:w="372"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C310DF" w:rsidRPr="00C310DF" w:rsidRDefault="00C310DF" w:rsidP="00C310DF">
            <w:pPr>
              <w:spacing w:after="0" w:line="240" w:lineRule="auto"/>
              <w:jc w:val="center"/>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73%</w:t>
            </w:r>
          </w:p>
        </w:tc>
        <w:tc>
          <w:tcPr>
            <w:tcW w:w="373"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C310DF" w:rsidRPr="00C310DF" w:rsidRDefault="00C310DF" w:rsidP="00C310DF">
            <w:pPr>
              <w:spacing w:after="0" w:line="240" w:lineRule="auto"/>
              <w:jc w:val="center"/>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64%</w:t>
            </w:r>
          </w:p>
        </w:tc>
        <w:tc>
          <w:tcPr>
            <w:tcW w:w="496"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rsidR="00C310DF" w:rsidRPr="00C310DF" w:rsidRDefault="00C310DF" w:rsidP="00C310DF">
            <w:pPr>
              <w:spacing w:after="0" w:line="240" w:lineRule="auto"/>
              <w:jc w:val="right"/>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30.125,00</w:t>
            </w:r>
          </w:p>
        </w:tc>
        <w:tc>
          <w:tcPr>
            <w:tcW w:w="435"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rsidR="00C310DF" w:rsidRPr="00C310DF" w:rsidRDefault="00C310DF" w:rsidP="00C310DF">
            <w:pPr>
              <w:spacing w:after="0" w:line="240" w:lineRule="auto"/>
              <w:jc w:val="right"/>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27.109,65</w:t>
            </w:r>
          </w:p>
        </w:tc>
        <w:tc>
          <w:tcPr>
            <w:tcW w:w="496"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rsidR="00C310DF" w:rsidRPr="00C310DF" w:rsidRDefault="00C310DF" w:rsidP="00C310DF">
            <w:pPr>
              <w:spacing w:after="0" w:line="240" w:lineRule="auto"/>
              <w:jc w:val="right"/>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21.906,68</w:t>
            </w:r>
          </w:p>
        </w:tc>
        <w:tc>
          <w:tcPr>
            <w:tcW w:w="470"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C310DF" w:rsidRPr="00C310DF" w:rsidRDefault="00C310DF" w:rsidP="00C310DF">
            <w:pPr>
              <w:spacing w:after="0" w:line="240" w:lineRule="auto"/>
              <w:jc w:val="center"/>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90%</w:t>
            </w:r>
          </w:p>
        </w:tc>
        <w:tc>
          <w:tcPr>
            <w:tcW w:w="31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C310DF" w:rsidRPr="00C310DF" w:rsidRDefault="00C310DF" w:rsidP="00C310DF">
            <w:pPr>
              <w:spacing w:after="0" w:line="240" w:lineRule="auto"/>
              <w:jc w:val="center"/>
              <w:rPr>
                <w:rFonts w:ascii="Verdana" w:eastAsia="Times New Roman" w:hAnsi="Verdana" w:cs="Times New Roman"/>
                <w:b/>
                <w:bCs/>
                <w:color w:val="FFFFFF" w:themeColor="background1"/>
                <w:szCs w:val="18"/>
                <w:vertAlign w:val="superscript"/>
                <w:lang w:eastAsia="es-CO"/>
              </w:rPr>
            </w:pPr>
            <w:r w:rsidRPr="00C310DF">
              <w:rPr>
                <w:rFonts w:ascii="Verdana" w:eastAsia="Times New Roman" w:hAnsi="Verdana" w:cs="Times New Roman"/>
                <w:b/>
                <w:bCs/>
                <w:color w:val="FFFFFF" w:themeColor="background1"/>
                <w:szCs w:val="18"/>
                <w:vertAlign w:val="superscript"/>
                <w:lang w:val="es-ES" w:eastAsia="es-CO"/>
              </w:rPr>
              <w:t>73%</w:t>
            </w:r>
          </w:p>
        </w:tc>
      </w:tr>
      <w:tr w:rsidR="00C310DF" w:rsidRPr="00C310DF" w:rsidTr="00C310DF">
        <w:trPr>
          <w:trHeight w:val="131"/>
          <w:jc w:val="center"/>
        </w:trPr>
        <w:tc>
          <w:tcPr>
            <w:tcW w:w="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rPr>
                <w:rFonts w:ascii="Verdana" w:eastAsia="Times New Roman" w:hAnsi="Verdana" w:cs="Times New Roman"/>
                <w:szCs w:val="18"/>
                <w:vertAlign w:val="superscript"/>
                <w:lang w:eastAsia="es-CO"/>
              </w:rPr>
            </w:pPr>
            <w:r w:rsidRPr="00C310DF">
              <w:rPr>
                <w:rFonts w:ascii="Verdana" w:eastAsia="Times New Roman" w:hAnsi="Verdana" w:cs="Times New Roman"/>
                <w:bCs/>
                <w:szCs w:val="18"/>
                <w:vertAlign w:val="superscript"/>
                <w:lang w:val="es-ES" w:eastAsia="es-CO"/>
              </w:rPr>
              <w:t>Museo de la memoria (Rec. Nación)</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6.000,00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2.894,79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2.081,46</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48%</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35%</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3.990,00</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3.364,00</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2.555,52</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84%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64%</w:t>
            </w:r>
          </w:p>
        </w:tc>
      </w:tr>
      <w:tr w:rsidR="00C310DF" w:rsidRPr="00C310DF" w:rsidTr="00C310DF">
        <w:trPr>
          <w:trHeight w:val="184"/>
          <w:jc w:val="center"/>
        </w:trPr>
        <w:tc>
          <w:tcPr>
            <w:tcW w:w="759"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rPr>
                <w:rFonts w:ascii="Verdana" w:eastAsia="Times New Roman" w:hAnsi="Verdana" w:cs="Times New Roman"/>
                <w:szCs w:val="18"/>
                <w:vertAlign w:val="superscript"/>
                <w:lang w:eastAsia="es-CO"/>
              </w:rPr>
            </w:pPr>
            <w:r w:rsidRPr="00C310DF">
              <w:rPr>
                <w:rFonts w:ascii="Verdana" w:eastAsia="Times New Roman" w:hAnsi="Verdana" w:cs="Times New Roman"/>
                <w:bCs/>
                <w:szCs w:val="18"/>
                <w:vertAlign w:val="superscript"/>
                <w:lang w:val="es-ES" w:eastAsia="es-CO"/>
              </w:rPr>
              <w:t xml:space="preserve">Museo de la </w:t>
            </w:r>
            <w:r w:rsidRPr="00C310DF">
              <w:rPr>
                <w:rFonts w:ascii="Verdana" w:eastAsia="Times New Roman" w:hAnsi="Verdana" w:cs="Times New Roman"/>
                <w:bCs/>
                <w:szCs w:val="18"/>
                <w:vertAlign w:val="superscript"/>
                <w:lang w:val="es-ES" w:eastAsia="es-CO"/>
              </w:rPr>
              <w:lastRenderedPageBreak/>
              <w:t>memoria (Rec. Propios)</w:t>
            </w:r>
          </w:p>
        </w:tc>
        <w:tc>
          <w:tcPr>
            <w:tcW w:w="416"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lastRenderedPageBreak/>
              <w:t>-</w:t>
            </w:r>
          </w:p>
        </w:tc>
        <w:tc>
          <w:tcPr>
            <w:tcW w:w="434"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w:t>
            </w:r>
          </w:p>
        </w:tc>
        <w:tc>
          <w:tcPr>
            <w:tcW w:w="434"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w:t>
            </w:r>
          </w:p>
        </w:tc>
        <w:tc>
          <w:tcPr>
            <w:tcW w:w="372"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0%</w:t>
            </w:r>
          </w:p>
        </w:tc>
        <w:tc>
          <w:tcPr>
            <w:tcW w:w="373"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0%</w:t>
            </w:r>
          </w:p>
        </w:tc>
        <w:tc>
          <w:tcPr>
            <w:tcW w:w="496"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1.025,00</w:t>
            </w:r>
          </w:p>
        </w:tc>
        <w:tc>
          <w:tcPr>
            <w:tcW w:w="435"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w:t>
            </w:r>
          </w:p>
        </w:tc>
        <w:tc>
          <w:tcPr>
            <w:tcW w:w="496"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w:t>
            </w:r>
          </w:p>
        </w:tc>
        <w:tc>
          <w:tcPr>
            <w:tcW w:w="470"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0%</w:t>
            </w:r>
          </w:p>
        </w:tc>
        <w:tc>
          <w:tcPr>
            <w:tcW w:w="315"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0%</w:t>
            </w:r>
          </w:p>
        </w:tc>
      </w:tr>
      <w:tr w:rsidR="00C310DF" w:rsidRPr="00C310DF" w:rsidTr="00C310DF">
        <w:trPr>
          <w:trHeight w:val="264"/>
          <w:jc w:val="center"/>
        </w:trPr>
        <w:tc>
          <w:tcPr>
            <w:tcW w:w="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rPr>
                <w:rFonts w:ascii="Verdana" w:eastAsia="Times New Roman" w:hAnsi="Verdana" w:cs="Times New Roman"/>
                <w:szCs w:val="18"/>
                <w:vertAlign w:val="superscript"/>
                <w:lang w:eastAsia="es-CO"/>
              </w:rPr>
            </w:pPr>
            <w:r w:rsidRPr="00C310DF">
              <w:rPr>
                <w:rFonts w:ascii="Verdana" w:eastAsia="Times New Roman" w:hAnsi="Verdana" w:cs="Times New Roman"/>
                <w:bCs/>
                <w:szCs w:val="18"/>
                <w:vertAlign w:val="superscript"/>
                <w:lang w:val="es-ES" w:eastAsia="es-CO"/>
              </w:rPr>
              <w:lastRenderedPageBreak/>
              <w:t>Estrategia tecnológica</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3.200,00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2.910,44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2.376,33</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91%</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74%</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3.566,84</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3.305,02</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1.752,62</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93%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49%</w:t>
            </w:r>
          </w:p>
        </w:tc>
      </w:tr>
      <w:tr w:rsidR="00C310DF" w:rsidRPr="00C310DF" w:rsidTr="00C310DF">
        <w:trPr>
          <w:trHeight w:val="695"/>
          <w:jc w:val="center"/>
        </w:trPr>
        <w:tc>
          <w:tcPr>
            <w:tcW w:w="759"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rPr>
                <w:rFonts w:ascii="Verdana" w:eastAsia="Times New Roman" w:hAnsi="Verdana" w:cs="Times New Roman"/>
                <w:szCs w:val="18"/>
                <w:vertAlign w:val="superscript"/>
                <w:lang w:eastAsia="es-CO"/>
              </w:rPr>
            </w:pPr>
            <w:r w:rsidRPr="00C310DF">
              <w:rPr>
                <w:rFonts w:ascii="Verdana" w:eastAsia="Times New Roman" w:hAnsi="Verdana" w:cs="Times New Roman"/>
                <w:bCs/>
                <w:szCs w:val="18"/>
                <w:vertAlign w:val="superscript"/>
                <w:lang w:val="es-ES" w:eastAsia="es-CO"/>
              </w:rPr>
              <w:t>Programa nacional de derechos humanos y memoria histórica (rec. 10)</w:t>
            </w:r>
          </w:p>
        </w:tc>
        <w:tc>
          <w:tcPr>
            <w:tcW w:w="416"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15.399,00</w:t>
            </w:r>
          </w:p>
        </w:tc>
        <w:tc>
          <w:tcPr>
            <w:tcW w:w="434"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13.226,06</w:t>
            </w:r>
          </w:p>
        </w:tc>
        <w:tc>
          <w:tcPr>
            <w:tcW w:w="434"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11.706,88</w:t>
            </w:r>
          </w:p>
        </w:tc>
        <w:tc>
          <w:tcPr>
            <w:tcW w:w="372"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86%</w:t>
            </w:r>
          </w:p>
        </w:tc>
        <w:tc>
          <w:tcPr>
            <w:tcW w:w="373"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76%</w:t>
            </w:r>
          </w:p>
        </w:tc>
        <w:tc>
          <w:tcPr>
            <w:tcW w:w="496"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14.036,52</w:t>
            </w:r>
          </w:p>
        </w:tc>
        <w:tc>
          <w:tcPr>
            <w:tcW w:w="435"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13.617,98</w:t>
            </w:r>
          </w:p>
        </w:tc>
        <w:tc>
          <w:tcPr>
            <w:tcW w:w="496"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11.011,87</w:t>
            </w:r>
          </w:p>
        </w:tc>
        <w:tc>
          <w:tcPr>
            <w:tcW w:w="470"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97%</w:t>
            </w:r>
          </w:p>
        </w:tc>
        <w:tc>
          <w:tcPr>
            <w:tcW w:w="315"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78%</w:t>
            </w:r>
          </w:p>
        </w:tc>
      </w:tr>
      <w:tr w:rsidR="00C310DF" w:rsidRPr="00C310DF" w:rsidTr="00C310DF">
        <w:trPr>
          <w:trHeight w:val="213"/>
          <w:jc w:val="center"/>
        </w:trPr>
        <w:tc>
          <w:tcPr>
            <w:tcW w:w="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rPr>
                <w:rFonts w:ascii="Verdana" w:eastAsia="Times New Roman" w:hAnsi="Verdana" w:cs="Times New Roman"/>
                <w:szCs w:val="18"/>
                <w:vertAlign w:val="superscript"/>
                <w:lang w:eastAsia="es-CO"/>
              </w:rPr>
            </w:pPr>
            <w:r w:rsidRPr="00C310DF">
              <w:rPr>
                <w:rFonts w:ascii="Verdana" w:eastAsia="Times New Roman" w:hAnsi="Verdana" w:cs="Times New Roman"/>
                <w:bCs/>
                <w:szCs w:val="18"/>
                <w:vertAlign w:val="superscript"/>
                <w:lang w:val="es-ES" w:eastAsia="es-CO"/>
              </w:rPr>
              <w:t>Programa nacional de derechos humanos y memoria histórica (rec. 11)</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800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170,02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28,15</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21%</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4%</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0%</w:t>
            </w:r>
          </w:p>
        </w:tc>
      </w:tr>
      <w:tr w:rsidR="00C310DF" w:rsidRPr="00C310DF" w:rsidTr="00C310DF">
        <w:trPr>
          <w:trHeight w:val="724"/>
          <w:jc w:val="center"/>
        </w:trPr>
        <w:tc>
          <w:tcPr>
            <w:tcW w:w="759"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rPr>
                <w:rFonts w:ascii="Verdana" w:eastAsia="Times New Roman" w:hAnsi="Verdana" w:cs="Times New Roman"/>
                <w:szCs w:val="18"/>
                <w:vertAlign w:val="superscript"/>
                <w:lang w:eastAsia="es-CO"/>
              </w:rPr>
            </w:pPr>
            <w:r w:rsidRPr="00C310DF">
              <w:rPr>
                <w:rFonts w:ascii="Verdana" w:eastAsia="Times New Roman" w:hAnsi="Verdana" w:cs="Times New Roman"/>
                <w:bCs/>
                <w:szCs w:val="18"/>
                <w:vertAlign w:val="superscript"/>
                <w:lang w:val="es-ES" w:eastAsia="es-CO"/>
              </w:rPr>
              <w:t>Programa nacional de derechos humanos y memoria histórica (rec. 20)</w:t>
            </w:r>
          </w:p>
        </w:tc>
        <w:tc>
          <w:tcPr>
            <w:tcW w:w="416"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1.200,00</w:t>
            </w:r>
          </w:p>
        </w:tc>
        <w:tc>
          <w:tcPr>
            <w:tcW w:w="434"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789,09</w:t>
            </w:r>
          </w:p>
        </w:tc>
        <w:tc>
          <w:tcPr>
            <w:tcW w:w="434"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777,48</w:t>
            </w:r>
          </w:p>
        </w:tc>
        <w:tc>
          <w:tcPr>
            <w:tcW w:w="372"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66%</w:t>
            </w:r>
          </w:p>
        </w:tc>
        <w:tc>
          <w:tcPr>
            <w:tcW w:w="373"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65%</w:t>
            </w:r>
          </w:p>
        </w:tc>
        <w:tc>
          <w:tcPr>
            <w:tcW w:w="496"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w:t>
            </w:r>
          </w:p>
        </w:tc>
        <w:tc>
          <w:tcPr>
            <w:tcW w:w="435"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w:t>
            </w:r>
          </w:p>
        </w:tc>
        <w:tc>
          <w:tcPr>
            <w:tcW w:w="496"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w:t>
            </w:r>
          </w:p>
        </w:tc>
        <w:tc>
          <w:tcPr>
            <w:tcW w:w="470"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0%</w:t>
            </w:r>
          </w:p>
        </w:tc>
        <w:tc>
          <w:tcPr>
            <w:tcW w:w="315"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0%</w:t>
            </w:r>
          </w:p>
        </w:tc>
      </w:tr>
      <w:tr w:rsidR="00C310DF" w:rsidRPr="00C310DF" w:rsidTr="00C310DF">
        <w:trPr>
          <w:trHeight w:val="116"/>
          <w:jc w:val="center"/>
        </w:trPr>
        <w:tc>
          <w:tcPr>
            <w:tcW w:w="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rPr>
                <w:rFonts w:ascii="Verdana" w:eastAsia="Times New Roman" w:hAnsi="Verdana" w:cs="Times New Roman"/>
                <w:szCs w:val="18"/>
                <w:vertAlign w:val="superscript"/>
                <w:lang w:eastAsia="es-CO"/>
              </w:rPr>
            </w:pPr>
            <w:r w:rsidRPr="00C310DF">
              <w:rPr>
                <w:rFonts w:ascii="Verdana" w:eastAsia="Times New Roman" w:hAnsi="Verdana" w:cs="Times New Roman"/>
                <w:bCs/>
                <w:szCs w:val="18"/>
                <w:vertAlign w:val="superscript"/>
                <w:lang w:val="es-ES" w:eastAsia="es-CO"/>
              </w:rPr>
              <w:t>Acuerdos de la verdad</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5.913,20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4.352,09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4.328,89</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74%</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73%</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7.506,64</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6.822,65</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6.586,67</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91%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88%</w:t>
            </w:r>
          </w:p>
        </w:tc>
      </w:tr>
      <w:tr w:rsidR="00C310DF" w:rsidRPr="00C310DF" w:rsidTr="00C310DF">
        <w:trPr>
          <w:trHeight w:val="107"/>
          <w:jc w:val="center"/>
        </w:trPr>
        <w:tc>
          <w:tcPr>
            <w:tcW w:w="759"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rPr>
                <w:rFonts w:ascii="Verdana" w:eastAsia="Times New Roman" w:hAnsi="Verdana" w:cs="Times New Roman"/>
                <w:szCs w:val="18"/>
                <w:vertAlign w:val="superscript"/>
                <w:lang w:eastAsia="es-CO"/>
              </w:rPr>
            </w:pPr>
            <w:r w:rsidRPr="00C310DF">
              <w:rPr>
                <w:rFonts w:ascii="Verdana" w:eastAsia="Times New Roman" w:hAnsi="Verdana" w:cs="Times New Roman"/>
                <w:bCs/>
                <w:szCs w:val="18"/>
                <w:vertAlign w:val="superscript"/>
                <w:lang w:val="es-ES" w:eastAsia="es-CO"/>
              </w:rPr>
              <w:t>Proyecto desaparición forzada (rec. 25)</w:t>
            </w:r>
          </w:p>
        </w:tc>
        <w:tc>
          <w:tcPr>
            <w:tcW w:w="416"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906,71</w:t>
            </w:r>
          </w:p>
        </w:tc>
        <w:tc>
          <w:tcPr>
            <w:tcW w:w="434"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146,85</w:t>
            </w:r>
          </w:p>
        </w:tc>
        <w:tc>
          <w:tcPr>
            <w:tcW w:w="434"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146,85</w:t>
            </w:r>
          </w:p>
        </w:tc>
        <w:tc>
          <w:tcPr>
            <w:tcW w:w="372"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16%</w:t>
            </w:r>
          </w:p>
        </w:tc>
        <w:tc>
          <w:tcPr>
            <w:tcW w:w="373"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16%</w:t>
            </w:r>
          </w:p>
        </w:tc>
        <w:tc>
          <w:tcPr>
            <w:tcW w:w="496"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w:t>
            </w:r>
          </w:p>
        </w:tc>
        <w:tc>
          <w:tcPr>
            <w:tcW w:w="435"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w:t>
            </w:r>
          </w:p>
        </w:tc>
        <w:tc>
          <w:tcPr>
            <w:tcW w:w="496"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C310DF" w:rsidRPr="00C310DF" w:rsidRDefault="00C310DF" w:rsidP="00C310DF">
            <w:pPr>
              <w:spacing w:after="0" w:line="240" w:lineRule="auto"/>
              <w:jc w:val="right"/>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w:t>
            </w:r>
          </w:p>
        </w:tc>
        <w:tc>
          <w:tcPr>
            <w:tcW w:w="470"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0%</w:t>
            </w:r>
          </w:p>
        </w:tc>
        <w:tc>
          <w:tcPr>
            <w:tcW w:w="315"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C310DF" w:rsidRPr="00C310DF" w:rsidRDefault="00C310DF" w:rsidP="00C310DF">
            <w:pPr>
              <w:spacing w:after="0" w:line="240" w:lineRule="auto"/>
              <w:jc w:val="center"/>
              <w:rPr>
                <w:rFonts w:ascii="Verdana" w:eastAsia="Times New Roman" w:hAnsi="Verdana" w:cs="Times New Roman"/>
                <w:szCs w:val="18"/>
                <w:vertAlign w:val="superscript"/>
                <w:lang w:eastAsia="es-CO"/>
              </w:rPr>
            </w:pPr>
            <w:r w:rsidRPr="00C310DF">
              <w:rPr>
                <w:rFonts w:ascii="Verdana" w:eastAsia="Times New Roman" w:hAnsi="Verdana" w:cs="Times New Roman"/>
                <w:szCs w:val="18"/>
                <w:vertAlign w:val="superscript"/>
                <w:lang w:val="es-ES" w:eastAsia="es-CO"/>
              </w:rPr>
              <w:t>0%</w:t>
            </w:r>
          </w:p>
        </w:tc>
      </w:tr>
    </w:tbl>
    <w:p w:rsidR="00C310DF" w:rsidRPr="00BC7F3F" w:rsidRDefault="00C310DF" w:rsidP="00C310DF">
      <w:pPr>
        <w:spacing w:after="0" w:line="240" w:lineRule="auto"/>
        <w:jc w:val="both"/>
        <w:rPr>
          <w:rFonts w:ascii="Verdana" w:hAnsi="Verdana"/>
          <w:sz w:val="24"/>
          <w:szCs w:val="24"/>
        </w:rPr>
      </w:pPr>
    </w:p>
    <w:p w:rsidR="00C310DF" w:rsidRDefault="00C310DF" w:rsidP="00C310DF">
      <w:pPr>
        <w:spacing w:after="0" w:line="240" w:lineRule="auto"/>
        <w:jc w:val="both"/>
        <w:rPr>
          <w:rFonts w:ascii="Verdana" w:hAnsi="Verdana"/>
          <w:sz w:val="24"/>
          <w:szCs w:val="24"/>
        </w:rPr>
      </w:pPr>
    </w:p>
    <w:p w:rsidR="00C310DF" w:rsidRPr="00CE0320" w:rsidRDefault="00C310DF" w:rsidP="00C310DF">
      <w:pPr>
        <w:spacing w:after="0" w:line="240" w:lineRule="auto"/>
        <w:rPr>
          <w:rFonts w:ascii="Verdana" w:hAnsi="Verdana"/>
          <w:b/>
          <w:color w:val="4F81BD" w:themeColor="accent1"/>
          <w:sz w:val="24"/>
          <w:szCs w:val="24"/>
        </w:rPr>
      </w:pPr>
      <w:r w:rsidRPr="00CE0320">
        <w:rPr>
          <w:rFonts w:ascii="Verdana" w:hAnsi="Verdana"/>
          <w:b/>
          <w:color w:val="4F81BD" w:themeColor="accent1"/>
          <w:sz w:val="24"/>
          <w:szCs w:val="24"/>
        </w:rPr>
        <w:t>ESTADOS FINANCIEROS ULTIMAS DOS VIGENCIAS</w:t>
      </w:r>
    </w:p>
    <w:p w:rsidR="00C310DF" w:rsidRDefault="00C310DF" w:rsidP="00C310DF">
      <w:pPr>
        <w:spacing w:after="0" w:line="240" w:lineRule="auto"/>
        <w:jc w:val="both"/>
        <w:rPr>
          <w:rFonts w:ascii="Verdana" w:hAnsi="Verdana"/>
          <w:b/>
          <w:color w:val="4F81BD" w:themeColor="accent1"/>
          <w:sz w:val="28"/>
          <w:szCs w:val="24"/>
        </w:rPr>
      </w:pPr>
    </w:p>
    <w:p w:rsidR="00C310DF" w:rsidRDefault="00C310DF" w:rsidP="00C310DF">
      <w:pPr>
        <w:spacing w:after="0" w:line="240" w:lineRule="auto"/>
        <w:jc w:val="both"/>
        <w:rPr>
          <w:rFonts w:ascii="Verdana" w:hAnsi="Verdana"/>
          <w:sz w:val="24"/>
          <w:szCs w:val="24"/>
        </w:rPr>
      </w:pPr>
      <w:r>
        <w:rPr>
          <w:rFonts w:ascii="Verdana" w:hAnsi="Verdana"/>
          <w:sz w:val="24"/>
          <w:szCs w:val="24"/>
        </w:rPr>
        <w:t>Para c</w:t>
      </w:r>
      <w:r w:rsidRPr="00DE1882">
        <w:rPr>
          <w:rFonts w:ascii="Verdana" w:hAnsi="Verdana"/>
          <w:sz w:val="24"/>
          <w:szCs w:val="24"/>
        </w:rPr>
        <w:t>onsultar</w:t>
      </w:r>
      <w:r>
        <w:rPr>
          <w:rFonts w:ascii="Verdana" w:hAnsi="Verdana"/>
          <w:sz w:val="24"/>
          <w:szCs w:val="24"/>
        </w:rPr>
        <w:t xml:space="preserve"> los Estados financieros diríjase al</w:t>
      </w:r>
      <w:r w:rsidRPr="00DE1882">
        <w:rPr>
          <w:rFonts w:ascii="Verdana" w:hAnsi="Verdana"/>
          <w:sz w:val="24"/>
          <w:szCs w:val="24"/>
        </w:rPr>
        <w:t xml:space="preserve"> Anexo 3A CNMH Estados Financieros 2014</w:t>
      </w:r>
      <w:r>
        <w:rPr>
          <w:rFonts w:ascii="Verdana" w:hAnsi="Verdana"/>
          <w:sz w:val="24"/>
          <w:szCs w:val="24"/>
        </w:rPr>
        <w:t xml:space="preserve">, </w:t>
      </w:r>
      <w:r w:rsidRPr="00DE1882">
        <w:rPr>
          <w:rFonts w:ascii="Verdana" w:hAnsi="Verdana"/>
          <w:sz w:val="24"/>
          <w:szCs w:val="24"/>
        </w:rPr>
        <w:t>Anexo 3B CNMH Estados Financier</w:t>
      </w:r>
      <w:r>
        <w:rPr>
          <w:rFonts w:ascii="Verdana" w:hAnsi="Verdana"/>
          <w:sz w:val="24"/>
          <w:szCs w:val="24"/>
        </w:rPr>
        <w:t>os 2014 Cambio en el patrimonio y Anexo 3C CNMH Estados Financieros 2013</w:t>
      </w:r>
    </w:p>
    <w:p w:rsidR="00C310DF" w:rsidRDefault="00C310DF" w:rsidP="00C310DF">
      <w:pPr>
        <w:spacing w:after="0" w:line="240" w:lineRule="auto"/>
        <w:jc w:val="both"/>
        <w:rPr>
          <w:rFonts w:ascii="Verdana" w:hAnsi="Verdana"/>
          <w:sz w:val="24"/>
          <w:szCs w:val="24"/>
        </w:rPr>
      </w:pPr>
    </w:p>
    <w:p w:rsidR="00C310DF" w:rsidRPr="00BC7F3F" w:rsidRDefault="00C310DF" w:rsidP="00C310DF">
      <w:pPr>
        <w:spacing w:after="0" w:line="240" w:lineRule="auto"/>
        <w:jc w:val="both"/>
        <w:rPr>
          <w:rFonts w:ascii="Verdana" w:hAnsi="Verdana"/>
          <w:sz w:val="24"/>
          <w:szCs w:val="24"/>
        </w:rPr>
      </w:pPr>
    </w:p>
    <w:p w:rsidR="00C310DF" w:rsidRPr="00C310DF" w:rsidRDefault="00C310DF" w:rsidP="00C310DF">
      <w:pPr>
        <w:spacing w:after="0" w:line="240" w:lineRule="auto"/>
        <w:jc w:val="both"/>
        <w:rPr>
          <w:rFonts w:ascii="Verdana" w:hAnsi="Verdana"/>
          <w:b/>
          <w:color w:val="4F81BD" w:themeColor="accent1"/>
          <w:sz w:val="28"/>
          <w:szCs w:val="24"/>
        </w:rPr>
      </w:pPr>
      <w:r w:rsidRPr="00C310DF">
        <w:rPr>
          <w:rFonts w:ascii="Verdana" w:hAnsi="Verdana"/>
          <w:b/>
          <w:noProof/>
          <w:color w:val="4F81BD" w:themeColor="accent1"/>
          <w:sz w:val="24"/>
          <w:szCs w:val="24"/>
          <w:lang w:eastAsia="es-CO"/>
        </w:rPr>
        <w:drawing>
          <wp:inline distT="0" distB="0" distL="0" distR="0">
            <wp:extent cx="216024" cy="216024"/>
            <wp:effectExtent l="19050" t="0" r="0" b="0"/>
            <wp:docPr id="478"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8100392" y="4797152"/>
                      <a:chExt cx="216024" cy="216024"/>
                    </a:xfrm>
                  </a:grpSpPr>
                  <a:sp>
                    <a:nvSpPr>
                      <a:cNvPr id="41" name="40 Rectángulo redondeado"/>
                      <a:cNvSpPr/>
                    </a:nvSpPr>
                    <a:spPr>
                      <a:xfrm>
                        <a:off x="8100392" y="4797152"/>
                        <a:ext cx="216024" cy="216024"/>
                      </a:xfrm>
                      <a:prstGeom prst="roundRect">
                        <a:avLst/>
                      </a:prstGeom>
                      <a:gradFill flip="none" rotWithShape="1">
                        <a:gsLst>
                          <a:gs pos="0">
                            <a:schemeClr val="bg1">
                              <a:lumMod val="85000"/>
                              <a:shade val="30000"/>
                              <a:satMod val="115000"/>
                            </a:schemeClr>
                          </a:gs>
                          <a:gs pos="50000">
                            <a:schemeClr val="bg1">
                              <a:lumMod val="85000"/>
                              <a:shade val="67500"/>
                              <a:satMod val="115000"/>
                            </a:schemeClr>
                          </a:gs>
                          <a:gs pos="100000">
                            <a:schemeClr val="bg1">
                              <a:lumMod val="85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hAnsi="Verdana"/>
          <w:b/>
          <w:color w:val="4F81BD" w:themeColor="accent1"/>
          <w:sz w:val="24"/>
          <w:szCs w:val="24"/>
        </w:rPr>
        <w:t xml:space="preserve">  </w:t>
      </w:r>
      <w:r w:rsidRPr="00C310DF">
        <w:rPr>
          <w:rFonts w:ascii="Verdana" w:hAnsi="Verdana"/>
          <w:b/>
          <w:color w:val="4F81BD" w:themeColor="accent1"/>
          <w:sz w:val="28"/>
          <w:szCs w:val="24"/>
        </w:rPr>
        <w:t xml:space="preserve">CUMPLIMIENTO DE METAS Y BALANCE DE LA GESTIÓN MISIONAL </w:t>
      </w:r>
      <w:r w:rsidRPr="00C310DF">
        <w:rPr>
          <w:rFonts w:ascii="Verdana" w:hAnsi="Verdana"/>
          <w:b/>
          <w:color w:val="4F81BD" w:themeColor="accent1"/>
          <w:sz w:val="28"/>
          <w:szCs w:val="24"/>
        </w:rPr>
        <w:tab/>
      </w:r>
    </w:p>
    <w:p w:rsidR="00C310DF" w:rsidRPr="00BC7F3F" w:rsidRDefault="00C310DF" w:rsidP="00C310DF">
      <w:pPr>
        <w:spacing w:after="0" w:line="240" w:lineRule="auto"/>
        <w:jc w:val="both"/>
        <w:rPr>
          <w:rFonts w:ascii="Verdana" w:hAnsi="Verdana"/>
          <w:sz w:val="24"/>
          <w:szCs w:val="24"/>
        </w:rPr>
      </w:pPr>
    </w:p>
    <w:p w:rsidR="00C310DF" w:rsidRPr="00C310DF" w:rsidRDefault="00C310DF" w:rsidP="00C310DF">
      <w:pPr>
        <w:pStyle w:val="Subttulo"/>
        <w:numPr>
          <w:ilvl w:val="0"/>
          <w:numId w:val="60"/>
        </w:numPr>
        <w:ind w:left="426" w:hanging="426"/>
        <w:outlineLvl w:val="1"/>
        <w:rPr>
          <w:rFonts w:ascii="Verdana" w:eastAsia="Arial" w:hAnsi="Verdana"/>
          <w:b/>
          <w:color w:val="4F81BD" w:themeColor="accent1"/>
          <w:sz w:val="24"/>
          <w:szCs w:val="24"/>
          <w:lang w:val="es-CO"/>
        </w:rPr>
      </w:pPr>
      <w:bookmarkStart w:id="93" w:name="_Toc411868564"/>
      <w:r w:rsidRPr="00C310DF">
        <w:rPr>
          <w:rFonts w:ascii="Verdana" w:eastAsia="Arial" w:hAnsi="Verdana"/>
          <w:b/>
          <w:color w:val="4F81BD" w:themeColor="accent1"/>
          <w:sz w:val="24"/>
          <w:szCs w:val="24"/>
          <w:lang w:val="es-CO"/>
        </w:rPr>
        <w:t>Programa de Derechos Humanos y Memoria Histórica</w:t>
      </w:r>
      <w:bookmarkEnd w:id="93"/>
    </w:p>
    <w:p w:rsidR="00C310DF" w:rsidRPr="00BC7F3F" w:rsidRDefault="00C310DF" w:rsidP="00C310DF">
      <w:pPr>
        <w:spacing w:after="0" w:line="240" w:lineRule="auto"/>
        <w:jc w:val="both"/>
        <w:rPr>
          <w:rFonts w:ascii="Verdana" w:hAnsi="Verdana"/>
          <w:sz w:val="24"/>
          <w:szCs w:val="24"/>
        </w:rPr>
      </w:pPr>
      <w:r w:rsidRPr="00BC7F3F">
        <w:rPr>
          <w:rFonts w:ascii="Verdana" w:hAnsi="Verdana"/>
          <w:sz w:val="24"/>
          <w:szCs w:val="24"/>
        </w:rPr>
        <w:lastRenderedPageBreak/>
        <w:t xml:space="preserve">El CNMH viene ejecutando el proyecto de inversión denominado </w:t>
      </w:r>
      <w:r w:rsidRPr="00BC7F3F">
        <w:rPr>
          <w:rFonts w:ascii="Verdana" w:hAnsi="Verdana"/>
          <w:i/>
          <w:sz w:val="24"/>
          <w:szCs w:val="24"/>
        </w:rPr>
        <w:t>“</w:t>
      </w:r>
      <w:r w:rsidRPr="00BC7F3F">
        <w:rPr>
          <w:rFonts w:ascii="Verdana" w:eastAsia="Arial" w:hAnsi="Verdana"/>
          <w:i/>
          <w:sz w:val="24"/>
          <w:szCs w:val="24"/>
        </w:rPr>
        <w:t>Desarrollo proceso de diseño e implementación del Programa Nacional de Derechos Humanos y Memoria Histórica de Colombia”</w:t>
      </w:r>
      <w:r w:rsidRPr="00BC7F3F">
        <w:rPr>
          <w:rFonts w:ascii="Verdana" w:eastAsia="Arial" w:hAnsi="Verdana"/>
          <w:sz w:val="24"/>
          <w:szCs w:val="24"/>
        </w:rPr>
        <w:t xml:space="preserve">, cuyo código BPIN es 2012011000173. A través de este proyecto el CNMH </w:t>
      </w:r>
      <w:r w:rsidRPr="00BC7F3F">
        <w:rPr>
          <w:rFonts w:ascii="Verdana" w:hAnsi="Verdana"/>
          <w:sz w:val="24"/>
          <w:szCs w:val="24"/>
        </w:rPr>
        <w:t xml:space="preserve">desarrolla las acciones en materia de Memoria Histórica y el Programa de Derechos Humanos, desde el componente de archivos, investigación, apropiación social y difusión, para atender la necesidad manifiesta de las víctimas, la sociedad civil y el Estado por adelantar acciones que permitan esclarecer los hechos y conductas relacionadas con violaciones a los Derechos Humanos y adelantar la implementación de medidas de reparación integral.  </w:t>
      </w:r>
    </w:p>
    <w:p w:rsidR="00C310DF" w:rsidRPr="00BC7F3F" w:rsidRDefault="00C310DF" w:rsidP="00C310DF">
      <w:pPr>
        <w:spacing w:after="0" w:line="240" w:lineRule="auto"/>
        <w:jc w:val="both"/>
        <w:rPr>
          <w:rFonts w:ascii="Verdana" w:hAnsi="Verdana"/>
          <w:sz w:val="24"/>
          <w:szCs w:val="24"/>
        </w:rPr>
      </w:pPr>
    </w:p>
    <w:p w:rsidR="00C310DF" w:rsidRPr="00BC7F3F" w:rsidRDefault="00C310DF" w:rsidP="00C310DF">
      <w:pPr>
        <w:spacing w:after="0" w:line="240" w:lineRule="auto"/>
        <w:jc w:val="both"/>
        <w:rPr>
          <w:rFonts w:ascii="Verdana" w:hAnsi="Verdana" w:cs="Arial"/>
          <w:sz w:val="24"/>
          <w:szCs w:val="24"/>
        </w:rPr>
      </w:pPr>
      <w:r w:rsidRPr="00BC7F3F">
        <w:rPr>
          <w:rFonts w:ascii="Verdana" w:hAnsi="Verdana" w:cs="Arial"/>
          <w:sz w:val="24"/>
          <w:szCs w:val="24"/>
        </w:rPr>
        <w:t xml:space="preserve">En el proyecto se definieron las metas que se presentan a continuación y cuyos logros se registran en la siguiente tabla: </w:t>
      </w:r>
    </w:p>
    <w:p w:rsidR="00C310DF" w:rsidRPr="00BC7F3F" w:rsidRDefault="00C310DF" w:rsidP="00C310DF">
      <w:pPr>
        <w:spacing w:after="0" w:line="240" w:lineRule="auto"/>
        <w:jc w:val="both"/>
        <w:rPr>
          <w:rFonts w:ascii="Verdana" w:hAnsi="Verdana" w:cs="Arial"/>
          <w:sz w:val="24"/>
          <w:szCs w:val="24"/>
        </w:rPr>
      </w:pPr>
    </w:p>
    <w:tbl>
      <w:tblPr>
        <w:tblStyle w:val="Tabladecuadrcula4-nfasis11"/>
        <w:tblW w:w="4520" w:type="pct"/>
        <w:jc w:val="center"/>
        <w:tblLook w:val="04A0"/>
      </w:tblPr>
      <w:tblGrid>
        <w:gridCol w:w="4095"/>
        <w:gridCol w:w="3279"/>
        <w:gridCol w:w="899"/>
        <w:gridCol w:w="986"/>
      </w:tblGrid>
      <w:tr w:rsidR="00C310DF" w:rsidRPr="00BC7F3F" w:rsidTr="00C310DF">
        <w:trPr>
          <w:cnfStyle w:val="100000000000"/>
          <w:tblHeader/>
          <w:jc w:val="center"/>
        </w:trPr>
        <w:tc>
          <w:tcPr>
            <w:cnfStyle w:val="001000000000"/>
            <w:tcW w:w="2311" w:type="pct"/>
            <w:vAlign w:val="center"/>
          </w:tcPr>
          <w:p w:rsidR="00C310DF" w:rsidRPr="00BC7F3F" w:rsidRDefault="00C310DF" w:rsidP="00C310DF">
            <w:pPr>
              <w:jc w:val="center"/>
              <w:rPr>
                <w:rFonts w:ascii="Verdana" w:hAnsi="Verdana" w:cs="Arial"/>
                <w:sz w:val="24"/>
                <w:szCs w:val="24"/>
                <w:lang w:val="es-CO"/>
              </w:rPr>
            </w:pPr>
            <w:r w:rsidRPr="00BC7F3F">
              <w:rPr>
                <w:rFonts w:ascii="Verdana" w:hAnsi="Verdana" w:cs="Arial"/>
                <w:sz w:val="24"/>
                <w:szCs w:val="24"/>
                <w:lang w:val="es-CO"/>
              </w:rPr>
              <w:t>Producto</w:t>
            </w:r>
          </w:p>
        </w:tc>
        <w:tc>
          <w:tcPr>
            <w:tcW w:w="1870" w:type="pct"/>
            <w:vAlign w:val="center"/>
          </w:tcPr>
          <w:p w:rsidR="00C310DF" w:rsidRPr="00BC7F3F" w:rsidRDefault="00C310DF" w:rsidP="00C310DF">
            <w:pPr>
              <w:jc w:val="center"/>
              <w:cnfStyle w:val="100000000000"/>
              <w:rPr>
                <w:rFonts w:ascii="Verdana" w:hAnsi="Verdana" w:cs="Arial"/>
                <w:sz w:val="24"/>
                <w:szCs w:val="24"/>
                <w:lang w:val="es-CO"/>
              </w:rPr>
            </w:pPr>
            <w:r w:rsidRPr="00BC7F3F">
              <w:rPr>
                <w:rFonts w:ascii="Verdana" w:hAnsi="Verdana" w:cs="Arial"/>
                <w:sz w:val="24"/>
                <w:szCs w:val="24"/>
                <w:lang w:val="es-CO"/>
              </w:rPr>
              <w:t>Indicador</w:t>
            </w:r>
          </w:p>
        </w:tc>
        <w:tc>
          <w:tcPr>
            <w:tcW w:w="408" w:type="pct"/>
            <w:vAlign w:val="center"/>
          </w:tcPr>
          <w:p w:rsidR="00C310DF" w:rsidRPr="00BC7F3F" w:rsidRDefault="00C310DF" w:rsidP="00C310DF">
            <w:pPr>
              <w:jc w:val="center"/>
              <w:cnfStyle w:val="100000000000"/>
              <w:rPr>
                <w:rFonts w:ascii="Verdana" w:hAnsi="Verdana" w:cs="Arial"/>
                <w:sz w:val="24"/>
                <w:szCs w:val="24"/>
                <w:lang w:val="es-CO"/>
              </w:rPr>
            </w:pPr>
            <w:r w:rsidRPr="00BC7F3F">
              <w:rPr>
                <w:rFonts w:ascii="Verdana" w:hAnsi="Verdana" w:cs="Arial"/>
                <w:sz w:val="24"/>
                <w:szCs w:val="24"/>
                <w:lang w:val="es-CO"/>
              </w:rPr>
              <w:t>Meta 2014</w:t>
            </w:r>
          </w:p>
        </w:tc>
        <w:tc>
          <w:tcPr>
            <w:tcW w:w="410" w:type="pct"/>
            <w:vAlign w:val="center"/>
          </w:tcPr>
          <w:p w:rsidR="00C310DF" w:rsidRPr="00BC7F3F" w:rsidRDefault="00C310DF" w:rsidP="00C310DF">
            <w:pPr>
              <w:jc w:val="center"/>
              <w:cnfStyle w:val="100000000000"/>
              <w:rPr>
                <w:rFonts w:ascii="Verdana" w:hAnsi="Verdana" w:cs="Arial"/>
                <w:sz w:val="24"/>
                <w:szCs w:val="24"/>
                <w:lang w:val="es-CO"/>
              </w:rPr>
            </w:pPr>
            <w:r w:rsidRPr="00BC7F3F">
              <w:rPr>
                <w:rFonts w:ascii="Verdana" w:hAnsi="Verdana" w:cs="Arial"/>
                <w:sz w:val="24"/>
                <w:szCs w:val="24"/>
                <w:lang w:val="es-CO"/>
              </w:rPr>
              <w:t>Logro 2014</w:t>
            </w:r>
          </w:p>
        </w:tc>
      </w:tr>
      <w:tr w:rsidR="00C310DF" w:rsidRPr="00BC7F3F" w:rsidTr="00C310DF">
        <w:trPr>
          <w:cnfStyle w:val="000000100000"/>
          <w:jc w:val="center"/>
        </w:trPr>
        <w:tc>
          <w:tcPr>
            <w:cnfStyle w:val="001000000000"/>
            <w:tcW w:w="2311" w:type="pct"/>
            <w:vAlign w:val="center"/>
          </w:tcPr>
          <w:p w:rsidR="00C310DF" w:rsidRPr="00BC7F3F" w:rsidRDefault="00C310DF" w:rsidP="00C310DF">
            <w:pPr>
              <w:rPr>
                <w:rFonts w:ascii="Verdana" w:hAnsi="Verdana" w:cs="Arial"/>
                <w:b w:val="0"/>
                <w:sz w:val="24"/>
                <w:szCs w:val="24"/>
                <w:lang w:val="es-CO"/>
              </w:rPr>
            </w:pPr>
            <w:r w:rsidRPr="00BC7F3F">
              <w:rPr>
                <w:rFonts w:ascii="Verdana" w:hAnsi="Verdana" w:cs="Arial"/>
                <w:b w:val="0"/>
                <w:sz w:val="24"/>
                <w:szCs w:val="24"/>
                <w:lang w:val="es-CO"/>
              </w:rPr>
              <w:t>Investigaciones publicadas</w:t>
            </w:r>
          </w:p>
        </w:tc>
        <w:tc>
          <w:tcPr>
            <w:tcW w:w="1870" w:type="pct"/>
            <w:vAlign w:val="center"/>
          </w:tcPr>
          <w:p w:rsidR="00C310DF" w:rsidRPr="00BC7F3F" w:rsidRDefault="00C310DF" w:rsidP="00C310DF">
            <w:pPr>
              <w:cnfStyle w:val="000000100000"/>
              <w:rPr>
                <w:rFonts w:ascii="Verdana" w:hAnsi="Verdana" w:cs="Arial"/>
                <w:sz w:val="24"/>
                <w:szCs w:val="24"/>
                <w:lang w:val="es-CO"/>
              </w:rPr>
            </w:pPr>
            <w:r w:rsidRPr="00BC7F3F">
              <w:rPr>
                <w:rFonts w:ascii="Verdana" w:hAnsi="Verdana" w:cs="Arial"/>
                <w:sz w:val="24"/>
                <w:szCs w:val="24"/>
                <w:lang w:val="es-CO"/>
              </w:rPr>
              <w:t># investigaciones publicadas difundidas</w:t>
            </w:r>
          </w:p>
        </w:tc>
        <w:tc>
          <w:tcPr>
            <w:tcW w:w="408" w:type="pct"/>
            <w:vAlign w:val="center"/>
          </w:tcPr>
          <w:p w:rsidR="00C310DF" w:rsidRPr="00BC7F3F" w:rsidRDefault="00C310DF" w:rsidP="00C310DF">
            <w:pPr>
              <w:jc w:val="center"/>
              <w:cnfStyle w:val="000000100000"/>
              <w:rPr>
                <w:rFonts w:ascii="Verdana" w:hAnsi="Verdana" w:cs="Arial"/>
                <w:sz w:val="24"/>
                <w:szCs w:val="24"/>
                <w:lang w:val="es-CO"/>
              </w:rPr>
            </w:pPr>
            <w:r w:rsidRPr="00BC7F3F">
              <w:rPr>
                <w:rFonts w:ascii="Verdana" w:hAnsi="Verdana" w:cs="Arial"/>
                <w:sz w:val="24"/>
                <w:szCs w:val="24"/>
                <w:lang w:val="es-CO"/>
              </w:rPr>
              <w:t>7</w:t>
            </w:r>
          </w:p>
        </w:tc>
        <w:tc>
          <w:tcPr>
            <w:tcW w:w="410" w:type="pct"/>
            <w:vAlign w:val="center"/>
          </w:tcPr>
          <w:p w:rsidR="00C310DF" w:rsidRPr="00BC7F3F" w:rsidRDefault="00C310DF" w:rsidP="00C310DF">
            <w:pPr>
              <w:jc w:val="center"/>
              <w:cnfStyle w:val="000000100000"/>
              <w:rPr>
                <w:rFonts w:ascii="Verdana" w:hAnsi="Verdana" w:cs="Arial"/>
                <w:sz w:val="24"/>
                <w:szCs w:val="24"/>
                <w:lang w:val="es-CO"/>
              </w:rPr>
            </w:pPr>
            <w:r w:rsidRPr="00BC7F3F">
              <w:rPr>
                <w:rFonts w:ascii="Verdana" w:hAnsi="Verdana" w:cs="Arial"/>
                <w:sz w:val="24"/>
                <w:szCs w:val="24"/>
                <w:lang w:val="es-CO"/>
              </w:rPr>
              <w:t>9</w:t>
            </w:r>
          </w:p>
        </w:tc>
      </w:tr>
      <w:tr w:rsidR="00C310DF" w:rsidRPr="00BC7F3F" w:rsidTr="00C310DF">
        <w:trPr>
          <w:jc w:val="center"/>
        </w:trPr>
        <w:tc>
          <w:tcPr>
            <w:cnfStyle w:val="001000000000"/>
            <w:tcW w:w="2311" w:type="pct"/>
            <w:vAlign w:val="center"/>
          </w:tcPr>
          <w:p w:rsidR="00C310DF" w:rsidRPr="00BC7F3F" w:rsidRDefault="00C310DF" w:rsidP="00C310DF">
            <w:pPr>
              <w:rPr>
                <w:rFonts w:ascii="Verdana" w:hAnsi="Verdana" w:cs="Arial"/>
                <w:b w:val="0"/>
                <w:sz w:val="24"/>
                <w:szCs w:val="24"/>
                <w:lang w:val="es-CO"/>
              </w:rPr>
            </w:pPr>
            <w:r w:rsidRPr="00BC7F3F">
              <w:rPr>
                <w:rFonts w:ascii="Verdana" w:hAnsi="Verdana" w:cs="Arial"/>
                <w:b w:val="0"/>
                <w:sz w:val="24"/>
                <w:szCs w:val="24"/>
                <w:lang w:val="es-CO"/>
              </w:rPr>
              <w:t>Grupos regionales de memoria</w:t>
            </w:r>
          </w:p>
        </w:tc>
        <w:tc>
          <w:tcPr>
            <w:tcW w:w="1870" w:type="pct"/>
            <w:vAlign w:val="center"/>
          </w:tcPr>
          <w:p w:rsidR="00C310DF" w:rsidRPr="00BC7F3F" w:rsidRDefault="00C310DF" w:rsidP="00C310DF">
            <w:pPr>
              <w:cnfStyle w:val="000000000000"/>
              <w:rPr>
                <w:rFonts w:ascii="Verdana" w:hAnsi="Verdana" w:cs="Arial"/>
                <w:sz w:val="24"/>
                <w:szCs w:val="24"/>
                <w:lang w:val="es-CO"/>
              </w:rPr>
            </w:pPr>
            <w:r w:rsidRPr="00BC7F3F">
              <w:rPr>
                <w:rFonts w:ascii="Verdana" w:hAnsi="Verdana" w:cs="Arial"/>
                <w:sz w:val="24"/>
                <w:szCs w:val="24"/>
                <w:lang w:val="es-CO"/>
              </w:rPr>
              <w:t># grupos regionales de memoria apoyados</w:t>
            </w:r>
          </w:p>
        </w:tc>
        <w:tc>
          <w:tcPr>
            <w:tcW w:w="408" w:type="pct"/>
            <w:vAlign w:val="center"/>
          </w:tcPr>
          <w:p w:rsidR="00C310DF" w:rsidRPr="00BC7F3F" w:rsidRDefault="00C310DF" w:rsidP="00C310DF">
            <w:pPr>
              <w:jc w:val="center"/>
              <w:cnfStyle w:val="000000000000"/>
              <w:rPr>
                <w:rFonts w:ascii="Verdana" w:hAnsi="Verdana" w:cs="Arial"/>
                <w:sz w:val="24"/>
                <w:szCs w:val="24"/>
                <w:lang w:val="es-CO"/>
              </w:rPr>
            </w:pPr>
            <w:r w:rsidRPr="00BC7F3F">
              <w:rPr>
                <w:rFonts w:ascii="Verdana" w:hAnsi="Verdana" w:cs="Arial"/>
                <w:sz w:val="24"/>
                <w:szCs w:val="24"/>
                <w:lang w:val="es-CO"/>
              </w:rPr>
              <w:t>2</w:t>
            </w:r>
          </w:p>
        </w:tc>
        <w:tc>
          <w:tcPr>
            <w:tcW w:w="410" w:type="pct"/>
            <w:vAlign w:val="center"/>
          </w:tcPr>
          <w:p w:rsidR="00C310DF" w:rsidRPr="00BC7F3F" w:rsidRDefault="00C310DF" w:rsidP="00C310DF">
            <w:pPr>
              <w:jc w:val="center"/>
              <w:cnfStyle w:val="000000000000"/>
              <w:rPr>
                <w:rFonts w:ascii="Verdana" w:hAnsi="Verdana" w:cs="Arial"/>
                <w:sz w:val="24"/>
                <w:szCs w:val="24"/>
                <w:lang w:val="es-CO"/>
              </w:rPr>
            </w:pPr>
            <w:r w:rsidRPr="00BC7F3F">
              <w:rPr>
                <w:rFonts w:ascii="Verdana" w:hAnsi="Verdana" w:cs="Arial"/>
                <w:sz w:val="24"/>
                <w:szCs w:val="24"/>
                <w:lang w:val="es-CO"/>
              </w:rPr>
              <w:t>2</w:t>
            </w:r>
          </w:p>
        </w:tc>
      </w:tr>
      <w:tr w:rsidR="00C310DF" w:rsidRPr="00BC7F3F" w:rsidTr="00C310DF">
        <w:trPr>
          <w:cnfStyle w:val="000000100000"/>
          <w:jc w:val="center"/>
        </w:trPr>
        <w:tc>
          <w:tcPr>
            <w:cnfStyle w:val="001000000000"/>
            <w:tcW w:w="2311" w:type="pct"/>
            <w:vAlign w:val="center"/>
          </w:tcPr>
          <w:p w:rsidR="00C310DF" w:rsidRPr="00BC7F3F" w:rsidRDefault="00C310DF" w:rsidP="00C310DF">
            <w:pPr>
              <w:rPr>
                <w:rFonts w:ascii="Verdana" w:hAnsi="Verdana" w:cs="Arial"/>
                <w:b w:val="0"/>
                <w:sz w:val="24"/>
                <w:szCs w:val="24"/>
                <w:lang w:val="es-CO"/>
              </w:rPr>
            </w:pPr>
            <w:r w:rsidRPr="00BC7F3F">
              <w:rPr>
                <w:rFonts w:ascii="Verdana" w:hAnsi="Verdana" w:cs="Arial"/>
                <w:b w:val="0"/>
                <w:sz w:val="24"/>
                <w:szCs w:val="24"/>
                <w:lang w:val="es-CO"/>
              </w:rPr>
              <w:t>Estrategias pedagógicas y de enfoque diferencial</w:t>
            </w:r>
          </w:p>
        </w:tc>
        <w:tc>
          <w:tcPr>
            <w:tcW w:w="1870" w:type="pct"/>
            <w:vAlign w:val="center"/>
          </w:tcPr>
          <w:p w:rsidR="00C310DF" w:rsidRPr="00BC7F3F" w:rsidRDefault="00C310DF" w:rsidP="00C310DF">
            <w:pPr>
              <w:cnfStyle w:val="000000100000"/>
              <w:rPr>
                <w:rFonts w:ascii="Verdana" w:hAnsi="Verdana" w:cs="Arial"/>
                <w:sz w:val="24"/>
                <w:szCs w:val="24"/>
                <w:lang w:val="es-CO"/>
              </w:rPr>
            </w:pPr>
            <w:r w:rsidRPr="00BC7F3F">
              <w:rPr>
                <w:rFonts w:ascii="Verdana" w:hAnsi="Verdana" w:cs="Arial"/>
                <w:sz w:val="24"/>
                <w:szCs w:val="24"/>
                <w:lang w:val="es-CO"/>
              </w:rPr>
              <w:t># de estrategias implementadas</w:t>
            </w:r>
          </w:p>
        </w:tc>
        <w:tc>
          <w:tcPr>
            <w:tcW w:w="408" w:type="pct"/>
            <w:vAlign w:val="center"/>
          </w:tcPr>
          <w:p w:rsidR="00C310DF" w:rsidRPr="00BC7F3F" w:rsidRDefault="00C310DF" w:rsidP="00C310DF">
            <w:pPr>
              <w:jc w:val="center"/>
              <w:cnfStyle w:val="000000100000"/>
              <w:rPr>
                <w:rFonts w:ascii="Verdana" w:hAnsi="Verdana" w:cs="Arial"/>
                <w:sz w:val="24"/>
                <w:szCs w:val="24"/>
                <w:lang w:val="es-CO"/>
              </w:rPr>
            </w:pPr>
            <w:r w:rsidRPr="00BC7F3F">
              <w:rPr>
                <w:rFonts w:ascii="Verdana" w:hAnsi="Verdana" w:cs="Arial"/>
                <w:sz w:val="24"/>
                <w:szCs w:val="24"/>
                <w:lang w:val="es-CO"/>
              </w:rPr>
              <w:t>1</w:t>
            </w:r>
          </w:p>
        </w:tc>
        <w:tc>
          <w:tcPr>
            <w:tcW w:w="410" w:type="pct"/>
            <w:vAlign w:val="center"/>
          </w:tcPr>
          <w:p w:rsidR="00C310DF" w:rsidRPr="00BC7F3F" w:rsidRDefault="00C310DF" w:rsidP="00C310DF">
            <w:pPr>
              <w:jc w:val="center"/>
              <w:cnfStyle w:val="000000100000"/>
              <w:rPr>
                <w:rFonts w:ascii="Verdana" w:hAnsi="Verdana" w:cs="Arial"/>
                <w:sz w:val="24"/>
                <w:szCs w:val="24"/>
                <w:lang w:val="es-CO"/>
              </w:rPr>
            </w:pPr>
            <w:r w:rsidRPr="00BC7F3F">
              <w:rPr>
                <w:rFonts w:ascii="Verdana" w:hAnsi="Verdana" w:cs="Arial"/>
                <w:sz w:val="24"/>
                <w:szCs w:val="24"/>
                <w:lang w:val="es-CO"/>
              </w:rPr>
              <w:t>1</w:t>
            </w:r>
          </w:p>
        </w:tc>
      </w:tr>
      <w:tr w:rsidR="00C310DF" w:rsidRPr="00BC7F3F" w:rsidTr="00C310DF">
        <w:trPr>
          <w:jc w:val="center"/>
        </w:trPr>
        <w:tc>
          <w:tcPr>
            <w:cnfStyle w:val="001000000000"/>
            <w:tcW w:w="2311" w:type="pct"/>
            <w:vAlign w:val="center"/>
          </w:tcPr>
          <w:p w:rsidR="00C310DF" w:rsidRPr="00BC7F3F" w:rsidRDefault="00C310DF" w:rsidP="00C310DF">
            <w:pPr>
              <w:jc w:val="both"/>
              <w:rPr>
                <w:rFonts w:ascii="Verdana" w:hAnsi="Verdana" w:cs="Arial"/>
                <w:b w:val="0"/>
                <w:sz w:val="24"/>
                <w:szCs w:val="24"/>
                <w:lang w:val="es-CO"/>
              </w:rPr>
            </w:pPr>
            <w:r w:rsidRPr="00BC7F3F">
              <w:rPr>
                <w:rFonts w:ascii="Verdana" w:hAnsi="Verdana" w:cs="Arial"/>
                <w:b w:val="0"/>
                <w:sz w:val="24"/>
                <w:szCs w:val="24"/>
                <w:lang w:val="es-CO"/>
              </w:rPr>
              <w:t>Procesos colectivos de memoria histórica y archivo de Derechos Humanos</w:t>
            </w:r>
          </w:p>
        </w:tc>
        <w:tc>
          <w:tcPr>
            <w:tcW w:w="1870" w:type="pct"/>
            <w:vAlign w:val="center"/>
          </w:tcPr>
          <w:p w:rsidR="00C310DF" w:rsidRPr="00BC7F3F" w:rsidRDefault="00C310DF" w:rsidP="00C310DF">
            <w:pPr>
              <w:cnfStyle w:val="000000000000"/>
              <w:rPr>
                <w:rFonts w:ascii="Verdana" w:hAnsi="Verdana" w:cs="Arial"/>
                <w:sz w:val="24"/>
                <w:szCs w:val="24"/>
                <w:lang w:val="es-CO"/>
              </w:rPr>
            </w:pPr>
            <w:r w:rsidRPr="00BC7F3F">
              <w:rPr>
                <w:rFonts w:ascii="Verdana" w:hAnsi="Verdana" w:cs="Arial"/>
                <w:sz w:val="24"/>
                <w:szCs w:val="24"/>
                <w:lang w:val="es-CO"/>
              </w:rPr>
              <w:t># de procesos colectivos apoyados</w:t>
            </w:r>
          </w:p>
        </w:tc>
        <w:tc>
          <w:tcPr>
            <w:tcW w:w="408" w:type="pct"/>
            <w:vAlign w:val="center"/>
          </w:tcPr>
          <w:p w:rsidR="00C310DF" w:rsidRPr="00BC7F3F" w:rsidRDefault="00C310DF" w:rsidP="00C310DF">
            <w:pPr>
              <w:jc w:val="center"/>
              <w:cnfStyle w:val="000000000000"/>
              <w:rPr>
                <w:rFonts w:ascii="Verdana" w:hAnsi="Verdana" w:cs="Arial"/>
                <w:sz w:val="24"/>
                <w:szCs w:val="24"/>
                <w:lang w:val="es-CO"/>
              </w:rPr>
            </w:pPr>
            <w:r w:rsidRPr="00BC7F3F">
              <w:rPr>
                <w:rFonts w:ascii="Verdana" w:hAnsi="Verdana" w:cs="Arial"/>
                <w:sz w:val="24"/>
                <w:szCs w:val="24"/>
                <w:lang w:val="es-CO"/>
              </w:rPr>
              <w:t>6</w:t>
            </w:r>
          </w:p>
        </w:tc>
        <w:tc>
          <w:tcPr>
            <w:tcW w:w="410" w:type="pct"/>
            <w:vAlign w:val="center"/>
          </w:tcPr>
          <w:p w:rsidR="00C310DF" w:rsidRPr="00BC7F3F" w:rsidRDefault="00C310DF" w:rsidP="00C310DF">
            <w:pPr>
              <w:jc w:val="center"/>
              <w:cnfStyle w:val="000000000000"/>
              <w:rPr>
                <w:rFonts w:ascii="Verdana" w:hAnsi="Verdana" w:cs="Arial"/>
                <w:sz w:val="24"/>
                <w:szCs w:val="24"/>
                <w:lang w:val="es-CO"/>
              </w:rPr>
            </w:pPr>
            <w:r w:rsidRPr="00BC7F3F">
              <w:rPr>
                <w:rFonts w:ascii="Verdana" w:hAnsi="Verdana" w:cs="Arial"/>
                <w:sz w:val="24"/>
                <w:szCs w:val="24"/>
                <w:lang w:val="es-CO"/>
              </w:rPr>
              <w:t>15*</w:t>
            </w:r>
          </w:p>
        </w:tc>
      </w:tr>
      <w:tr w:rsidR="00C310DF" w:rsidRPr="00BC7F3F" w:rsidTr="00C310DF">
        <w:trPr>
          <w:cnfStyle w:val="000000100000"/>
          <w:jc w:val="center"/>
        </w:trPr>
        <w:tc>
          <w:tcPr>
            <w:cnfStyle w:val="001000000000"/>
            <w:tcW w:w="2311" w:type="pct"/>
            <w:vAlign w:val="center"/>
          </w:tcPr>
          <w:p w:rsidR="00C310DF" w:rsidRPr="00BC7F3F" w:rsidRDefault="00C310DF" w:rsidP="00C310DF">
            <w:pPr>
              <w:rPr>
                <w:rFonts w:ascii="Verdana" w:hAnsi="Verdana" w:cs="Arial"/>
                <w:b w:val="0"/>
                <w:sz w:val="24"/>
                <w:szCs w:val="24"/>
                <w:lang w:val="es-CO"/>
              </w:rPr>
            </w:pPr>
            <w:r w:rsidRPr="00BC7F3F">
              <w:rPr>
                <w:rFonts w:ascii="Verdana" w:hAnsi="Verdana" w:cs="Arial"/>
                <w:b w:val="0"/>
                <w:sz w:val="24"/>
                <w:szCs w:val="24"/>
                <w:lang w:val="es-CO"/>
              </w:rPr>
              <w:t>Archivo de Derechos Humanos y el Centro de Documentación</w:t>
            </w:r>
          </w:p>
        </w:tc>
        <w:tc>
          <w:tcPr>
            <w:tcW w:w="1870" w:type="pct"/>
            <w:vAlign w:val="center"/>
          </w:tcPr>
          <w:p w:rsidR="00C310DF" w:rsidRPr="00BC7F3F" w:rsidRDefault="00C310DF" w:rsidP="00C310DF">
            <w:pPr>
              <w:cnfStyle w:val="000000100000"/>
              <w:rPr>
                <w:rFonts w:ascii="Verdana" w:hAnsi="Verdana" w:cs="Arial"/>
                <w:sz w:val="24"/>
                <w:szCs w:val="24"/>
                <w:lang w:val="es-CO"/>
              </w:rPr>
            </w:pPr>
            <w:r w:rsidRPr="00BC7F3F">
              <w:rPr>
                <w:rFonts w:ascii="Verdana" w:hAnsi="Verdana" w:cs="Arial"/>
                <w:sz w:val="24"/>
                <w:szCs w:val="24"/>
                <w:lang w:val="es-CO"/>
              </w:rPr>
              <w:t>% de avance en la implementación y actualización del Archivo</w:t>
            </w:r>
          </w:p>
        </w:tc>
        <w:tc>
          <w:tcPr>
            <w:tcW w:w="408" w:type="pct"/>
            <w:vAlign w:val="center"/>
          </w:tcPr>
          <w:p w:rsidR="00C310DF" w:rsidRPr="00BC7F3F" w:rsidRDefault="00C310DF" w:rsidP="00C310DF">
            <w:pPr>
              <w:jc w:val="center"/>
              <w:cnfStyle w:val="000000100000"/>
              <w:rPr>
                <w:rFonts w:ascii="Verdana" w:hAnsi="Verdana" w:cs="Arial"/>
                <w:sz w:val="24"/>
                <w:szCs w:val="24"/>
                <w:lang w:val="es-CO"/>
              </w:rPr>
            </w:pPr>
            <w:r w:rsidRPr="00BC7F3F">
              <w:rPr>
                <w:rFonts w:ascii="Verdana" w:hAnsi="Verdana" w:cs="Arial"/>
                <w:sz w:val="24"/>
                <w:szCs w:val="24"/>
                <w:lang w:val="es-CO"/>
              </w:rPr>
              <w:t>25%</w:t>
            </w:r>
          </w:p>
        </w:tc>
        <w:tc>
          <w:tcPr>
            <w:tcW w:w="410" w:type="pct"/>
            <w:vAlign w:val="center"/>
          </w:tcPr>
          <w:p w:rsidR="00C310DF" w:rsidRPr="00BC7F3F" w:rsidRDefault="00C310DF" w:rsidP="00C310DF">
            <w:pPr>
              <w:jc w:val="center"/>
              <w:cnfStyle w:val="000000100000"/>
              <w:rPr>
                <w:rFonts w:ascii="Verdana" w:hAnsi="Verdana" w:cs="Arial"/>
                <w:sz w:val="24"/>
                <w:szCs w:val="24"/>
                <w:lang w:val="es-CO"/>
              </w:rPr>
            </w:pPr>
            <w:r w:rsidRPr="00BC7F3F">
              <w:rPr>
                <w:rFonts w:ascii="Verdana" w:hAnsi="Verdana" w:cs="Arial"/>
                <w:sz w:val="24"/>
                <w:szCs w:val="24"/>
                <w:lang w:val="es-CO"/>
              </w:rPr>
              <w:t>25%</w:t>
            </w:r>
          </w:p>
        </w:tc>
      </w:tr>
      <w:tr w:rsidR="00C310DF" w:rsidRPr="00BC7F3F" w:rsidTr="00C310DF">
        <w:trPr>
          <w:jc w:val="center"/>
        </w:trPr>
        <w:tc>
          <w:tcPr>
            <w:cnfStyle w:val="001000000000"/>
            <w:tcW w:w="2311" w:type="pct"/>
            <w:vAlign w:val="center"/>
          </w:tcPr>
          <w:p w:rsidR="00C310DF" w:rsidRPr="00BC7F3F" w:rsidRDefault="00C310DF" w:rsidP="00C310DF">
            <w:pPr>
              <w:rPr>
                <w:rFonts w:ascii="Verdana" w:hAnsi="Verdana" w:cs="Arial"/>
                <w:b w:val="0"/>
                <w:sz w:val="24"/>
                <w:szCs w:val="24"/>
                <w:lang w:val="es-CO"/>
              </w:rPr>
            </w:pPr>
            <w:r w:rsidRPr="00BC7F3F">
              <w:rPr>
                <w:rFonts w:ascii="Verdana" w:hAnsi="Verdana" w:cs="Arial"/>
                <w:b w:val="0"/>
                <w:sz w:val="24"/>
                <w:szCs w:val="24"/>
                <w:lang w:val="es-CO"/>
              </w:rPr>
              <w:t>Registro especial de archivos de memoria histórica y derechos humanos</w:t>
            </w:r>
          </w:p>
        </w:tc>
        <w:tc>
          <w:tcPr>
            <w:tcW w:w="1870" w:type="pct"/>
            <w:vAlign w:val="center"/>
          </w:tcPr>
          <w:p w:rsidR="00C310DF" w:rsidRPr="00BC7F3F" w:rsidRDefault="00C310DF" w:rsidP="00C310DF">
            <w:pPr>
              <w:cnfStyle w:val="000000000000"/>
              <w:rPr>
                <w:rFonts w:ascii="Verdana" w:hAnsi="Verdana" w:cs="Arial"/>
                <w:sz w:val="24"/>
                <w:szCs w:val="24"/>
                <w:lang w:val="es-CO"/>
              </w:rPr>
            </w:pPr>
            <w:r w:rsidRPr="00BC7F3F">
              <w:rPr>
                <w:rFonts w:ascii="Verdana" w:hAnsi="Verdana" w:cs="Arial"/>
                <w:sz w:val="24"/>
                <w:szCs w:val="24"/>
                <w:lang w:val="es-CO"/>
              </w:rPr>
              <w:t>Registro especial de archivos de memoria histórica y derechos humanos Implementado y Actualizado</w:t>
            </w:r>
          </w:p>
        </w:tc>
        <w:tc>
          <w:tcPr>
            <w:tcW w:w="408" w:type="pct"/>
            <w:vAlign w:val="center"/>
          </w:tcPr>
          <w:p w:rsidR="00C310DF" w:rsidRPr="00BC7F3F" w:rsidRDefault="00C310DF" w:rsidP="00C310DF">
            <w:pPr>
              <w:jc w:val="center"/>
              <w:cnfStyle w:val="000000000000"/>
              <w:rPr>
                <w:rFonts w:ascii="Verdana" w:hAnsi="Verdana" w:cs="Arial"/>
                <w:sz w:val="24"/>
                <w:szCs w:val="24"/>
                <w:lang w:val="es-CO"/>
              </w:rPr>
            </w:pPr>
            <w:r w:rsidRPr="00BC7F3F">
              <w:rPr>
                <w:rFonts w:ascii="Verdana" w:hAnsi="Verdana" w:cs="Arial"/>
                <w:sz w:val="24"/>
                <w:szCs w:val="24"/>
                <w:lang w:val="es-CO"/>
              </w:rPr>
              <w:t>1</w:t>
            </w:r>
          </w:p>
        </w:tc>
        <w:tc>
          <w:tcPr>
            <w:tcW w:w="410" w:type="pct"/>
            <w:vAlign w:val="center"/>
          </w:tcPr>
          <w:p w:rsidR="00C310DF" w:rsidRPr="00BC7F3F" w:rsidRDefault="00C310DF" w:rsidP="00C310DF">
            <w:pPr>
              <w:jc w:val="center"/>
              <w:cnfStyle w:val="000000000000"/>
              <w:rPr>
                <w:rFonts w:ascii="Verdana" w:hAnsi="Verdana" w:cs="Arial"/>
                <w:sz w:val="24"/>
                <w:szCs w:val="24"/>
                <w:lang w:val="es-CO"/>
              </w:rPr>
            </w:pPr>
            <w:r w:rsidRPr="00BC7F3F">
              <w:rPr>
                <w:rFonts w:ascii="Verdana" w:hAnsi="Verdana" w:cs="Arial"/>
                <w:sz w:val="24"/>
                <w:szCs w:val="24"/>
                <w:lang w:val="es-CO"/>
              </w:rPr>
              <w:t>1</w:t>
            </w:r>
          </w:p>
        </w:tc>
      </w:tr>
      <w:tr w:rsidR="00C310DF" w:rsidRPr="00BC7F3F" w:rsidTr="00C310DF">
        <w:trPr>
          <w:cnfStyle w:val="000000100000"/>
          <w:jc w:val="center"/>
        </w:trPr>
        <w:tc>
          <w:tcPr>
            <w:cnfStyle w:val="001000000000"/>
            <w:tcW w:w="2311" w:type="pct"/>
            <w:vAlign w:val="center"/>
          </w:tcPr>
          <w:p w:rsidR="00C310DF" w:rsidRPr="00BC7F3F" w:rsidRDefault="00C310DF" w:rsidP="00C310DF">
            <w:pPr>
              <w:jc w:val="both"/>
              <w:rPr>
                <w:rFonts w:ascii="Verdana" w:hAnsi="Verdana" w:cs="Arial"/>
                <w:b w:val="0"/>
                <w:sz w:val="24"/>
                <w:szCs w:val="24"/>
                <w:lang w:val="es-CO"/>
              </w:rPr>
            </w:pPr>
            <w:r w:rsidRPr="00BC7F3F">
              <w:rPr>
                <w:rFonts w:ascii="Verdana" w:hAnsi="Verdana" w:cs="Arial"/>
                <w:b w:val="0"/>
                <w:sz w:val="24"/>
                <w:szCs w:val="24"/>
                <w:lang w:val="es-CO"/>
              </w:rPr>
              <w:t>Política Pública de Archivos de Graves violaciones de DDHH e infracciones al DIH, MH y Conflicto Difundida y posicionada en eventos regionales</w:t>
            </w:r>
          </w:p>
        </w:tc>
        <w:tc>
          <w:tcPr>
            <w:tcW w:w="1870" w:type="pct"/>
            <w:vAlign w:val="center"/>
          </w:tcPr>
          <w:p w:rsidR="00C310DF" w:rsidRPr="00BC7F3F" w:rsidRDefault="00C310DF" w:rsidP="00C310DF">
            <w:pPr>
              <w:cnfStyle w:val="000000100000"/>
              <w:rPr>
                <w:rFonts w:ascii="Verdana" w:hAnsi="Verdana" w:cs="Arial"/>
                <w:sz w:val="24"/>
                <w:szCs w:val="24"/>
                <w:lang w:val="es-CO"/>
              </w:rPr>
            </w:pPr>
            <w:r w:rsidRPr="00BC7F3F">
              <w:rPr>
                <w:rFonts w:ascii="Verdana" w:hAnsi="Verdana" w:cs="Arial"/>
                <w:sz w:val="24"/>
                <w:szCs w:val="24"/>
                <w:lang w:val="es-CO"/>
              </w:rPr>
              <w:t># de eventos de socialización</w:t>
            </w:r>
          </w:p>
        </w:tc>
        <w:tc>
          <w:tcPr>
            <w:tcW w:w="408" w:type="pct"/>
            <w:vAlign w:val="center"/>
          </w:tcPr>
          <w:p w:rsidR="00C310DF" w:rsidRPr="00BC7F3F" w:rsidRDefault="00C310DF" w:rsidP="00C310DF">
            <w:pPr>
              <w:jc w:val="center"/>
              <w:cnfStyle w:val="000000100000"/>
              <w:rPr>
                <w:rFonts w:ascii="Verdana" w:hAnsi="Verdana" w:cs="Arial"/>
                <w:sz w:val="24"/>
                <w:szCs w:val="24"/>
                <w:lang w:val="es-CO"/>
              </w:rPr>
            </w:pPr>
            <w:r w:rsidRPr="00BC7F3F">
              <w:rPr>
                <w:rFonts w:ascii="Verdana" w:hAnsi="Verdana" w:cs="Arial"/>
                <w:sz w:val="24"/>
                <w:szCs w:val="24"/>
                <w:lang w:val="es-CO"/>
              </w:rPr>
              <w:t>3</w:t>
            </w:r>
          </w:p>
        </w:tc>
        <w:tc>
          <w:tcPr>
            <w:tcW w:w="410" w:type="pct"/>
            <w:vAlign w:val="center"/>
          </w:tcPr>
          <w:p w:rsidR="00C310DF" w:rsidRPr="00BC7F3F" w:rsidRDefault="00C310DF" w:rsidP="00C310DF">
            <w:pPr>
              <w:jc w:val="center"/>
              <w:cnfStyle w:val="000000100000"/>
              <w:rPr>
                <w:rFonts w:ascii="Verdana" w:hAnsi="Verdana" w:cs="Arial"/>
                <w:sz w:val="24"/>
                <w:szCs w:val="24"/>
                <w:lang w:val="es-CO"/>
              </w:rPr>
            </w:pPr>
            <w:r w:rsidRPr="00BC7F3F">
              <w:rPr>
                <w:rFonts w:ascii="Verdana" w:hAnsi="Verdana" w:cs="Arial"/>
                <w:sz w:val="24"/>
                <w:szCs w:val="24"/>
                <w:lang w:val="es-CO"/>
              </w:rPr>
              <w:t>3</w:t>
            </w:r>
          </w:p>
        </w:tc>
      </w:tr>
      <w:tr w:rsidR="00C310DF" w:rsidRPr="00BC7F3F" w:rsidTr="00C310DF">
        <w:trPr>
          <w:jc w:val="center"/>
        </w:trPr>
        <w:tc>
          <w:tcPr>
            <w:cnfStyle w:val="001000000000"/>
            <w:tcW w:w="2311" w:type="pct"/>
            <w:vAlign w:val="center"/>
          </w:tcPr>
          <w:p w:rsidR="00C310DF" w:rsidRPr="00BC7F3F" w:rsidRDefault="00C310DF" w:rsidP="00C310DF">
            <w:pPr>
              <w:jc w:val="both"/>
              <w:rPr>
                <w:rFonts w:ascii="Verdana" w:hAnsi="Verdana" w:cs="Arial"/>
                <w:b w:val="0"/>
                <w:sz w:val="24"/>
                <w:szCs w:val="24"/>
                <w:lang w:val="es-CO"/>
              </w:rPr>
            </w:pPr>
            <w:r w:rsidRPr="00BC7F3F">
              <w:rPr>
                <w:rFonts w:ascii="Verdana" w:hAnsi="Verdana" w:cs="Arial"/>
                <w:b w:val="0"/>
                <w:sz w:val="24"/>
                <w:szCs w:val="24"/>
                <w:lang w:val="es-CO"/>
              </w:rPr>
              <w:lastRenderedPageBreak/>
              <w:t>Eventos de divulgación realizados con participación de las víctimas</w:t>
            </w:r>
          </w:p>
        </w:tc>
        <w:tc>
          <w:tcPr>
            <w:tcW w:w="1870" w:type="pct"/>
            <w:vAlign w:val="center"/>
          </w:tcPr>
          <w:p w:rsidR="00C310DF" w:rsidRPr="00BC7F3F" w:rsidRDefault="00C310DF" w:rsidP="00C310DF">
            <w:pPr>
              <w:cnfStyle w:val="000000000000"/>
              <w:rPr>
                <w:rFonts w:ascii="Verdana" w:hAnsi="Verdana" w:cs="Arial"/>
                <w:sz w:val="24"/>
                <w:szCs w:val="24"/>
                <w:lang w:val="es-CO"/>
              </w:rPr>
            </w:pPr>
            <w:r w:rsidRPr="00BC7F3F">
              <w:rPr>
                <w:rFonts w:ascii="Verdana" w:hAnsi="Verdana" w:cs="Arial"/>
                <w:sz w:val="24"/>
                <w:szCs w:val="24"/>
                <w:lang w:val="es-CO"/>
              </w:rPr>
              <w:t># de eventos de divulgación realizados con participación de las víctimas</w:t>
            </w:r>
          </w:p>
        </w:tc>
        <w:tc>
          <w:tcPr>
            <w:tcW w:w="408" w:type="pct"/>
            <w:vAlign w:val="center"/>
          </w:tcPr>
          <w:p w:rsidR="00C310DF" w:rsidRPr="00BC7F3F" w:rsidRDefault="00C310DF" w:rsidP="00C310DF">
            <w:pPr>
              <w:jc w:val="center"/>
              <w:cnfStyle w:val="000000000000"/>
              <w:rPr>
                <w:rFonts w:ascii="Verdana" w:hAnsi="Verdana" w:cs="Arial"/>
                <w:sz w:val="24"/>
                <w:szCs w:val="24"/>
                <w:lang w:val="es-CO"/>
              </w:rPr>
            </w:pPr>
            <w:r w:rsidRPr="00BC7F3F">
              <w:rPr>
                <w:rFonts w:ascii="Verdana" w:hAnsi="Verdana" w:cs="Arial"/>
                <w:sz w:val="24"/>
                <w:szCs w:val="24"/>
                <w:lang w:val="es-CO"/>
              </w:rPr>
              <w:t>10</w:t>
            </w:r>
          </w:p>
        </w:tc>
        <w:tc>
          <w:tcPr>
            <w:tcW w:w="410" w:type="pct"/>
            <w:vAlign w:val="center"/>
          </w:tcPr>
          <w:p w:rsidR="00C310DF" w:rsidRPr="00BC7F3F" w:rsidRDefault="00C310DF" w:rsidP="00C310DF">
            <w:pPr>
              <w:jc w:val="center"/>
              <w:cnfStyle w:val="000000000000"/>
              <w:rPr>
                <w:rFonts w:ascii="Verdana" w:hAnsi="Verdana" w:cs="Arial"/>
                <w:sz w:val="24"/>
                <w:szCs w:val="24"/>
                <w:lang w:val="es-CO"/>
              </w:rPr>
            </w:pPr>
            <w:r w:rsidRPr="00BC7F3F">
              <w:rPr>
                <w:rFonts w:ascii="Verdana" w:hAnsi="Verdana" w:cs="Arial"/>
                <w:sz w:val="24"/>
                <w:szCs w:val="24"/>
                <w:lang w:val="es-CO"/>
              </w:rPr>
              <w:t>10</w:t>
            </w:r>
          </w:p>
        </w:tc>
      </w:tr>
    </w:tbl>
    <w:p w:rsidR="00C310DF" w:rsidRPr="00BC7F3F" w:rsidRDefault="00C310DF" w:rsidP="00C310DF">
      <w:pPr>
        <w:spacing w:after="0" w:line="240" w:lineRule="auto"/>
        <w:jc w:val="center"/>
        <w:rPr>
          <w:rFonts w:ascii="Verdana" w:hAnsi="Verdana"/>
          <w:sz w:val="24"/>
          <w:szCs w:val="24"/>
        </w:rPr>
      </w:pPr>
      <w:r w:rsidRPr="00BC7F3F">
        <w:rPr>
          <w:rFonts w:ascii="Verdana" w:hAnsi="Verdana"/>
          <w:sz w:val="24"/>
          <w:szCs w:val="24"/>
        </w:rPr>
        <w:t>* Nueve (9) apoyados por la Dirección de Construcción de Memoria y seis (6) por la Dirección de Archivo de DDHH</w:t>
      </w:r>
    </w:p>
    <w:p w:rsidR="00C310DF" w:rsidRPr="00BC7F3F" w:rsidRDefault="00C310DF" w:rsidP="00C310DF">
      <w:pPr>
        <w:spacing w:after="0" w:line="240" w:lineRule="auto"/>
        <w:jc w:val="both"/>
        <w:rPr>
          <w:rFonts w:ascii="Verdana" w:hAnsi="Verdana"/>
          <w:bCs/>
          <w:sz w:val="24"/>
          <w:szCs w:val="24"/>
        </w:rPr>
      </w:pPr>
    </w:p>
    <w:p w:rsidR="00C310DF" w:rsidRPr="00BC7F3F" w:rsidRDefault="00C310DF" w:rsidP="00C310DF">
      <w:pPr>
        <w:spacing w:after="0" w:line="240" w:lineRule="auto"/>
        <w:jc w:val="both"/>
        <w:rPr>
          <w:rFonts w:ascii="Verdana" w:hAnsi="Verdana"/>
          <w:bCs/>
          <w:sz w:val="24"/>
          <w:szCs w:val="24"/>
        </w:rPr>
      </w:pPr>
      <w:r w:rsidRPr="00BC7F3F">
        <w:rPr>
          <w:rFonts w:ascii="Verdana" w:hAnsi="Verdana"/>
          <w:bCs/>
          <w:sz w:val="24"/>
          <w:szCs w:val="24"/>
        </w:rPr>
        <w:t>Para el logro de los objetivos propuestos en el marco de este proyecto se desarrollaron las siguientes actividades:</w:t>
      </w:r>
    </w:p>
    <w:p w:rsidR="00C310DF" w:rsidRPr="00BC7F3F" w:rsidRDefault="00C310DF" w:rsidP="00C310DF">
      <w:pPr>
        <w:spacing w:after="0" w:line="240" w:lineRule="auto"/>
        <w:jc w:val="both"/>
        <w:rPr>
          <w:rFonts w:ascii="Verdana" w:hAnsi="Verdana"/>
          <w:bCs/>
          <w:sz w:val="24"/>
          <w:szCs w:val="24"/>
        </w:rPr>
      </w:pPr>
    </w:p>
    <w:p w:rsidR="00C310DF" w:rsidRPr="00C310DF" w:rsidRDefault="00C310DF" w:rsidP="00C310DF">
      <w:pPr>
        <w:pStyle w:val="Subttulo"/>
        <w:numPr>
          <w:ilvl w:val="1"/>
          <w:numId w:val="60"/>
        </w:numPr>
        <w:ind w:left="426" w:hanging="431"/>
        <w:outlineLvl w:val="2"/>
        <w:rPr>
          <w:rFonts w:ascii="Verdana" w:eastAsia="Arial" w:hAnsi="Verdana"/>
          <w:b/>
          <w:color w:val="4F81BD" w:themeColor="accent1"/>
          <w:sz w:val="24"/>
          <w:szCs w:val="24"/>
          <w:lang w:val="es-CO"/>
        </w:rPr>
      </w:pPr>
      <w:bookmarkStart w:id="94" w:name="_Toc411868565"/>
      <w:r w:rsidRPr="00C310DF">
        <w:rPr>
          <w:rFonts w:ascii="Verdana" w:eastAsia="Arial" w:hAnsi="Verdana"/>
          <w:b/>
          <w:color w:val="4F81BD" w:themeColor="accent1"/>
          <w:sz w:val="24"/>
          <w:szCs w:val="24"/>
          <w:lang w:val="es-CO"/>
        </w:rPr>
        <w:t>Proyectos de investigación en reconstrucción de memoria</w:t>
      </w:r>
      <w:bookmarkEnd w:id="94"/>
    </w:p>
    <w:p w:rsidR="00C310DF" w:rsidRPr="00BC7F3F" w:rsidRDefault="00C310DF" w:rsidP="00C310DF">
      <w:pPr>
        <w:spacing w:after="0" w:line="240" w:lineRule="auto"/>
        <w:contextualSpacing/>
        <w:jc w:val="both"/>
        <w:rPr>
          <w:rFonts w:ascii="Verdana" w:hAnsi="Verdana"/>
          <w:bCs/>
          <w:sz w:val="24"/>
          <w:szCs w:val="24"/>
        </w:rPr>
      </w:pPr>
      <w:r w:rsidRPr="00BC7F3F">
        <w:rPr>
          <w:rFonts w:ascii="Verdana" w:hAnsi="Verdana"/>
          <w:bCs/>
          <w:sz w:val="24"/>
          <w:szCs w:val="24"/>
        </w:rPr>
        <w:t>Se adelantaron 19 proyectos de reconstrucción de memoria histórica, orientados al esclarecimiento histórico de hechos ocurridos en el marco del conflicto armado colombiano, los cuales, retoman actividades desarrolladas en fases previas durante la vigencia 2013 y permiten la entrega de informes finales de investigación, que se convierten en insumos necesarios para otras acciones del CNMH y la obtención de otros productos del proyecto de inversión, particularmente los informes publicados.</w:t>
      </w:r>
    </w:p>
    <w:p w:rsidR="00C310DF" w:rsidRPr="00BC7F3F" w:rsidRDefault="00C310DF" w:rsidP="00C310DF">
      <w:pPr>
        <w:spacing w:after="0" w:line="240" w:lineRule="auto"/>
        <w:contextualSpacing/>
        <w:jc w:val="both"/>
        <w:rPr>
          <w:rFonts w:ascii="Verdana" w:hAnsi="Verdana"/>
          <w:bCs/>
          <w:sz w:val="24"/>
          <w:szCs w:val="24"/>
        </w:rPr>
      </w:pPr>
    </w:p>
    <w:p w:rsidR="00C310DF" w:rsidRPr="00BC7F3F" w:rsidRDefault="00C310DF" w:rsidP="00C310DF">
      <w:pPr>
        <w:spacing w:after="0" w:line="240" w:lineRule="auto"/>
        <w:contextualSpacing/>
        <w:jc w:val="both"/>
        <w:rPr>
          <w:rFonts w:ascii="Verdana" w:hAnsi="Verdana"/>
          <w:bCs/>
          <w:sz w:val="24"/>
          <w:szCs w:val="24"/>
        </w:rPr>
      </w:pPr>
      <w:r w:rsidRPr="00BC7F3F">
        <w:rPr>
          <w:rFonts w:ascii="Verdana" w:hAnsi="Verdana"/>
          <w:bCs/>
          <w:sz w:val="24"/>
          <w:szCs w:val="24"/>
        </w:rPr>
        <w:t>Los proyectos de investigación que se desarrollaron durante la vigencia 2014 son:</w:t>
      </w:r>
    </w:p>
    <w:p w:rsidR="00C310DF" w:rsidRPr="00BC7F3F" w:rsidRDefault="00C310DF" w:rsidP="00C310DF">
      <w:pPr>
        <w:spacing w:after="0" w:line="240" w:lineRule="auto"/>
        <w:contextualSpacing/>
        <w:jc w:val="both"/>
        <w:rPr>
          <w:rFonts w:ascii="Verdana" w:hAnsi="Verdana"/>
          <w:bCs/>
          <w:sz w:val="24"/>
          <w:szCs w:val="24"/>
        </w:rPr>
      </w:pPr>
    </w:p>
    <w:tbl>
      <w:tblPr>
        <w:tblStyle w:val="Tabladecuadrcula4-nfasis11"/>
        <w:tblW w:w="0" w:type="auto"/>
        <w:jc w:val="center"/>
        <w:tblLook w:val="04A0"/>
      </w:tblPr>
      <w:tblGrid>
        <w:gridCol w:w="522"/>
        <w:gridCol w:w="8991"/>
      </w:tblGrid>
      <w:tr w:rsidR="00C310DF" w:rsidRPr="00BC7F3F" w:rsidTr="00C310DF">
        <w:trPr>
          <w:cnfStyle w:val="100000000000"/>
          <w:tblHeader/>
          <w:jc w:val="center"/>
        </w:trPr>
        <w:tc>
          <w:tcPr>
            <w:cnfStyle w:val="001000000000"/>
            <w:tcW w:w="417" w:type="dxa"/>
            <w:vAlign w:val="center"/>
          </w:tcPr>
          <w:p w:rsidR="00C310DF" w:rsidRPr="00BC7F3F" w:rsidRDefault="00C310DF" w:rsidP="00C310DF">
            <w:pPr>
              <w:jc w:val="center"/>
              <w:rPr>
                <w:rFonts w:ascii="Verdana" w:hAnsi="Verdana"/>
                <w:bCs w:val="0"/>
                <w:i/>
                <w:sz w:val="24"/>
                <w:szCs w:val="24"/>
                <w:lang w:val="es-CO"/>
              </w:rPr>
            </w:pPr>
          </w:p>
        </w:tc>
        <w:tc>
          <w:tcPr>
            <w:tcW w:w="8991" w:type="dxa"/>
            <w:vAlign w:val="center"/>
          </w:tcPr>
          <w:p w:rsidR="00C310DF" w:rsidRPr="00BC7F3F" w:rsidRDefault="00C310DF" w:rsidP="00C310DF">
            <w:pPr>
              <w:jc w:val="center"/>
              <w:cnfStyle w:val="100000000000"/>
              <w:rPr>
                <w:rFonts w:ascii="Verdana" w:hAnsi="Verdana"/>
                <w:bCs w:val="0"/>
                <w:sz w:val="24"/>
                <w:szCs w:val="24"/>
                <w:lang w:val="es-CO"/>
              </w:rPr>
            </w:pPr>
            <w:r w:rsidRPr="00BC7F3F">
              <w:rPr>
                <w:rFonts w:ascii="Verdana" w:hAnsi="Verdana"/>
                <w:bCs w:val="0"/>
                <w:i/>
                <w:sz w:val="24"/>
                <w:szCs w:val="24"/>
                <w:lang w:val="es-CO"/>
              </w:rPr>
              <w:t>Proyectos desarrollados por la Dirección de Construcción de Memoria</w:t>
            </w:r>
          </w:p>
        </w:tc>
      </w:tr>
      <w:tr w:rsidR="00C310DF" w:rsidRPr="00BC7F3F" w:rsidTr="00C310DF">
        <w:trPr>
          <w:cnfStyle w:val="000000100000"/>
          <w:jc w:val="center"/>
        </w:trPr>
        <w:tc>
          <w:tcPr>
            <w:cnfStyle w:val="001000000000"/>
            <w:tcW w:w="417" w:type="dxa"/>
            <w:vAlign w:val="center"/>
          </w:tcPr>
          <w:p w:rsidR="00C310DF" w:rsidRPr="00BC7F3F" w:rsidRDefault="00C310DF" w:rsidP="00C310DF">
            <w:pPr>
              <w:jc w:val="center"/>
              <w:rPr>
                <w:rFonts w:ascii="Verdana" w:hAnsi="Verdana"/>
                <w:b w:val="0"/>
                <w:bCs w:val="0"/>
                <w:sz w:val="24"/>
                <w:szCs w:val="24"/>
                <w:lang w:val="es-CO"/>
              </w:rPr>
            </w:pPr>
            <w:r w:rsidRPr="00BC7F3F">
              <w:rPr>
                <w:rFonts w:ascii="Verdana" w:hAnsi="Verdana"/>
                <w:b w:val="0"/>
                <w:bCs w:val="0"/>
                <w:sz w:val="24"/>
                <w:szCs w:val="24"/>
                <w:lang w:val="es-CO"/>
              </w:rPr>
              <w:t>1</w:t>
            </w:r>
          </w:p>
        </w:tc>
        <w:tc>
          <w:tcPr>
            <w:tcW w:w="8991" w:type="dxa"/>
            <w:vAlign w:val="center"/>
          </w:tcPr>
          <w:p w:rsidR="00C310DF" w:rsidRPr="00BC7F3F" w:rsidRDefault="00C310DF" w:rsidP="00C310DF">
            <w:pPr>
              <w:ind w:left="34"/>
              <w:jc w:val="both"/>
              <w:cnfStyle w:val="000000100000"/>
              <w:rPr>
                <w:rFonts w:ascii="Verdana" w:hAnsi="Verdana"/>
                <w:bCs/>
                <w:sz w:val="24"/>
                <w:szCs w:val="24"/>
                <w:lang w:val="es-CO"/>
              </w:rPr>
            </w:pPr>
            <w:r w:rsidRPr="00BC7F3F">
              <w:rPr>
                <w:rFonts w:ascii="Verdana" w:hAnsi="Verdana"/>
                <w:bCs/>
                <w:sz w:val="24"/>
                <w:szCs w:val="24"/>
                <w:lang w:val="es-CO"/>
              </w:rPr>
              <w:t xml:space="preserve">Tierras, Organización social y territorio </w:t>
            </w:r>
          </w:p>
        </w:tc>
      </w:tr>
      <w:tr w:rsidR="00C310DF" w:rsidRPr="00BC7F3F" w:rsidTr="00C310DF">
        <w:trPr>
          <w:jc w:val="center"/>
        </w:trPr>
        <w:tc>
          <w:tcPr>
            <w:cnfStyle w:val="001000000000"/>
            <w:tcW w:w="417" w:type="dxa"/>
            <w:vAlign w:val="center"/>
          </w:tcPr>
          <w:p w:rsidR="00C310DF" w:rsidRPr="00BC7F3F" w:rsidRDefault="00C310DF" w:rsidP="00C310DF">
            <w:pPr>
              <w:jc w:val="center"/>
              <w:rPr>
                <w:rFonts w:ascii="Verdana" w:hAnsi="Verdana"/>
                <w:b w:val="0"/>
                <w:bCs w:val="0"/>
                <w:sz w:val="24"/>
                <w:szCs w:val="24"/>
                <w:lang w:val="es-CO"/>
              </w:rPr>
            </w:pPr>
            <w:r w:rsidRPr="00BC7F3F">
              <w:rPr>
                <w:rFonts w:ascii="Verdana" w:hAnsi="Verdana"/>
                <w:b w:val="0"/>
                <w:bCs w:val="0"/>
                <w:sz w:val="24"/>
                <w:szCs w:val="24"/>
                <w:lang w:val="es-CO"/>
              </w:rPr>
              <w:t>2</w:t>
            </w:r>
          </w:p>
        </w:tc>
        <w:tc>
          <w:tcPr>
            <w:tcW w:w="8991" w:type="dxa"/>
            <w:vAlign w:val="center"/>
          </w:tcPr>
          <w:p w:rsidR="00C310DF" w:rsidRPr="00BC7F3F" w:rsidRDefault="00C310DF" w:rsidP="00C310DF">
            <w:pPr>
              <w:ind w:left="34"/>
              <w:jc w:val="both"/>
              <w:cnfStyle w:val="000000000000"/>
              <w:rPr>
                <w:rFonts w:ascii="Verdana" w:hAnsi="Verdana"/>
                <w:bCs/>
                <w:sz w:val="24"/>
                <w:szCs w:val="24"/>
                <w:lang w:val="es-CO"/>
              </w:rPr>
            </w:pPr>
            <w:r w:rsidRPr="00BC7F3F">
              <w:rPr>
                <w:rFonts w:ascii="Verdana" w:hAnsi="Verdana"/>
                <w:bCs/>
                <w:sz w:val="24"/>
                <w:szCs w:val="24"/>
                <w:lang w:val="es-CO"/>
              </w:rPr>
              <w:t>Derecho a la Justicia como garantía de la no repetición</w:t>
            </w:r>
          </w:p>
        </w:tc>
      </w:tr>
      <w:tr w:rsidR="00C310DF" w:rsidRPr="00BC7F3F" w:rsidTr="00C310DF">
        <w:trPr>
          <w:cnfStyle w:val="000000100000"/>
          <w:jc w:val="center"/>
        </w:trPr>
        <w:tc>
          <w:tcPr>
            <w:cnfStyle w:val="001000000000"/>
            <w:tcW w:w="417" w:type="dxa"/>
            <w:vAlign w:val="center"/>
          </w:tcPr>
          <w:p w:rsidR="00C310DF" w:rsidRPr="00BC7F3F" w:rsidRDefault="00C310DF" w:rsidP="00C310DF">
            <w:pPr>
              <w:jc w:val="center"/>
              <w:rPr>
                <w:rFonts w:ascii="Verdana" w:hAnsi="Verdana"/>
                <w:b w:val="0"/>
                <w:bCs w:val="0"/>
                <w:sz w:val="24"/>
                <w:szCs w:val="24"/>
                <w:lang w:val="es-CO"/>
              </w:rPr>
            </w:pPr>
            <w:r w:rsidRPr="00BC7F3F">
              <w:rPr>
                <w:rFonts w:ascii="Verdana" w:hAnsi="Verdana"/>
                <w:b w:val="0"/>
                <w:bCs w:val="0"/>
                <w:sz w:val="24"/>
                <w:szCs w:val="24"/>
                <w:lang w:val="es-CO"/>
              </w:rPr>
              <w:t>3</w:t>
            </w:r>
          </w:p>
        </w:tc>
        <w:tc>
          <w:tcPr>
            <w:tcW w:w="8991" w:type="dxa"/>
            <w:vAlign w:val="center"/>
          </w:tcPr>
          <w:p w:rsidR="00C310DF" w:rsidRPr="00BC7F3F" w:rsidRDefault="00C310DF" w:rsidP="00C310DF">
            <w:pPr>
              <w:ind w:left="34"/>
              <w:jc w:val="both"/>
              <w:cnfStyle w:val="000000100000"/>
              <w:rPr>
                <w:rFonts w:ascii="Verdana" w:hAnsi="Verdana"/>
                <w:bCs/>
                <w:sz w:val="24"/>
                <w:szCs w:val="24"/>
                <w:lang w:val="es-CO"/>
              </w:rPr>
            </w:pPr>
            <w:r w:rsidRPr="00BC7F3F">
              <w:rPr>
                <w:rFonts w:ascii="Verdana" w:hAnsi="Verdana"/>
                <w:bCs/>
                <w:sz w:val="24"/>
                <w:szCs w:val="24"/>
                <w:lang w:val="es-CO"/>
              </w:rPr>
              <w:t>Encuentro de Iglesias por la Paz y la Reconciliación</w:t>
            </w:r>
          </w:p>
        </w:tc>
      </w:tr>
      <w:tr w:rsidR="00C310DF" w:rsidRPr="00BC7F3F" w:rsidTr="00C310DF">
        <w:trPr>
          <w:jc w:val="center"/>
        </w:trPr>
        <w:tc>
          <w:tcPr>
            <w:cnfStyle w:val="001000000000"/>
            <w:tcW w:w="417" w:type="dxa"/>
            <w:vAlign w:val="center"/>
          </w:tcPr>
          <w:p w:rsidR="00C310DF" w:rsidRPr="00BC7F3F" w:rsidRDefault="00C310DF" w:rsidP="00C310DF">
            <w:pPr>
              <w:jc w:val="center"/>
              <w:rPr>
                <w:rFonts w:ascii="Verdana" w:hAnsi="Verdana"/>
                <w:b w:val="0"/>
                <w:bCs w:val="0"/>
                <w:sz w:val="24"/>
                <w:szCs w:val="24"/>
                <w:lang w:val="es-CO"/>
              </w:rPr>
            </w:pPr>
            <w:r w:rsidRPr="00BC7F3F">
              <w:rPr>
                <w:rFonts w:ascii="Verdana" w:hAnsi="Verdana"/>
                <w:b w:val="0"/>
                <w:bCs w:val="0"/>
                <w:sz w:val="24"/>
                <w:szCs w:val="24"/>
                <w:lang w:val="es-CO"/>
              </w:rPr>
              <w:t>4</w:t>
            </w:r>
          </w:p>
        </w:tc>
        <w:tc>
          <w:tcPr>
            <w:tcW w:w="8991" w:type="dxa"/>
            <w:vAlign w:val="center"/>
          </w:tcPr>
          <w:p w:rsidR="00C310DF" w:rsidRPr="00BC7F3F" w:rsidRDefault="00C310DF" w:rsidP="00C310DF">
            <w:pPr>
              <w:ind w:left="34"/>
              <w:jc w:val="both"/>
              <w:cnfStyle w:val="000000000000"/>
              <w:rPr>
                <w:rFonts w:ascii="Verdana" w:hAnsi="Verdana"/>
                <w:bCs/>
                <w:sz w:val="24"/>
                <w:szCs w:val="24"/>
                <w:lang w:val="es-CO"/>
              </w:rPr>
            </w:pPr>
            <w:r w:rsidRPr="00BC7F3F">
              <w:rPr>
                <w:rFonts w:ascii="Verdana" w:hAnsi="Verdana"/>
                <w:bCs/>
                <w:sz w:val="24"/>
                <w:szCs w:val="24"/>
                <w:lang w:val="es-CO"/>
              </w:rPr>
              <w:t xml:space="preserve">Conflicto armado y para-institucionalidad configuración de la escuela en zonas de conflicto armado </w:t>
            </w:r>
          </w:p>
        </w:tc>
      </w:tr>
      <w:tr w:rsidR="00C310DF" w:rsidRPr="00BC7F3F" w:rsidTr="00C310DF">
        <w:trPr>
          <w:cnfStyle w:val="000000100000"/>
          <w:jc w:val="center"/>
        </w:trPr>
        <w:tc>
          <w:tcPr>
            <w:cnfStyle w:val="001000000000"/>
            <w:tcW w:w="417" w:type="dxa"/>
            <w:vAlign w:val="center"/>
          </w:tcPr>
          <w:p w:rsidR="00C310DF" w:rsidRPr="00BC7F3F" w:rsidRDefault="00C310DF" w:rsidP="00C310DF">
            <w:pPr>
              <w:jc w:val="center"/>
              <w:rPr>
                <w:rFonts w:ascii="Verdana" w:hAnsi="Verdana"/>
                <w:b w:val="0"/>
                <w:bCs w:val="0"/>
                <w:sz w:val="24"/>
                <w:szCs w:val="24"/>
                <w:lang w:val="es-CO"/>
              </w:rPr>
            </w:pPr>
            <w:r w:rsidRPr="00BC7F3F">
              <w:rPr>
                <w:rFonts w:ascii="Verdana" w:hAnsi="Verdana"/>
                <w:b w:val="0"/>
                <w:bCs w:val="0"/>
                <w:sz w:val="24"/>
                <w:szCs w:val="24"/>
                <w:lang w:val="es-CO"/>
              </w:rPr>
              <w:t>5</w:t>
            </w:r>
          </w:p>
        </w:tc>
        <w:tc>
          <w:tcPr>
            <w:tcW w:w="8991" w:type="dxa"/>
            <w:vAlign w:val="center"/>
          </w:tcPr>
          <w:p w:rsidR="00C310DF" w:rsidRPr="00BC7F3F" w:rsidRDefault="00C310DF" w:rsidP="00C310DF">
            <w:pPr>
              <w:ind w:left="34"/>
              <w:jc w:val="both"/>
              <w:cnfStyle w:val="000000100000"/>
              <w:rPr>
                <w:rFonts w:ascii="Verdana" w:hAnsi="Verdana"/>
                <w:bCs/>
                <w:sz w:val="24"/>
                <w:szCs w:val="24"/>
                <w:lang w:val="es-CO"/>
              </w:rPr>
            </w:pPr>
            <w:r w:rsidRPr="00BC7F3F">
              <w:rPr>
                <w:rFonts w:ascii="Verdana" w:hAnsi="Verdana"/>
                <w:bCs/>
                <w:sz w:val="24"/>
                <w:szCs w:val="24"/>
                <w:lang w:val="es-CO"/>
              </w:rPr>
              <w:t xml:space="preserve">Observatorio Nacional de Memoria y Conflicto </w:t>
            </w:r>
          </w:p>
        </w:tc>
      </w:tr>
      <w:tr w:rsidR="00C310DF" w:rsidRPr="00BC7F3F" w:rsidTr="00C310DF">
        <w:trPr>
          <w:jc w:val="center"/>
        </w:trPr>
        <w:tc>
          <w:tcPr>
            <w:cnfStyle w:val="001000000000"/>
            <w:tcW w:w="417" w:type="dxa"/>
            <w:vAlign w:val="center"/>
          </w:tcPr>
          <w:p w:rsidR="00C310DF" w:rsidRPr="00BC7F3F" w:rsidRDefault="00C310DF" w:rsidP="00C310DF">
            <w:pPr>
              <w:jc w:val="center"/>
              <w:rPr>
                <w:rFonts w:ascii="Verdana" w:hAnsi="Verdana"/>
                <w:b w:val="0"/>
                <w:bCs w:val="0"/>
                <w:sz w:val="24"/>
                <w:szCs w:val="24"/>
                <w:lang w:val="es-CO"/>
              </w:rPr>
            </w:pPr>
            <w:r w:rsidRPr="00BC7F3F">
              <w:rPr>
                <w:rFonts w:ascii="Verdana" w:hAnsi="Verdana"/>
                <w:b w:val="0"/>
                <w:bCs w:val="0"/>
                <w:sz w:val="24"/>
                <w:szCs w:val="24"/>
                <w:lang w:val="es-CO"/>
              </w:rPr>
              <w:t>6</w:t>
            </w:r>
          </w:p>
        </w:tc>
        <w:tc>
          <w:tcPr>
            <w:tcW w:w="8991" w:type="dxa"/>
            <w:vAlign w:val="center"/>
          </w:tcPr>
          <w:p w:rsidR="00C310DF" w:rsidRPr="00BC7F3F" w:rsidRDefault="00C310DF" w:rsidP="00C310DF">
            <w:pPr>
              <w:ind w:left="34"/>
              <w:jc w:val="both"/>
              <w:cnfStyle w:val="000000000000"/>
              <w:rPr>
                <w:rFonts w:ascii="Verdana" w:hAnsi="Verdana"/>
                <w:bCs/>
                <w:sz w:val="24"/>
                <w:szCs w:val="24"/>
                <w:lang w:val="es-CO"/>
              </w:rPr>
            </w:pPr>
            <w:r w:rsidRPr="00BC7F3F">
              <w:rPr>
                <w:rFonts w:ascii="Verdana" w:hAnsi="Verdana"/>
                <w:bCs/>
                <w:sz w:val="24"/>
                <w:szCs w:val="24"/>
                <w:lang w:val="es-CO"/>
              </w:rPr>
              <w:t xml:space="preserve">Desapariciones forzadas en Colombia: víctimas, responsables y luchas por la memoria. Estudio de caso: Magdalena Medio </w:t>
            </w:r>
          </w:p>
        </w:tc>
      </w:tr>
      <w:tr w:rsidR="00C310DF" w:rsidRPr="00BC7F3F" w:rsidTr="00C310DF">
        <w:trPr>
          <w:cnfStyle w:val="000000100000"/>
          <w:jc w:val="center"/>
        </w:trPr>
        <w:tc>
          <w:tcPr>
            <w:cnfStyle w:val="001000000000"/>
            <w:tcW w:w="417" w:type="dxa"/>
            <w:vAlign w:val="center"/>
          </w:tcPr>
          <w:p w:rsidR="00C310DF" w:rsidRPr="00BC7F3F" w:rsidRDefault="00C310DF" w:rsidP="00C310DF">
            <w:pPr>
              <w:jc w:val="center"/>
              <w:rPr>
                <w:rFonts w:ascii="Verdana" w:hAnsi="Verdana"/>
                <w:b w:val="0"/>
                <w:bCs w:val="0"/>
                <w:sz w:val="24"/>
                <w:szCs w:val="24"/>
                <w:lang w:val="es-CO"/>
              </w:rPr>
            </w:pPr>
            <w:r w:rsidRPr="00BC7F3F">
              <w:rPr>
                <w:rFonts w:ascii="Verdana" w:hAnsi="Verdana"/>
                <w:b w:val="0"/>
                <w:bCs w:val="0"/>
                <w:sz w:val="24"/>
                <w:szCs w:val="24"/>
                <w:lang w:val="es-CO"/>
              </w:rPr>
              <w:t>7</w:t>
            </w:r>
          </w:p>
        </w:tc>
        <w:tc>
          <w:tcPr>
            <w:tcW w:w="8991" w:type="dxa"/>
            <w:vAlign w:val="center"/>
          </w:tcPr>
          <w:p w:rsidR="00C310DF" w:rsidRPr="00BC7F3F" w:rsidRDefault="00C310DF" w:rsidP="00C310DF">
            <w:pPr>
              <w:ind w:left="34"/>
              <w:jc w:val="both"/>
              <w:cnfStyle w:val="000000100000"/>
              <w:rPr>
                <w:rFonts w:ascii="Verdana" w:hAnsi="Verdana"/>
                <w:bCs/>
                <w:sz w:val="24"/>
                <w:szCs w:val="24"/>
                <w:lang w:val="es-CO"/>
              </w:rPr>
            </w:pPr>
            <w:r w:rsidRPr="00BC7F3F">
              <w:rPr>
                <w:rFonts w:ascii="Verdana" w:hAnsi="Verdana"/>
                <w:bCs/>
                <w:sz w:val="24"/>
                <w:szCs w:val="24"/>
                <w:lang w:val="es-CO"/>
              </w:rPr>
              <w:t>Periodistas y medios colombianos en medio del conflicto armado Una perspectiva de memoria histórica (1975-2010)</w:t>
            </w:r>
          </w:p>
        </w:tc>
      </w:tr>
      <w:tr w:rsidR="00C310DF" w:rsidRPr="00BC7F3F" w:rsidTr="00C310DF">
        <w:trPr>
          <w:jc w:val="center"/>
        </w:trPr>
        <w:tc>
          <w:tcPr>
            <w:cnfStyle w:val="001000000000"/>
            <w:tcW w:w="417" w:type="dxa"/>
            <w:vAlign w:val="center"/>
          </w:tcPr>
          <w:p w:rsidR="00C310DF" w:rsidRPr="00BC7F3F" w:rsidRDefault="00C310DF" w:rsidP="00C310DF">
            <w:pPr>
              <w:jc w:val="center"/>
              <w:rPr>
                <w:rFonts w:ascii="Verdana" w:hAnsi="Verdana"/>
                <w:b w:val="0"/>
                <w:bCs w:val="0"/>
                <w:sz w:val="24"/>
                <w:szCs w:val="24"/>
                <w:lang w:val="es-CO"/>
              </w:rPr>
            </w:pPr>
            <w:r w:rsidRPr="00BC7F3F">
              <w:rPr>
                <w:rFonts w:ascii="Verdana" w:hAnsi="Verdana"/>
                <w:b w:val="0"/>
                <w:bCs w:val="0"/>
                <w:sz w:val="24"/>
                <w:szCs w:val="24"/>
                <w:lang w:val="es-CO"/>
              </w:rPr>
              <w:t>8</w:t>
            </w:r>
          </w:p>
        </w:tc>
        <w:tc>
          <w:tcPr>
            <w:tcW w:w="8991" w:type="dxa"/>
            <w:vAlign w:val="center"/>
          </w:tcPr>
          <w:p w:rsidR="00C310DF" w:rsidRPr="00BC7F3F" w:rsidRDefault="00C310DF" w:rsidP="00C310DF">
            <w:pPr>
              <w:ind w:left="34"/>
              <w:jc w:val="both"/>
              <w:cnfStyle w:val="000000000000"/>
              <w:rPr>
                <w:rFonts w:ascii="Verdana" w:hAnsi="Verdana"/>
                <w:bCs/>
                <w:sz w:val="24"/>
                <w:szCs w:val="24"/>
                <w:lang w:val="es-CO"/>
              </w:rPr>
            </w:pPr>
            <w:r w:rsidRPr="00BC7F3F">
              <w:rPr>
                <w:rFonts w:ascii="Verdana" w:hAnsi="Verdana"/>
                <w:bCs/>
                <w:sz w:val="24"/>
                <w:szCs w:val="24"/>
                <w:lang w:val="es-CO"/>
              </w:rPr>
              <w:t>Conflicto armado y poder local. La aniquilación del opositor político en Norte de Santander 1990 – 2010</w:t>
            </w:r>
          </w:p>
        </w:tc>
      </w:tr>
      <w:tr w:rsidR="00C310DF" w:rsidRPr="00BC7F3F" w:rsidTr="00C310DF">
        <w:trPr>
          <w:cnfStyle w:val="000000100000"/>
          <w:jc w:val="center"/>
        </w:trPr>
        <w:tc>
          <w:tcPr>
            <w:cnfStyle w:val="001000000000"/>
            <w:tcW w:w="417" w:type="dxa"/>
            <w:vAlign w:val="center"/>
          </w:tcPr>
          <w:p w:rsidR="00C310DF" w:rsidRPr="00BC7F3F" w:rsidRDefault="00C310DF" w:rsidP="00C310DF">
            <w:pPr>
              <w:jc w:val="center"/>
              <w:rPr>
                <w:rFonts w:ascii="Verdana" w:hAnsi="Verdana"/>
                <w:b w:val="0"/>
                <w:bCs w:val="0"/>
                <w:sz w:val="24"/>
                <w:szCs w:val="24"/>
                <w:lang w:val="es-CO"/>
              </w:rPr>
            </w:pPr>
            <w:r w:rsidRPr="00BC7F3F">
              <w:rPr>
                <w:rFonts w:ascii="Verdana" w:hAnsi="Verdana"/>
                <w:b w:val="0"/>
                <w:bCs w:val="0"/>
                <w:sz w:val="24"/>
                <w:szCs w:val="24"/>
                <w:lang w:val="es-CO"/>
              </w:rPr>
              <w:lastRenderedPageBreak/>
              <w:t>9</w:t>
            </w:r>
          </w:p>
        </w:tc>
        <w:tc>
          <w:tcPr>
            <w:tcW w:w="8991" w:type="dxa"/>
            <w:vAlign w:val="center"/>
          </w:tcPr>
          <w:p w:rsidR="00C310DF" w:rsidRPr="00BC7F3F" w:rsidRDefault="00C310DF" w:rsidP="00C310DF">
            <w:pPr>
              <w:ind w:left="34"/>
              <w:jc w:val="both"/>
              <w:cnfStyle w:val="000000100000"/>
              <w:rPr>
                <w:rFonts w:ascii="Verdana" w:hAnsi="Verdana"/>
                <w:bCs/>
                <w:sz w:val="24"/>
                <w:szCs w:val="24"/>
                <w:lang w:val="es-CO"/>
              </w:rPr>
            </w:pPr>
            <w:r w:rsidRPr="00BC7F3F">
              <w:rPr>
                <w:rFonts w:ascii="Verdana" w:hAnsi="Verdana"/>
                <w:bCs/>
                <w:sz w:val="24"/>
                <w:szCs w:val="24"/>
                <w:lang w:val="es-CO"/>
              </w:rPr>
              <w:t>Los daños de la violencia en la niñez y la juventud y las memorias de resistencias en la región del San Juan Chocó</w:t>
            </w:r>
          </w:p>
        </w:tc>
      </w:tr>
      <w:tr w:rsidR="00C310DF" w:rsidRPr="00BC7F3F" w:rsidTr="00C310DF">
        <w:trPr>
          <w:jc w:val="center"/>
        </w:trPr>
        <w:tc>
          <w:tcPr>
            <w:cnfStyle w:val="001000000000"/>
            <w:tcW w:w="417" w:type="dxa"/>
            <w:vAlign w:val="center"/>
          </w:tcPr>
          <w:p w:rsidR="00C310DF" w:rsidRPr="00BC7F3F" w:rsidRDefault="00C310DF" w:rsidP="00C310DF">
            <w:pPr>
              <w:jc w:val="center"/>
              <w:rPr>
                <w:rFonts w:ascii="Verdana" w:hAnsi="Verdana"/>
                <w:b w:val="0"/>
                <w:bCs w:val="0"/>
                <w:sz w:val="24"/>
                <w:szCs w:val="24"/>
                <w:lang w:val="es-CO"/>
              </w:rPr>
            </w:pPr>
            <w:r w:rsidRPr="00BC7F3F">
              <w:rPr>
                <w:rFonts w:ascii="Verdana" w:hAnsi="Verdana"/>
                <w:b w:val="0"/>
                <w:bCs w:val="0"/>
                <w:sz w:val="24"/>
                <w:szCs w:val="24"/>
                <w:lang w:val="es-CO"/>
              </w:rPr>
              <w:t>10</w:t>
            </w:r>
          </w:p>
        </w:tc>
        <w:tc>
          <w:tcPr>
            <w:tcW w:w="8991" w:type="dxa"/>
            <w:vAlign w:val="center"/>
          </w:tcPr>
          <w:p w:rsidR="00C310DF" w:rsidRPr="00BC7F3F" w:rsidRDefault="00C310DF" w:rsidP="00C310DF">
            <w:pPr>
              <w:ind w:left="34"/>
              <w:jc w:val="both"/>
              <w:cnfStyle w:val="000000000000"/>
              <w:rPr>
                <w:rFonts w:ascii="Verdana" w:hAnsi="Verdana"/>
                <w:bCs/>
                <w:sz w:val="24"/>
                <w:szCs w:val="24"/>
                <w:lang w:val="es-CO"/>
              </w:rPr>
            </w:pPr>
            <w:r w:rsidRPr="00BC7F3F">
              <w:rPr>
                <w:rFonts w:ascii="Verdana" w:hAnsi="Verdana"/>
                <w:bCs/>
                <w:sz w:val="24"/>
                <w:szCs w:val="24"/>
                <w:lang w:val="es-CO"/>
              </w:rPr>
              <w:t>Memoria Histórica del conflicto armado en Buenaventura durante el periodo 2000-2012. Afectaciones sobre las comunidades afrodescendientes e indígenas.</w:t>
            </w:r>
          </w:p>
        </w:tc>
      </w:tr>
      <w:tr w:rsidR="00C310DF" w:rsidRPr="00BC7F3F" w:rsidTr="00C310DF">
        <w:trPr>
          <w:cnfStyle w:val="000000100000"/>
          <w:jc w:val="center"/>
        </w:trPr>
        <w:tc>
          <w:tcPr>
            <w:cnfStyle w:val="001000000000"/>
            <w:tcW w:w="417" w:type="dxa"/>
            <w:vAlign w:val="center"/>
          </w:tcPr>
          <w:p w:rsidR="00C310DF" w:rsidRPr="00BC7F3F" w:rsidRDefault="00C310DF" w:rsidP="00C310DF">
            <w:pPr>
              <w:jc w:val="center"/>
              <w:rPr>
                <w:rFonts w:ascii="Verdana" w:hAnsi="Verdana"/>
                <w:b w:val="0"/>
                <w:bCs w:val="0"/>
                <w:sz w:val="24"/>
                <w:szCs w:val="24"/>
                <w:lang w:val="es-CO"/>
              </w:rPr>
            </w:pPr>
            <w:r w:rsidRPr="00BC7F3F">
              <w:rPr>
                <w:rFonts w:ascii="Verdana" w:hAnsi="Verdana"/>
                <w:b w:val="0"/>
                <w:bCs w:val="0"/>
                <w:sz w:val="24"/>
                <w:szCs w:val="24"/>
                <w:lang w:val="es-CO"/>
              </w:rPr>
              <w:t>11</w:t>
            </w:r>
          </w:p>
        </w:tc>
        <w:tc>
          <w:tcPr>
            <w:tcW w:w="8991" w:type="dxa"/>
            <w:vAlign w:val="center"/>
          </w:tcPr>
          <w:p w:rsidR="00C310DF" w:rsidRPr="00BC7F3F" w:rsidRDefault="00C310DF" w:rsidP="00C310DF">
            <w:pPr>
              <w:ind w:left="34"/>
              <w:jc w:val="both"/>
              <w:cnfStyle w:val="000000100000"/>
              <w:rPr>
                <w:rFonts w:ascii="Verdana" w:hAnsi="Verdana"/>
                <w:bCs/>
                <w:sz w:val="24"/>
                <w:szCs w:val="24"/>
                <w:lang w:val="es-CO"/>
              </w:rPr>
            </w:pPr>
            <w:r w:rsidRPr="00BC7F3F">
              <w:rPr>
                <w:rFonts w:ascii="Verdana" w:hAnsi="Verdana"/>
                <w:bCs/>
                <w:sz w:val="24"/>
                <w:szCs w:val="24"/>
                <w:lang w:val="es-CO"/>
              </w:rPr>
              <w:t>Memoria Histórica desde la Antropología Forense. Las fosas como fuente de información</w:t>
            </w:r>
          </w:p>
        </w:tc>
      </w:tr>
    </w:tbl>
    <w:p w:rsidR="00C310DF" w:rsidRPr="00BC7F3F" w:rsidRDefault="00C310DF" w:rsidP="00C310DF">
      <w:pPr>
        <w:spacing w:after="0" w:line="240" w:lineRule="auto"/>
        <w:jc w:val="both"/>
        <w:rPr>
          <w:rFonts w:ascii="Verdana" w:hAnsi="Verdana"/>
          <w:bCs/>
          <w:sz w:val="24"/>
          <w:szCs w:val="24"/>
        </w:rPr>
      </w:pPr>
    </w:p>
    <w:tbl>
      <w:tblPr>
        <w:tblStyle w:val="Tabladecuadrcula4-nfasis11"/>
        <w:tblW w:w="0" w:type="auto"/>
        <w:jc w:val="center"/>
        <w:tblLook w:val="04A0"/>
      </w:tblPr>
      <w:tblGrid>
        <w:gridCol w:w="369"/>
        <w:gridCol w:w="9034"/>
      </w:tblGrid>
      <w:tr w:rsidR="00C310DF" w:rsidRPr="00BC7F3F" w:rsidTr="00C310DF">
        <w:trPr>
          <w:cnfStyle w:val="100000000000"/>
          <w:tblHeader/>
          <w:jc w:val="center"/>
        </w:trPr>
        <w:tc>
          <w:tcPr>
            <w:cnfStyle w:val="001000000000"/>
            <w:tcW w:w="317" w:type="dxa"/>
            <w:vAlign w:val="center"/>
          </w:tcPr>
          <w:p w:rsidR="00C310DF" w:rsidRPr="00BC7F3F" w:rsidRDefault="00C310DF" w:rsidP="00C310DF">
            <w:pPr>
              <w:jc w:val="center"/>
              <w:rPr>
                <w:rFonts w:ascii="Verdana" w:hAnsi="Verdana"/>
                <w:bCs w:val="0"/>
                <w:i/>
                <w:sz w:val="24"/>
                <w:szCs w:val="24"/>
                <w:lang w:val="es-CO"/>
              </w:rPr>
            </w:pPr>
          </w:p>
        </w:tc>
        <w:tc>
          <w:tcPr>
            <w:tcW w:w="9034" w:type="dxa"/>
            <w:vAlign w:val="center"/>
          </w:tcPr>
          <w:p w:rsidR="00C310DF" w:rsidRPr="00BC7F3F" w:rsidRDefault="00C310DF" w:rsidP="00C310DF">
            <w:pPr>
              <w:jc w:val="center"/>
              <w:cnfStyle w:val="100000000000"/>
              <w:rPr>
                <w:rFonts w:ascii="Verdana" w:hAnsi="Verdana"/>
                <w:bCs w:val="0"/>
                <w:sz w:val="24"/>
                <w:szCs w:val="24"/>
                <w:lang w:val="es-CO"/>
              </w:rPr>
            </w:pPr>
            <w:r w:rsidRPr="00BC7F3F">
              <w:rPr>
                <w:rFonts w:ascii="Verdana" w:hAnsi="Verdana"/>
                <w:bCs w:val="0"/>
                <w:i/>
                <w:sz w:val="24"/>
                <w:szCs w:val="24"/>
                <w:lang w:val="es-CO"/>
              </w:rPr>
              <w:t>Proyectos adelantados vía convenios interadministrativos</w:t>
            </w:r>
          </w:p>
        </w:tc>
      </w:tr>
      <w:tr w:rsidR="00C310DF" w:rsidRPr="00BC7F3F" w:rsidTr="00C310DF">
        <w:trPr>
          <w:cnfStyle w:val="000000100000"/>
          <w:jc w:val="center"/>
        </w:trPr>
        <w:tc>
          <w:tcPr>
            <w:cnfStyle w:val="001000000000"/>
            <w:tcW w:w="317" w:type="dxa"/>
            <w:vAlign w:val="center"/>
          </w:tcPr>
          <w:p w:rsidR="00C310DF" w:rsidRPr="00BC7F3F" w:rsidRDefault="00C310DF" w:rsidP="00C310DF">
            <w:pPr>
              <w:jc w:val="center"/>
              <w:rPr>
                <w:rFonts w:ascii="Verdana" w:hAnsi="Verdana"/>
                <w:b w:val="0"/>
                <w:bCs w:val="0"/>
                <w:sz w:val="24"/>
                <w:szCs w:val="24"/>
                <w:lang w:val="es-CO"/>
              </w:rPr>
            </w:pPr>
            <w:r w:rsidRPr="00BC7F3F">
              <w:rPr>
                <w:rFonts w:ascii="Verdana" w:hAnsi="Verdana"/>
                <w:b w:val="0"/>
                <w:bCs w:val="0"/>
                <w:sz w:val="24"/>
                <w:szCs w:val="24"/>
                <w:lang w:val="es-CO"/>
              </w:rPr>
              <w:t>1</w:t>
            </w:r>
          </w:p>
        </w:tc>
        <w:tc>
          <w:tcPr>
            <w:tcW w:w="9034" w:type="dxa"/>
          </w:tcPr>
          <w:p w:rsidR="00C310DF" w:rsidRPr="00BC7F3F" w:rsidRDefault="00C310DF" w:rsidP="00C310DF">
            <w:pPr>
              <w:ind w:left="34"/>
              <w:jc w:val="both"/>
              <w:cnfStyle w:val="000000100000"/>
              <w:rPr>
                <w:rFonts w:ascii="Verdana" w:hAnsi="Verdana"/>
                <w:bCs/>
                <w:sz w:val="24"/>
                <w:szCs w:val="24"/>
                <w:lang w:val="es-CO"/>
              </w:rPr>
            </w:pPr>
            <w:r w:rsidRPr="00BC7F3F">
              <w:rPr>
                <w:rFonts w:ascii="Verdana" w:hAnsi="Verdana"/>
                <w:bCs/>
                <w:sz w:val="24"/>
                <w:szCs w:val="24"/>
                <w:lang w:val="es-CO"/>
              </w:rPr>
              <w:t xml:space="preserve">La limpieza social en la ciudad: amenazas y asesinatos en Ciudad Bolívar, Bogotá </w:t>
            </w:r>
          </w:p>
        </w:tc>
      </w:tr>
      <w:tr w:rsidR="00C310DF" w:rsidRPr="00BC7F3F" w:rsidTr="00C310DF">
        <w:trPr>
          <w:jc w:val="center"/>
        </w:trPr>
        <w:tc>
          <w:tcPr>
            <w:cnfStyle w:val="001000000000"/>
            <w:tcW w:w="317" w:type="dxa"/>
            <w:vAlign w:val="center"/>
          </w:tcPr>
          <w:p w:rsidR="00C310DF" w:rsidRPr="00BC7F3F" w:rsidRDefault="00C310DF" w:rsidP="00C310DF">
            <w:pPr>
              <w:jc w:val="center"/>
              <w:rPr>
                <w:rFonts w:ascii="Verdana" w:hAnsi="Verdana"/>
                <w:b w:val="0"/>
                <w:bCs w:val="0"/>
                <w:sz w:val="24"/>
                <w:szCs w:val="24"/>
                <w:lang w:val="es-CO"/>
              </w:rPr>
            </w:pPr>
            <w:r w:rsidRPr="00BC7F3F">
              <w:rPr>
                <w:rFonts w:ascii="Verdana" w:hAnsi="Verdana"/>
                <w:b w:val="0"/>
                <w:bCs w:val="0"/>
                <w:sz w:val="24"/>
                <w:szCs w:val="24"/>
                <w:lang w:val="es-CO"/>
              </w:rPr>
              <w:t>2</w:t>
            </w:r>
          </w:p>
        </w:tc>
        <w:tc>
          <w:tcPr>
            <w:tcW w:w="9034" w:type="dxa"/>
          </w:tcPr>
          <w:p w:rsidR="00C310DF" w:rsidRPr="00BC7F3F" w:rsidRDefault="00C310DF" w:rsidP="00C310DF">
            <w:pPr>
              <w:ind w:left="34"/>
              <w:jc w:val="both"/>
              <w:cnfStyle w:val="000000000000"/>
              <w:rPr>
                <w:rFonts w:ascii="Verdana" w:hAnsi="Verdana"/>
                <w:bCs/>
                <w:sz w:val="24"/>
                <w:szCs w:val="24"/>
                <w:lang w:val="es-CO"/>
              </w:rPr>
            </w:pPr>
            <w:r w:rsidRPr="00BC7F3F">
              <w:rPr>
                <w:rFonts w:ascii="Verdana" w:hAnsi="Verdana"/>
                <w:bCs/>
                <w:sz w:val="24"/>
                <w:szCs w:val="24"/>
                <w:lang w:val="es-CO"/>
              </w:rPr>
              <w:t>Toma de poblados por la insurgencia 1965-2012 )–IEPRI</w:t>
            </w:r>
          </w:p>
        </w:tc>
      </w:tr>
      <w:tr w:rsidR="00C310DF" w:rsidRPr="00BC7F3F" w:rsidTr="00C310DF">
        <w:trPr>
          <w:cnfStyle w:val="000000100000"/>
          <w:jc w:val="center"/>
        </w:trPr>
        <w:tc>
          <w:tcPr>
            <w:cnfStyle w:val="001000000000"/>
            <w:tcW w:w="317" w:type="dxa"/>
            <w:vAlign w:val="center"/>
          </w:tcPr>
          <w:p w:rsidR="00C310DF" w:rsidRPr="00BC7F3F" w:rsidRDefault="00C310DF" w:rsidP="00C310DF">
            <w:pPr>
              <w:jc w:val="center"/>
              <w:rPr>
                <w:rFonts w:ascii="Verdana" w:hAnsi="Verdana"/>
                <w:b w:val="0"/>
                <w:bCs w:val="0"/>
                <w:sz w:val="24"/>
                <w:szCs w:val="24"/>
                <w:lang w:val="es-CO"/>
              </w:rPr>
            </w:pPr>
            <w:r w:rsidRPr="00BC7F3F">
              <w:rPr>
                <w:rFonts w:ascii="Verdana" w:hAnsi="Verdana"/>
                <w:b w:val="0"/>
                <w:bCs w:val="0"/>
                <w:sz w:val="24"/>
                <w:szCs w:val="24"/>
                <w:lang w:val="es-CO"/>
              </w:rPr>
              <w:t>3</w:t>
            </w:r>
          </w:p>
        </w:tc>
        <w:tc>
          <w:tcPr>
            <w:tcW w:w="9034" w:type="dxa"/>
          </w:tcPr>
          <w:p w:rsidR="00C310DF" w:rsidRPr="00BC7F3F" w:rsidRDefault="00C310DF" w:rsidP="00C310DF">
            <w:pPr>
              <w:ind w:left="34"/>
              <w:jc w:val="both"/>
              <w:cnfStyle w:val="000000100000"/>
              <w:rPr>
                <w:rFonts w:ascii="Verdana" w:hAnsi="Verdana"/>
                <w:bCs/>
                <w:sz w:val="24"/>
                <w:szCs w:val="24"/>
                <w:lang w:val="es-CO"/>
              </w:rPr>
            </w:pPr>
            <w:r w:rsidRPr="00BC7F3F">
              <w:rPr>
                <w:rFonts w:ascii="Verdana" w:hAnsi="Verdana"/>
                <w:bCs/>
                <w:sz w:val="24"/>
                <w:szCs w:val="24"/>
                <w:lang w:val="es-CO"/>
              </w:rPr>
              <w:t>Las voces de niños, niñas y adolescentes en contextos de conflicto armado –ICBF</w:t>
            </w:r>
          </w:p>
        </w:tc>
      </w:tr>
      <w:tr w:rsidR="00C310DF" w:rsidRPr="00BC7F3F" w:rsidTr="00C310DF">
        <w:trPr>
          <w:jc w:val="center"/>
        </w:trPr>
        <w:tc>
          <w:tcPr>
            <w:cnfStyle w:val="001000000000"/>
            <w:tcW w:w="317" w:type="dxa"/>
            <w:vAlign w:val="center"/>
          </w:tcPr>
          <w:p w:rsidR="00C310DF" w:rsidRPr="00BC7F3F" w:rsidRDefault="00C310DF" w:rsidP="00C310DF">
            <w:pPr>
              <w:jc w:val="center"/>
              <w:rPr>
                <w:rFonts w:ascii="Verdana" w:hAnsi="Verdana"/>
                <w:b w:val="0"/>
                <w:bCs w:val="0"/>
                <w:sz w:val="24"/>
                <w:szCs w:val="24"/>
                <w:lang w:val="es-CO"/>
              </w:rPr>
            </w:pPr>
            <w:r w:rsidRPr="00BC7F3F">
              <w:rPr>
                <w:rFonts w:ascii="Verdana" w:hAnsi="Verdana"/>
                <w:b w:val="0"/>
                <w:bCs w:val="0"/>
                <w:sz w:val="24"/>
                <w:szCs w:val="24"/>
                <w:lang w:val="es-CO"/>
              </w:rPr>
              <w:t>4</w:t>
            </w:r>
          </w:p>
        </w:tc>
        <w:tc>
          <w:tcPr>
            <w:tcW w:w="9034" w:type="dxa"/>
          </w:tcPr>
          <w:p w:rsidR="00C310DF" w:rsidRPr="00BC7F3F" w:rsidRDefault="00C310DF" w:rsidP="00C310DF">
            <w:pPr>
              <w:ind w:left="34"/>
              <w:jc w:val="both"/>
              <w:cnfStyle w:val="000000000000"/>
              <w:rPr>
                <w:rFonts w:ascii="Verdana" w:hAnsi="Verdana"/>
                <w:bCs/>
                <w:sz w:val="24"/>
                <w:szCs w:val="24"/>
                <w:lang w:val="es-CO"/>
              </w:rPr>
            </w:pPr>
            <w:r w:rsidRPr="00BC7F3F">
              <w:rPr>
                <w:rFonts w:ascii="Verdana" w:hAnsi="Verdana"/>
                <w:bCs/>
                <w:sz w:val="24"/>
                <w:szCs w:val="24"/>
                <w:lang w:val="es-CO"/>
              </w:rPr>
              <w:t>Memoria y desplazamiento forzado en Colombia –UARIV</w:t>
            </w:r>
          </w:p>
        </w:tc>
      </w:tr>
      <w:tr w:rsidR="00C310DF" w:rsidRPr="00BC7F3F" w:rsidTr="00C310DF">
        <w:trPr>
          <w:cnfStyle w:val="000000100000"/>
          <w:jc w:val="center"/>
        </w:trPr>
        <w:tc>
          <w:tcPr>
            <w:cnfStyle w:val="001000000000"/>
            <w:tcW w:w="317" w:type="dxa"/>
            <w:vAlign w:val="center"/>
          </w:tcPr>
          <w:p w:rsidR="00C310DF" w:rsidRPr="00BC7F3F" w:rsidRDefault="00C310DF" w:rsidP="00C310DF">
            <w:pPr>
              <w:jc w:val="center"/>
              <w:rPr>
                <w:rFonts w:ascii="Verdana" w:hAnsi="Verdana"/>
                <w:b w:val="0"/>
                <w:bCs w:val="0"/>
                <w:sz w:val="24"/>
                <w:szCs w:val="24"/>
                <w:lang w:val="es-CO"/>
              </w:rPr>
            </w:pPr>
            <w:r w:rsidRPr="00BC7F3F">
              <w:rPr>
                <w:rFonts w:ascii="Verdana" w:hAnsi="Verdana"/>
                <w:b w:val="0"/>
                <w:bCs w:val="0"/>
                <w:sz w:val="24"/>
                <w:szCs w:val="24"/>
                <w:lang w:val="es-CO"/>
              </w:rPr>
              <w:t>5</w:t>
            </w:r>
          </w:p>
        </w:tc>
        <w:tc>
          <w:tcPr>
            <w:tcW w:w="9034" w:type="dxa"/>
          </w:tcPr>
          <w:p w:rsidR="00C310DF" w:rsidRPr="00BC7F3F" w:rsidRDefault="00C310DF" w:rsidP="00C310DF">
            <w:pPr>
              <w:ind w:left="34"/>
              <w:jc w:val="both"/>
              <w:cnfStyle w:val="000000100000"/>
              <w:rPr>
                <w:rFonts w:ascii="Verdana" w:hAnsi="Verdana"/>
                <w:bCs/>
                <w:sz w:val="24"/>
                <w:szCs w:val="24"/>
                <w:lang w:val="es-CO"/>
              </w:rPr>
            </w:pPr>
            <w:r w:rsidRPr="00BC7F3F">
              <w:rPr>
                <w:rFonts w:ascii="Verdana" w:hAnsi="Verdana"/>
                <w:bCs/>
                <w:sz w:val="24"/>
                <w:szCs w:val="24"/>
                <w:lang w:val="es-CO"/>
              </w:rPr>
              <w:t>El caso del exterminio de la UP –REINICIAR</w:t>
            </w:r>
          </w:p>
        </w:tc>
      </w:tr>
      <w:tr w:rsidR="00C310DF" w:rsidRPr="00BC7F3F" w:rsidTr="00C310DF">
        <w:trPr>
          <w:jc w:val="center"/>
        </w:trPr>
        <w:tc>
          <w:tcPr>
            <w:cnfStyle w:val="001000000000"/>
            <w:tcW w:w="317" w:type="dxa"/>
            <w:vAlign w:val="center"/>
          </w:tcPr>
          <w:p w:rsidR="00C310DF" w:rsidRPr="00BC7F3F" w:rsidRDefault="00C310DF" w:rsidP="00C310DF">
            <w:pPr>
              <w:jc w:val="center"/>
              <w:rPr>
                <w:rFonts w:ascii="Verdana" w:hAnsi="Verdana"/>
                <w:b w:val="0"/>
                <w:bCs w:val="0"/>
                <w:sz w:val="24"/>
                <w:szCs w:val="24"/>
                <w:lang w:val="es-CO"/>
              </w:rPr>
            </w:pPr>
            <w:r w:rsidRPr="00BC7F3F">
              <w:rPr>
                <w:rFonts w:ascii="Verdana" w:hAnsi="Verdana"/>
                <w:b w:val="0"/>
                <w:bCs w:val="0"/>
                <w:sz w:val="24"/>
                <w:szCs w:val="24"/>
                <w:lang w:val="es-CO"/>
              </w:rPr>
              <w:t>6</w:t>
            </w:r>
          </w:p>
        </w:tc>
        <w:tc>
          <w:tcPr>
            <w:tcW w:w="9034" w:type="dxa"/>
          </w:tcPr>
          <w:p w:rsidR="00C310DF" w:rsidRPr="00BC7F3F" w:rsidRDefault="00C310DF" w:rsidP="00C310DF">
            <w:pPr>
              <w:ind w:left="34"/>
              <w:jc w:val="both"/>
              <w:cnfStyle w:val="000000000000"/>
              <w:rPr>
                <w:rFonts w:ascii="Verdana" w:hAnsi="Verdana"/>
                <w:bCs/>
                <w:sz w:val="24"/>
                <w:szCs w:val="24"/>
                <w:lang w:val="es-CO"/>
              </w:rPr>
            </w:pPr>
            <w:r w:rsidRPr="00BC7F3F">
              <w:rPr>
                <w:rFonts w:ascii="Verdana" w:hAnsi="Verdana"/>
                <w:bCs/>
                <w:sz w:val="24"/>
                <w:szCs w:val="24"/>
                <w:lang w:val="es-CO"/>
              </w:rPr>
              <w:t>Reconstrucción de memoria histórica de los sucesos  y las afectaciones originadas por la explotación  del caucho en el período de las décadas finales del siglo XIX y primeras del XX, en la Amazonía colombiana-AZICACH</w:t>
            </w:r>
          </w:p>
        </w:tc>
      </w:tr>
      <w:tr w:rsidR="00C310DF" w:rsidRPr="00BC7F3F" w:rsidTr="00C310DF">
        <w:trPr>
          <w:cnfStyle w:val="000000100000"/>
          <w:jc w:val="center"/>
        </w:trPr>
        <w:tc>
          <w:tcPr>
            <w:cnfStyle w:val="001000000000"/>
            <w:tcW w:w="317" w:type="dxa"/>
            <w:vAlign w:val="center"/>
          </w:tcPr>
          <w:p w:rsidR="00C310DF" w:rsidRPr="00BC7F3F" w:rsidRDefault="00C310DF" w:rsidP="00C310DF">
            <w:pPr>
              <w:jc w:val="center"/>
              <w:rPr>
                <w:rFonts w:ascii="Verdana" w:hAnsi="Verdana"/>
                <w:b w:val="0"/>
                <w:bCs w:val="0"/>
                <w:sz w:val="24"/>
                <w:szCs w:val="24"/>
                <w:lang w:val="es-CO"/>
              </w:rPr>
            </w:pPr>
            <w:r w:rsidRPr="00BC7F3F">
              <w:rPr>
                <w:rFonts w:ascii="Verdana" w:hAnsi="Verdana"/>
                <w:b w:val="0"/>
                <w:bCs w:val="0"/>
                <w:sz w:val="24"/>
                <w:szCs w:val="24"/>
                <w:lang w:val="es-CO"/>
              </w:rPr>
              <w:t>7</w:t>
            </w:r>
          </w:p>
        </w:tc>
        <w:tc>
          <w:tcPr>
            <w:tcW w:w="9034" w:type="dxa"/>
          </w:tcPr>
          <w:p w:rsidR="00C310DF" w:rsidRPr="00BC7F3F" w:rsidRDefault="00C310DF" w:rsidP="00C310DF">
            <w:pPr>
              <w:ind w:left="34"/>
              <w:jc w:val="both"/>
              <w:cnfStyle w:val="000000100000"/>
              <w:rPr>
                <w:rFonts w:ascii="Verdana" w:hAnsi="Verdana"/>
                <w:bCs/>
                <w:sz w:val="24"/>
                <w:szCs w:val="24"/>
                <w:lang w:val="es-CO"/>
              </w:rPr>
            </w:pPr>
            <w:r w:rsidRPr="00BC7F3F">
              <w:rPr>
                <w:rFonts w:ascii="Verdana" w:hAnsi="Verdana"/>
                <w:bCs/>
                <w:sz w:val="24"/>
                <w:szCs w:val="24"/>
                <w:lang w:val="es-CO"/>
              </w:rPr>
              <w:t>Resistencias desde la Fe –UIS</w:t>
            </w:r>
          </w:p>
        </w:tc>
      </w:tr>
      <w:tr w:rsidR="00C310DF" w:rsidRPr="00BC7F3F" w:rsidTr="00C310DF">
        <w:trPr>
          <w:jc w:val="center"/>
        </w:trPr>
        <w:tc>
          <w:tcPr>
            <w:cnfStyle w:val="001000000000"/>
            <w:tcW w:w="317" w:type="dxa"/>
            <w:vAlign w:val="center"/>
          </w:tcPr>
          <w:p w:rsidR="00C310DF" w:rsidRPr="00BC7F3F" w:rsidRDefault="00C310DF" w:rsidP="00C310DF">
            <w:pPr>
              <w:jc w:val="center"/>
              <w:rPr>
                <w:rFonts w:ascii="Verdana" w:hAnsi="Verdana"/>
                <w:b w:val="0"/>
                <w:bCs w:val="0"/>
                <w:sz w:val="24"/>
                <w:szCs w:val="24"/>
                <w:lang w:val="es-CO"/>
              </w:rPr>
            </w:pPr>
            <w:r w:rsidRPr="00BC7F3F">
              <w:rPr>
                <w:rFonts w:ascii="Verdana" w:hAnsi="Verdana"/>
                <w:b w:val="0"/>
                <w:bCs w:val="0"/>
                <w:sz w:val="24"/>
                <w:szCs w:val="24"/>
                <w:lang w:val="es-CO"/>
              </w:rPr>
              <w:t>8</w:t>
            </w:r>
          </w:p>
        </w:tc>
        <w:tc>
          <w:tcPr>
            <w:tcW w:w="9034" w:type="dxa"/>
          </w:tcPr>
          <w:p w:rsidR="00C310DF" w:rsidRPr="00BC7F3F" w:rsidRDefault="00C310DF" w:rsidP="00C310DF">
            <w:pPr>
              <w:cnfStyle w:val="000000000000"/>
              <w:rPr>
                <w:rFonts w:ascii="Verdana" w:hAnsi="Verdana"/>
                <w:sz w:val="24"/>
                <w:szCs w:val="24"/>
                <w:lang w:val="es-CO"/>
              </w:rPr>
            </w:pPr>
            <w:r w:rsidRPr="00BC7F3F">
              <w:rPr>
                <w:rFonts w:ascii="Verdana" w:hAnsi="Verdana"/>
                <w:bCs/>
                <w:sz w:val="24"/>
                <w:szCs w:val="24"/>
                <w:lang w:val="es-CO"/>
              </w:rPr>
              <w:t>Transnacionales y ataques a sindicalistas -IEPRI</w:t>
            </w:r>
          </w:p>
        </w:tc>
      </w:tr>
    </w:tbl>
    <w:p w:rsidR="00C310DF" w:rsidRPr="00BC7F3F" w:rsidRDefault="00C310DF" w:rsidP="00C310DF">
      <w:pPr>
        <w:spacing w:after="0" w:line="240" w:lineRule="auto"/>
        <w:jc w:val="both"/>
        <w:rPr>
          <w:rFonts w:ascii="Verdana" w:hAnsi="Verdana"/>
          <w:bCs/>
          <w:sz w:val="24"/>
          <w:szCs w:val="24"/>
        </w:rPr>
      </w:pPr>
    </w:p>
    <w:p w:rsidR="00C310DF" w:rsidRPr="00BC7F3F" w:rsidRDefault="00C310DF" w:rsidP="00C310DF">
      <w:pPr>
        <w:spacing w:after="0" w:line="240" w:lineRule="auto"/>
        <w:jc w:val="both"/>
        <w:rPr>
          <w:rFonts w:ascii="Verdana" w:hAnsi="Verdana"/>
          <w:bCs/>
          <w:sz w:val="24"/>
          <w:szCs w:val="24"/>
        </w:rPr>
      </w:pPr>
      <w:r w:rsidRPr="00BC7F3F">
        <w:rPr>
          <w:rFonts w:ascii="Verdana" w:hAnsi="Verdana"/>
          <w:bCs/>
          <w:sz w:val="24"/>
          <w:szCs w:val="24"/>
        </w:rPr>
        <w:t>En cuanto a los proyectos de reconstrucción de memoria se destaca la alianza establecida por el CNMH y Colciencias, a través de la suscripción de un convenio interadministrativo, la cual permitió la realización de una convocatoria pública para proyectos de reconstrucción de memoria histórica sobre hechos del conflicto que no habían sido objeto de estudio previo por parte del Centro o del Grupo de Memoria Histórica, y que dio como resultado la financiación de seis proyectos que a continuación se señalan:</w:t>
      </w:r>
    </w:p>
    <w:p w:rsidR="00C310DF" w:rsidRPr="00BC7F3F" w:rsidRDefault="00C310DF" w:rsidP="00C310DF">
      <w:pPr>
        <w:spacing w:after="0" w:line="240" w:lineRule="auto"/>
        <w:jc w:val="both"/>
        <w:rPr>
          <w:rFonts w:ascii="Verdana" w:hAnsi="Verdana"/>
          <w:bCs/>
          <w:sz w:val="24"/>
          <w:szCs w:val="24"/>
        </w:rPr>
      </w:pPr>
    </w:p>
    <w:tbl>
      <w:tblPr>
        <w:tblStyle w:val="Tabladecuadrcula4-nfasis11"/>
        <w:tblW w:w="5000" w:type="pct"/>
        <w:jc w:val="center"/>
        <w:tblLook w:val="04A0"/>
      </w:tblPr>
      <w:tblGrid>
        <w:gridCol w:w="414"/>
        <w:gridCol w:w="9828"/>
      </w:tblGrid>
      <w:tr w:rsidR="00C310DF" w:rsidRPr="00BC7F3F" w:rsidTr="00C310DF">
        <w:trPr>
          <w:cnfStyle w:val="100000000000"/>
          <w:jc w:val="center"/>
        </w:trPr>
        <w:tc>
          <w:tcPr>
            <w:cnfStyle w:val="001000000000"/>
            <w:tcW w:w="202" w:type="pct"/>
          </w:tcPr>
          <w:p w:rsidR="00C310DF" w:rsidRPr="00BC7F3F" w:rsidRDefault="00C310DF" w:rsidP="00C310DF">
            <w:pPr>
              <w:jc w:val="center"/>
              <w:rPr>
                <w:rFonts w:ascii="Verdana" w:hAnsi="Verdana"/>
                <w:bCs w:val="0"/>
                <w:i/>
                <w:sz w:val="24"/>
                <w:szCs w:val="24"/>
                <w:lang w:val="es-CO"/>
              </w:rPr>
            </w:pPr>
          </w:p>
        </w:tc>
        <w:tc>
          <w:tcPr>
            <w:tcW w:w="4798" w:type="pct"/>
          </w:tcPr>
          <w:p w:rsidR="00C310DF" w:rsidRPr="00BC7F3F" w:rsidRDefault="00C310DF" w:rsidP="00C310DF">
            <w:pPr>
              <w:jc w:val="center"/>
              <w:cnfStyle w:val="100000000000"/>
              <w:rPr>
                <w:rFonts w:ascii="Verdana" w:hAnsi="Verdana"/>
                <w:bCs w:val="0"/>
                <w:sz w:val="24"/>
                <w:szCs w:val="24"/>
                <w:lang w:val="es-CO"/>
              </w:rPr>
            </w:pPr>
            <w:r w:rsidRPr="00BC7F3F">
              <w:rPr>
                <w:rFonts w:ascii="Verdana" w:hAnsi="Verdana"/>
                <w:bCs w:val="0"/>
                <w:i/>
                <w:sz w:val="24"/>
                <w:szCs w:val="24"/>
                <w:lang w:val="es-CO"/>
              </w:rPr>
              <w:t>Memoria Histórica por ejes temáticos</w:t>
            </w:r>
          </w:p>
        </w:tc>
      </w:tr>
      <w:tr w:rsidR="00C310DF" w:rsidRPr="00BC7F3F" w:rsidTr="00C310DF">
        <w:trPr>
          <w:cnfStyle w:val="000000100000"/>
          <w:jc w:val="center"/>
        </w:trPr>
        <w:tc>
          <w:tcPr>
            <w:cnfStyle w:val="001000000000"/>
            <w:tcW w:w="202" w:type="pct"/>
          </w:tcPr>
          <w:p w:rsidR="00C310DF" w:rsidRPr="00BC7F3F" w:rsidRDefault="00C310DF" w:rsidP="00C310DF">
            <w:pPr>
              <w:jc w:val="center"/>
              <w:rPr>
                <w:rFonts w:ascii="Verdana" w:hAnsi="Verdana"/>
                <w:b w:val="0"/>
                <w:bCs w:val="0"/>
                <w:sz w:val="24"/>
                <w:szCs w:val="24"/>
                <w:lang w:val="es-CO"/>
              </w:rPr>
            </w:pPr>
            <w:r w:rsidRPr="00BC7F3F">
              <w:rPr>
                <w:rFonts w:ascii="Verdana" w:hAnsi="Verdana"/>
                <w:b w:val="0"/>
                <w:bCs w:val="0"/>
                <w:sz w:val="24"/>
                <w:szCs w:val="24"/>
                <w:lang w:val="es-CO"/>
              </w:rPr>
              <w:t>1</w:t>
            </w:r>
          </w:p>
        </w:tc>
        <w:tc>
          <w:tcPr>
            <w:tcW w:w="4798" w:type="pct"/>
          </w:tcPr>
          <w:p w:rsidR="00C310DF" w:rsidRPr="00BC7F3F" w:rsidRDefault="00C310DF" w:rsidP="00C310DF">
            <w:pPr>
              <w:jc w:val="both"/>
              <w:cnfStyle w:val="000000100000"/>
              <w:rPr>
                <w:rFonts w:ascii="Verdana" w:hAnsi="Verdana"/>
                <w:bCs/>
                <w:sz w:val="24"/>
                <w:szCs w:val="24"/>
                <w:lang w:val="es-CO"/>
              </w:rPr>
            </w:pPr>
            <w:r w:rsidRPr="00BC7F3F">
              <w:rPr>
                <w:rFonts w:ascii="Verdana" w:hAnsi="Verdana"/>
                <w:bCs/>
                <w:sz w:val="24"/>
                <w:szCs w:val="24"/>
                <w:lang w:val="es-CO"/>
              </w:rPr>
              <w:t>Contribuir a la reconstrucción de las memorias locales de mujeres víctimas directas e indirectas de accidentes por minas antipersonal (MAP), municiones sin explotar (MUSE) y artefactos explosivos improvisados (AEI), pertenecientes a las organizaciones de Cocorná, San Francisco, San Luis, Oriente Antioqueño.</w:t>
            </w:r>
          </w:p>
        </w:tc>
      </w:tr>
      <w:tr w:rsidR="00C310DF" w:rsidRPr="00BC7F3F" w:rsidTr="00C310DF">
        <w:trPr>
          <w:jc w:val="center"/>
        </w:trPr>
        <w:tc>
          <w:tcPr>
            <w:cnfStyle w:val="001000000000"/>
            <w:tcW w:w="202" w:type="pct"/>
          </w:tcPr>
          <w:p w:rsidR="00C310DF" w:rsidRPr="00BC7F3F" w:rsidRDefault="00C310DF" w:rsidP="00C310DF">
            <w:pPr>
              <w:jc w:val="center"/>
              <w:rPr>
                <w:rFonts w:ascii="Verdana" w:hAnsi="Verdana"/>
                <w:b w:val="0"/>
                <w:bCs w:val="0"/>
                <w:sz w:val="24"/>
                <w:szCs w:val="24"/>
                <w:lang w:val="es-CO"/>
              </w:rPr>
            </w:pPr>
            <w:r w:rsidRPr="00BC7F3F">
              <w:rPr>
                <w:rFonts w:ascii="Verdana" w:hAnsi="Verdana"/>
                <w:b w:val="0"/>
                <w:bCs w:val="0"/>
                <w:sz w:val="24"/>
                <w:szCs w:val="24"/>
                <w:lang w:val="es-CO"/>
              </w:rPr>
              <w:lastRenderedPageBreak/>
              <w:t>2</w:t>
            </w:r>
          </w:p>
        </w:tc>
        <w:tc>
          <w:tcPr>
            <w:tcW w:w="4798" w:type="pct"/>
          </w:tcPr>
          <w:p w:rsidR="00C310DF" w:rsidRPr="00BC7F3F" w:rsidRDefault="00C310DF" w:rsidP="00C310DF">
            <w:pPr>
              <w:jc w:val="both"/>
              <w:cnfStyle w:val="000000000000"/>
              <w:rPr>
                <w:rFonts w:ascii="Verdana" w:hAnsi="Verdana"/>
                <w:bCs/>
                <w:sz w:val="24"/>
                <w:szCs w:val="24"/>
                <w:lang w:val="es-CO"/>
              </w:rPr>
            </w:pPr>
            <w:r w:rsidRPr="00BC7F3F">
              <w:rPr>
                <w:rFonts w:ascii="Verdana" w:hAnsi="Verdana"/>
                <w:bCs/>
                <w:sz w:val="24"/>
                <w:szCs w:val="24"/>
                <w:lang w:val="es-CO"/>
              </w:rPr>
              <w:t>EI Topacio, memorias de una Masacre de Mineros (San Rafael, Antioquia)</w:t>
            </w:r>
          </w:p>
        </w:tc>
      </w:tr>
      <w:tr w:rsidR="00C310DF" w:rsidRPr="00BC7F3F" w:rsidTr="00C310DF">
        <w:trPr>
          <w:cnfStyle w:val="000000100000"/>
          <w:jc w:val="center"/>
        </w:trPr>
        <w:tc>
          <w:tcPr>
            <w:cnfStyle w:val="001000000000"/>
            <w:tcW w:w="202" w:type="pct"/>
          </w:tcPr>
          <w:p w:rsidR="00C310DF" w:rsidRPr="00BC7F3F" w:rsidRDefault="00C310DF" w:rsidP="00C310DF">
            <w:pPr>
              <w:jc w:val="center"/>
              <w:rPr>
                <w:rFonts w:ascii="Verdana" w:hAnsi="Verdana"/>
                <w:b w:val="0"/>
                <w:bCs w:val="0"/>
                <w:sz w:val="24"/>
                <w:szCs w:val="24"/>
                <w:lang w:val="es-CO"/>
              </w:rPr>
            </w:pPr>
            <w:r w:rsidRPr="00BC7F3F">
              <w:rPr>
                <w:rFonts w:ascii="Verdana" w:hAnsi="Verdana"/>
                <w:b w:val="0"/>
                <w:bCs w:val="0"/>
                <w:sz w:val="24"/>
                <w:szCs w:val="24"/>
                <w:lang w:val="es-CO"/>
              </w:rPr>
              <w:t>3</w:t>
            </w:r>
          </w:p>
        </w:tc>
        <w:tc>
          <w:tcPr>
            <w:tcW w:w="4798" w:type="pct"/>
          </w:tcPr>
          <w:p w:rsidR="00C310DF" w:rsidRPr="00BC7F3F" w:rsidRDefault="00C310DF" w:rsidP="00C310DF">
            <w:pPr>
              <w:cnfStyle w:val="000000100000"/>
              <w:rPr>
                <w:rFonts w:ascii="Verdana" w:hAnsi="Verdana"/>
                <w:sz w:val="24"/>
                <w:szCs w:val="24"/>
                <w:lang w:val="es-CO"/>
              </w:rPr>
            </w:pPr>
            <w:r w:rsidRPr="00BC7F3F">
              <w:rPr>
                <w:rFonts w:ascii="Verdana" w:hAnsi="Verdana"/>
                <w:bCs/>
                <w:sz w:val="24"/>
                <w:szCs w:val="24"/>
                <w:lang w:val="es-CO"/>
              </w:rPr>
              <w:t>Minería y Conflicto Armado: Reconstrucción de la Masacre de Minguillo, Sur de Bolívar desde un enfoque diferencial.</w:t>
            </w:r>
          </w:p>
        </w:tc>
      </w:tr>
    </w:tbl>
    <w:p w:rsidR="00C310DF" w:rsidRPr="00BC7F3F" w:rsidRDefault="00C310DF" w:rsidP="00C310DF">
      <w:pPr>
        <w:spacing w:after="0" w:line="240" w:lineRule="auto"/>
        <w:jc w:val="both"/>
        <w:rPr>
          <w:rFonts w:ascii="Verdana" w:hAnsi="Verdana"/>
          <w:bCs/>
          <w:sz w:val="24"/>
          <w:szCs w:val="24"/>
        </w:rPr>
      </w:pPr>
    </w:p>
    <w:tbl>
      <w:tblPr>
        <w:tblStyle w:val="Tabladecuadrcula4-nfasis11"/>
        <w:tblW w:w="5000" w:type="pct"/>
        <w:jc w:val="center"/>
        <w:tblLook w:val="04A0"/>
      </w:tblPr>
      <w:tblGrid>
        <w:gridCol w:w="414"/>
        <w:gridCol w:w="9828"/>
      </w:tblGrid>
      <w:tr w:rsidR="00C310DF" w:rsidRPr="00BC7F3F" w:rsidTr="00C310DF">
        <w:trPr>
          <w:cnfStyle w:val="100000000000"/>
          <w:jc w:val="center"/>
        </w:trPr>
        <w:tc>
          <w:tcPr>
            <w:cnfStyle w:val="001000000000"/>
            <w:tcW w:w="202" w:type="pct"/>
          </w:tcPr>
          <w:p w:rsidR="00C310DF" w:rsidRPr="00BC7F3F" w:rsidRDefault="00C310DF" w:rsidP="00C310DF">
            <w:pPr>
              <w:jc w:val="center"/>
              <w:rPr>
                <w:rFonts w:ascii="Verdana" w:hAnsi="Verdana"/>
                <w:bCs w:val="0"/>
                <w:i/>
                <w:sz w:val="24"/>
                <w:szCs w:val="24"/>
                <w:lang w:val="es-CO"/>
              </w:rPr>
            </w:pPr>
          </w:p>
        </w:tc>
        <w:tc>
          <w:tcPr>
            <w:tcW w:w="4798" w:type="pct"/>
          </w:tcPr>
          <w:p w:rsidR="00C310DF" w:rsidRPr="00BC7F3F" w:rsidRDefault="00C310DF" w:rsidP="00C310DF">
            <w:pPr>
              <w:jc w:val="center"/>
              <w:cnfStyle w:val="100000000000"/>
              <w:rPr>
                <w:rFonts w:ascii="Verdana" w:hAnsi="Verdana"/>
                <w:bCs w:val="0"/>
                <w:sz w:val="24"/>
                <w:szCs w:val="24"/>
                <w:lang w:val="es-CO"/>
              </w:rPr>
            </w:pPr>
            <w:r w:rsidRPr="00BC7F3F">
              <w:rPr>
                <w:rFonts w:ascii="Verdana" w:hAnsi="Verdana"/>
                <w:bCs w:val="0"/>
                <w:i/>
                <w:sz w:val="24"/>
                <w:szCs w:val="24"/>
                <w:lang w:val="es-CO"/>
              </w:rPr>
              <w:t>Memoria Histórica para reconstrucción de hechos locales</w:t>
            </w:r>
          </w:p>
        </w:tc>
      </w:tr>
      <w:tr w:rsidR="00C310DF" w:rsidRPr="00BC7F3F" w:rsidTr="00C310DF">
        <w:trPr>
          <w:cnfStyle w:val="000000100000"/>
          <w:jc w:val="center"/>
        </w:trPr>
        <w:tc>
          <w:tcPr>
            <w:cnfStyle w:val="001000000000"/>
            <w:tcW w:w="202" w:type="pct"/>
          </w:tcPr>
          <w:p w:rsidR="00C310DF" w:rsidRPr="00BC7F3F" w:rsidRDefault="00C310DF" w:rsidP="00C310DF">
            <w:pPr>
              <w:jc w:val="center"/>
              <w:rPr>
                <w:rFonts w:ascii="Verdana" w:hAnsi="Verdana"/>
                <w:b w:val="0"/>
                <w:bCs w:val="0"/>
                <w:sz w:val="24"/>
                <w:szCs w:val="24"/>
                <w:lang w:val="es-CO"/>
              </w:rPr>
            </w:pPr>
            <w:r w:rsidRPr="00BC7F3F">
              <w:rPr>
                <w:rFonts w:ascii="Verdana" w:hAnsi="Verdana"/>
                <w:b w:val="0"/>
                <w:bCs w:val="0"/>
                <w:sz w:val="24"/>
                <w:szCs w:val="24"/>
                <w:lang w:val="es-CO"/>
              </w:rPr>
              <w:t>1</w:t>
            </w:r>
          </w:p>
        </w:tc>
        <w:tc>
          <w:tcPr>
            <w:tcW w:w="4798" w:type="pct"/>
          </w:tcPr>
          <w:p w:rsidR="00C310DF" w:rsidRPr="00BC7F3F" w:rsidRDefault="00C310DF" w:rsidP="00C310DF">
            <w:pPr>
              <w:jc w:val="both"/>
              <w:cnfStyle w:val="000000100000"/>
              <w:rPr>
                <w:rFonts w:ascii="Verdana" w:hAnsi="Verdana"/>
                <w:bCs/>
                <w:sz w:val="24"/>
                <w:szCs w:val="24"/>
                <w:lang w:val="es-CO"/>
              </w:rPr>
            </w:pPr>
            <w:r w:rsidRPr="00BC7F3F">
              <w:rPr>
                <w:rFonts w:ascii="Verdana" w:hAnsi="Verdana"/>
                <w:bCs/>
                <w:sz w:val="24"/>
                <w:szCs w:val="24"/>
                <w:lang w:val="es-CO"/>
              </w:rPr>
              <w:t>Procesos de territorialización de la memoria en escenarios de postconflicto. Caracterización, implicación y lineamientos de políticas en el orden local, regional y nacional.</w:t>
            </w:r>
          </w:p>
        </w:tc>
      </w:tr>
      <w:tr w:rsidR="00C310DF" w:rsidRPr="00BC7F3F" w:rsidTr="00C310DF">
        <w:trPr>
          <w:jc w:val="center"/>
        </w:trPr>
        <w:tc>
          <w:tcPr>
            <w:cnfStyle w:val="001000000000"/>
            <w:tcW w:w="202" w:type="pct"/>
          </w:tcPr>
          <w:p w:rsidR="00C310DF" w:rsidRPr="00BC7F3F" w:rsidRDefault="00C310DF" w:rsidP="00C310DF">
            <w:pPr>
              <w:jc w:val="center"/>
              <w:rPr>
                <w:rFonts w:ascii="Verdana" w:hAnsi="Verdana"/>
                <w:b w:val="0"/>
                <w:bCs w:val="0"/>
                <w:sz w:val="24"/>
                <w:szCs w:val="24"/>
                <w:lang w:val="es-CO"/>
              </w:rPr>
            </w:pPr>
            <w:r w:rsidRPr="00BC7F3F">
              <w:rPr>
                <w:rFonts w:ascii="Verdana" w:hAnsi="Verdana"/>
                <w:b w:val="0"/>
                <w:bCs w:val="0"/>
                <w:sz w:val="24"/>
                <w:szCs w:val="24"/>
                <w:lang w:val="es-CO"/>
              </w:rPr>
              <w:t>2</w:t>
            </w:r>
          </w:p>
        </w:tc>
        <w:tc>
          <w:tcPr>
            <w:tcW w:w="4798" w:type="pct"/>
          </w:tcPr>
          <w:p w:rsidR="00C310DF" w:rsidRPr="00BC7F3F" w:rsidRDefault="00C310DF" w:rsidP="00C310DF">
            <w:pPr>
              <w:jc w:val="both"/>
              <w:cnfStyle w:val="000000000000"/>
              <w:rPr>
                <w:rFonts w:ascii="Verdana" w:hAnsi="Verdana"/>
                <w:bCs/>
                <w:sz w:val="24"/>
                <w:szCs w:val="24"/>
                <w:lang w:val="es-CO"/>
              </w:rPr>
            </w:pPr>
            <w:r w:rsidRPr="00BC7F3F">
              <w:rPr>
                <w:rFonts w:ascii="Verdana" w:hAnsi="Verdana"/>
                <w:bCs/>
                <w:sz w:val="24"/>
                <w:szCs w:val="24"/>
                <w:lang w:val="es-CO"/>
              </w:rPr>
              <w:t>Quinchía: una memoria de resistencia oculta entre montañas.</w:t>
            </w:r>
          </w:p>
        </w:tc>
      </w:tr>
      <w:tr w:rsidR="00C310DF" w:rsidRPr="00BC7F3F" w:rsidTr="00C310DF">
        <w:trPr>
          <w:cnfStyle w:val="000000100000"/>
          <w:jc w:val="center"/>
        </w:trPr>
        <w:tc>
          <w:tcPr>
            <w:cnfStyle w:val="001000000000"/>
            <w:tcW w:w="202" w:type="pct"/>
          </w:tcPr>
          <w:p w:rsidR="00C310DF" w:rsidRPr="00BC7F3F" w:rsidRDefault="00C310DF" w:rsidP="00C310DF">
            <w:pPr>
              <w:jc w:val="center"/>
              <w:rPr>
                <w:rFonts w:ascii="Verdana" w:hAnsi="Verdana"/>
                <w:b w:val="0"/>
                <w:bCs w:val="0"/>
                <w:sz w:val="24"/>
                <w:szCs w:val="24"/>
                <w:lang w:val="es-CO"/>
              </w:rPr>
            </w:pPr>
            <w:r w:rsidRPr="00BC7F3F">
              <w:rPr>
                <w:rFonts w:ascii="Verdana" w:hAnsi="Verdana"/>
                <w:b w:val="0"/>
                <w:bCs w:val="0"/>
                <w:sz w:val="24"/>
                <w:szCs w:val="24"/>
                <w:lang w:val="es-CO"/>
              </w:rPr>
              <w:t>3</w:t>
            </w:r>
          </w:p>
        </w:tc>
        <w:tc>
          <w:tcPr>
            <w:tcW w:w="4798" w:type="pct"/>
          </w:tcPr>
          <w:p w:rsidR="00C310DF" w:rsidRPr="00BC7F3F" w:rsidRDefault="00C310DF" w:rsidP="00C310DF">
            <w:pPr>
              <w:cnfStyle w:val="000000100000"/>
              <w:rPr>
                <w:rFonts w:ascii="Verdana" w:hAnsi="Verdana"/>
                <w:sz w:val="24"/>
                <w:szCs w:val="24"/>
                <w:lang w:val="es-CO"/>
              </w:rPr>
            </w:pPr>
            <w:r w:rsidRPr="00BC7F3F">
              <w:rPr>
                <w:rFonts w:ascii="Verdana" w:hAnsi="Verdana"/>
                <w:bCs/>
                <w:sz w:val="24"/>
                <w:szCs w:val="24"/>
                <w:lang w:val="es-CO"/>
              </w:rPr>
              <w:t>Memoria histórica del conflicto armado en Granada (Antioquia)</w:t>
            </w:r>
          </w:p>
        </w:tc>
      </w:tr>
    </w:tbl>
    <w:p w:rsidR="00C310DF" w:rsidRPr="00BC7F3F" w:rsidRDefault="00C310DF" w:rsidP="00C310DF">
      <w:pPr>
        <w:jc w:val="both"/>
        <w:rPr>
          <w:rFonts w:ascii="Verdana" w:hAnsi="Verdana"/>
          <w:bCs/>
          <w:sz w:val="24"/>
          <w:szCs w:val="24"/>
        </w:rPr>
      </w:pPr>
    </w:p>
    <w:p w:rsidR="00C310DF" w:rsidRPr="00C310DF" w:rsidRDefault="00C310DF" w:rsidP="00C310DF">
      <w:pPr>
        <w:pStyle w:val="Subttulo"/>
        <w:numPr>
          <w:ilvl w:val="1"/>
          <w:numId w:val="60"/>
        </w:numPr>
        <w:ind w:left="426" w:hanging="431"/>
        <w:outlineLvl w:val="2"/>
        <w:rPr>
          <w:rFonts w:ascii="Verdana" w:eastAsia="Arial" w:hAnsi="Verdana"/>
          <w:b/>
          <w:color w:val="4F81BD" w:themeColor="accent1"/>
          <w:sz w:val="24"/>
          <w:szCs w:val="24"/>
          <w:lang w:val="es-CO"/>
        </w:rPr>
      </w:pPr>
      <w:bookmarkStart w:id="95" w:name="_Toc411868566"/>
      <w:r w:rsidRPr="00C310DF">
        <w:rPr>
          <w:rFonts w:ascii="Verdana" w:eastAsia="Arial" w:hAnsi="Verdana"/>
          <w:b/>
          <w:color w:val="4F81BD" w:themeColor="accent1"/>
          <w:sz w:val="24"/>
          <w:szCs w:val="24"/>
          <w:lang w:val="es-CO"/>
        </w:rPr>
        <w:t>Informes de memoria histórica publicados</w:t>
      </w:r>
      <w:bookmarkEnd w:id="95"/>
    </w:p>
    <w:p w:rsidR="00C310DF" w:rsidRPr="00BC7F3F" w:rsidRDefault="00C310DF" w:rsidP="00C310DF">
      <w:pPr>
        <w:spacing w:after="0" w:line="240" w:lineRule="auto"/>
        <w:contextualSpacing/>
        <w:jc w:val="both"/>
        <w:rPr>
          <w:rFonts w:ascii="Verdana" w:hAnsi="Verdana"/>
          <w:bCs/>
          <w:sz w:val="24"/>
          <w:szCs w:val="24"/>
        </w:rPr>
      </w:pPr>
      <w:r w:rsidRPr="00BC7F3F">
        <w:rPr>
          <w:rFonts w:ascii="Verdana" w:hAnsi="Verdana"/>
          <w:bCs/>
          <w:sz w:val="24"/>
          <w:szCs w:val="24"/>
        </w:rPr>
        <w:t xml:space="preserve">En cuanto a los informes de memoria publicados durante la vigencia 2014 se resalta que la meta prevista para la vigencia fue superada, ya que al final del año se publicaron nueve informes de memoria, de un total de 7 previstos inicialmente. Los informes publicados dan cuenta de los hallazgos derivados de los proyectos de reconstrucción de memoria que los originaron y que se convierten en una de las principales herramientas que el CNMH utiliza para dar cumplimiento a sus responsabilidades asociadas al deber de memoria del Estado. Los informes publicados por el CNMH se encuentran disponibles para consulta en la página web institucional </w:t>
      </w:r>
      <w:hyperlink r:id="rId60" w:history="1">
        <w:r w:rsidRPr="00BC7F3F">
          <w:rPr>
            <w:rStyle w:val="Hipervnculo"/>
            <w:rFonts w:ascii="Verdana" w:hAnsi="Verdana"/>
            <w:bCs/>
            <w:sz w:val="24"/>
            <w:szCs w:val="24"/>
          </w:rPr>
          <w:t>www.centrodememoriahistorica.gov.co</w:t>
        </w:r>
      </w:hyperlink>
      <w:r w:rsidRPr="00BC7F3F">
        <w:rPr>
          <w:rFonts w:ascii="Verdana" w:hAnsi="Verdana"/>
          <w:bCs/>
          <w:sz w:val="24"/>
          <w:szCs w:val="24"/>
        </w:rPr>
        <w:t>:</w:t>
      </w:r>
    </w:p>
    <w:p w:rsidR="00C310DF" w:rsidRPr="00BC7F3F" w:rsidRDefault="00C310DF" w:rsidP="00C310DF">
      <w:pPr>
        <w:spacing w:after="0" w:line="240" w:lineRule="auto"/>
        <w:contextualSpacing/>
        <w:jc w:val="both"/>
        <w:rPr>
          <w:rFonts w:ascii="Verdana" w:hAnsi="Verdana"/>
          <w:bCs/>
          <w:sz w:val="24"/>
          <w:szCs w:val="24"/>
        </w:rPr>
      </w:pPr>
    </w:p>
    <w:p w:rsidR="00C310DF" w:rsidRPr="00BC7F3F" w:rsidRDefault="00C310DF" w:rsidP="00905C49">
      <w:pPr>
        <w:pStyle w:val="Prrafodelista"/>
        <w:numPr>
          <w:ilvl w:val="0"/>
          <w:numId w:val="67"/>
        </w:numPr>
        <w:spacing w:after="0" w:line="240" w:lineRule="auto"/>
        <w:ind w:hanging="315"/>
        <w:jc w:val="both"/>
        <w:rPr>
          <w:rFonts w:ascii="Verdana" w:hAnsi="Verdana"/>
          <w:bCs/>
          <w:sz w:val="24"/>
          <w:szCs w:val="24"/>
        </w:rPr>
      </w:pPr>
      <w:r w:rsidRPr="00BC7F3F">
        <w:rPr>
          <w:rFonts w:ascii="Verdana" w:eastAsia="Arial" w:hAnsi="Verdana"/>
          <w:sz w:val="24"/>
          <w:szCs w:val="24"/>
        </w:rPr>
        <w:t>Serie desaparición forzada</w:t>
      </w:r>
      <w:r w:rsidRPr="00BC7F3F">
        <w:rPr>
          <w:rFonts w:ascii="Verdana" w:eastAsia="Arial" w:hAnsi="Verdana"/>
          <w:b/>
          <w:sz w:val="24"/>
          <w:szCs w:val="24"/>
        </w:rPr>
        <w:t xml:space="preserve"> </w:t>
      </w:r>
      <w:r w:rsidRPr="00BC7F3F">
        <w:rPr>
          <w:rFonts w:ascii="Verdana" w:eastAsia="Arial" w:hAnsi="Verdana"/>
          <w:sz w:val="24"/>
          <w:szCs w:val="24"/>
        </w:rPr>
        <w:t xml:space="preserve">(4 informes): i) </w:t>
      </w:r>
      <w:r w:rsidRPr="00BC7F3F">
        <w:rPr>
          <w:rFonts w:ascii="Verdana" w:hAnsi="Verdana"/>
          <w:bCs/>
          <w:i/>
          <w:sz w:val="24"/>
          <w:szCs w:val="24"/>
        </w:rPr>
        <w:t>Normas y dimensiones de la desaparición forzada en Colombia</w:t>
      </w:r>
      <w:r w:rsidRPr="00BC7F3F">
        <w:rPr>
          <w:rFonts w:ascii="Verdana" w:hAnsi="Verdana"/>
          <w:bCs/>
          <w:sz w:val="24"/>
          <w:szCs w:val="24"/>
        </w:rPr>
        <w:t xml:space="preserve">; ii) </w:t>
      </w:r>
      <w:r w:rsidRPr="00BC7F3F">
        <w:rPr>
          <w:rFonts w:ascii="Verdana" w:hAnsi="Verdana"/>
          <w:bCs/>
          <w:i/>
          <w:sz w:val="24"/>
          <w:szCs w:val="24"/>
        </w:rPr>
        <w:t>Entre la incertidumbre y el dolor: impactos psicosociales de la desaparición forzada</w:t>
      </w:r>
      <w:r w:rsidRPr="00BC7F3F">
        <w:rPr>
          <w:rFonts w:ascii="Verdana" w:hAnsi="Verdana"/>
          <w:bCs/>
          <w:sz w:val="24"/>
          <w:szCs w:val="24"/>
        </w:rPr>
        <w:t xml:space="preserve">; iii) </w:t>
      </w:r>
      <w:r w:rsidRPr="00BC7F3F">
        <w:rPr>
          <w:rFonts w:ascii="Verdana" w:hAnsi="Verdana"/>
          <w:bCs/>
          <w:i/>
          <w:sz w:val="24"/>
          <w:szCs w:val="24"/>
        </w:rPr>
        <w:t>Balance de la acción del Estado colombiano frente a la desaparición forzada de personas</w:t>
      </w:r>
      <w:r w:rsidRPr="00BC7F3F">
        <w:rPr>
          <w:rFonts w:ascii="Verdana" w:hAnsi="Verdana"/>
          <w:bCs/>
          <w:sz w:val="24"/>
          <w:szCs w:val="24"/>
        </w:rPr>
        <w:t xml:space="preserve">; iv) </w:t>
      </w:r>
      <w:r w:rsidRPr="00BC7F3F">
        <w:rPr>
          <w:rFonts w:ascii="Verdana" w:hAnsi="Verdana"/>
          <w:bCs/>
          <w:i/>
          <w:sz w:val="24"/>
          <w:szCs w:val="24"/>
        </w:rPr>
        <w:t>Huellas y rostros de la desaparición forzada (1970 – 2010)</w:t>
      </w:r>
      <w:r w:rsidRPr="00BC7F3F">
        <w:rPr>
          <w:rFonts w:ascii="Verdana" w:hAnsi="Verdana"/>
          <w:bCs/>
          <w:sz w:val="24"/>
          <w:szCs w:val="24"/>
        </w:rPr>
        <w:t xml:space="preserve"> </w:t>
      </w:r>
    </w:p>
    <w:p w:rsidR="00C310DF" w:rsidRPr="00BC7F3F" w:rsidRDefault="00C310DF" w:rsidP="00905C49">
      <w:pPr>
        <w:pStyle w:val="Prrafodelista"/>
        <w:numPr>
          <w:ilvl w:val="0"/>
          <w:numId w:val="68"/>
        </w:numPr>
        <w:spacing w:after="0" w:line="240" w:lineRule="auto"/>
        <w:ind w:hanging="315"/>
        <w:jc w:val="both"/>
        <w:rPr>
          <w:rFonts w:ascii="Verdana" w:eastAsia="Arial" w:hAnsi="Verdana"/>
          <w:sz w:val="24"/>
          <w:szCs w:val="24"/>
        </w:rPr>
      </w:pPr>
      <w:r w:rsidRPr="00BC7F3F">
        <w:rPr>
          <w:rFonts w:ascii="Verdana" w:eastAsia="Arial" w:hAnsi="Verdana"/>
          <w:sz w:val="24"/>
          <w:szCs w:val="24"/>
        </w:rPr>
        <w:t xml:space="preserve">Hacer la guerra y matar la política. Líderes políticos asesinados en Norte de Santander </w:t>
      </w:r>
    </w:p>
    <w:p w:rsidR="00C310DF" w:rsidRPr="00BC7F3F" w:rsidRDefault="00C310DF" w:rsidP="00905C49">
      <w:pPr>
        <w:pStyle w:val="Prrafodelista"/>
        <w:numPr>
          <w:ilvl w:val="0"/>
          <w:numId w:val="68"/>
        </w:numPr>
        <w:spacing w:after="0" w:line="240" w:lineRule="auto"/>
        <w:ind w:hanging="315"/>
        <w:jc w:val="both"/>
        <w:rPr>
          <w:rFonts w:ascii="Verdana" w:eastAsia="Arial" w:hAnsi="Verdana"/>
          <w:sz w:val="24"/>
          <w:szCs w:val="24"/>
        </w:rPr>
      </w:pPr>
      <w:r w:rsidRPr="00BC7F3F">
        <w:rPr>
          <w:rFonts w:ascii="Verdana" w:eastAsia="Arial" w:hAnsi="Verdana"/>
          <w:sz w:val="24"/>
          <w:szCs w:val="24"/>
        </w:rPr>
        <w:t xml:space="preserve">Aportes teóricos y metodológicos para la valoración de los daños causados por la violencia </w:t>
      </w:r>
    </w:p>
    <w:p w:rsidR="00C310DF" w:rsidRPr="00BC7F3F" w:rsidRDefault="00C310DF" w:rsidP="00C310DF">
      <w:pPr>
        <w:pStyle w:val="Prrafodelista"/>
        <w:numPr>
          <w:ilvl w:val="0"/>
          <w:numId w:val="63"/>
        </w:numPr>
        <w:spacing w:after="0" w:line="240" w:lineRule="auto"/>
        <w:ind w:left="743" w:hanging="315"/>
        <w:jc w:val="both"/>
        <w:rPr>
          <w:rFonts w:ascii="Verdana" w:eastAsia="Arial" w:hAnsi="Verdana"/>
          <w:sz w:val="24"/>
          <w:szCs w:val="24"/>
        </w:rPr>
      </w:pPr>
      <w:r w:rsidRPr="00BC7F3F">
        <w:rPr>
          <w:rFonts w:ascii="Verdana" w:eastAsia="Arial" w:hAnsi="Verdana"/>
          <w:sz w:val="24"/>
          <w:szCs w:val="24"/>
        </w:rPr>
        <w:t xml:space="preserve">Putumayo: la vorágine de las caucherías. Memoria y testimonio  (2 volúmenes) </w:t>
      </w:r>
    </w:p>
    <w:p w:rsidR="00C310DF" w:rsidRPr="00BC7F3F" w:rsidRDefault="00C310DF" w:rsidP="00C310DF">
      <w:pPr>
        <w:pStyle w:val="Prrafodelista"/>
        <w:numPr>
          <w:ilvl w:val="0"/>
          <w:numId w:val="63"/>
        </w:numPr>
        <w:spacing w:after="0" w:line="240" w:lineRule="auto"/>
        <w:ind w:left="743" w:hanging="315"/>
        <w:jc w:val="both"/>
        <w:rPr>
          <w:rFonts w:ascii="Verdana" w:eastAsia="Arial" w:hAnsi="Verdana"/>
          <w:sz w:val="24"/>
          <w:szCs w:val="24"/>
        </w:rPr>
      </w:pPr>
      <w:r w:rsidRPr="00BC7F3F">
        <w:rPr>
          <w:rFonts w:ascii="Verdana" w:eastAsia="Arial" w:hAnsi="Verdana"/>
          <w:sz w:val="24"/>
          <w:szCs w:val="24"/>
        </w:rPr>
        <w:t xml:space="preserve">“Patrones” y campesinos: tierra, poder y violencia en el Valle del Cauca (1960 – 2012) </w:t>
      </w:r>
    </w:p>
    <w:p w:rsidR="00C310DF" w:rsidRPr="00BC7F3F" w:rsidRDefault="00C310DF" w:rsidP="00C310DF">
      <w:pPr>
        <w:pStyle w:val="Prrafodelista"/>
        <w:numPr>
          <w:ilvl w:val="0"/>
          <w:numId w:val="63"/>
        </w:numPr>
        <w:spacing w:after="0" w:line="240" w:lineRule="auto"/>
        <w:ind w:left="743" w:hanging="315"/>
        <w:jc w:val="both"/>
        <w:rPr>
          <w:rFonts w:ascii="Verdana" w:hAnsi="Verdana"/>
          <w:bCs/>
          <w:sz w:val="24"/>
          <w:szCs w:val="24"/>
        </w:rPr>
      </w:pPr>
      <w:r w:rsidRPr="00BC7F3F">
        <w:rPr>
          <w:rFonts w:ascii="Verdana" w:eastAsia="Arial" w:hAnsi="Verdana"/>
          <w:sz w:val="24"/>
          <w:szCs w:val="24"/>
        </w:rPr>
        <w:t xml:space="preserve">Recordar para reparar. La masacres de Matal de Flor Amarillo y Corocito en Arauca. </w:t>
      </w:r>
    </w:p>
    <w:p w:rsidR="00C310DF" w:rsidRPr="00BC7F3F" w:rsidRDefault="00C310DF" w:rsidP="00C310DF">
      <w:pPr>
        <w:pStyle w:val="Prrafodelista"/>
        <w:spacing w:after="0" w:line="240" w:lineRule="auto"/>
        <w:ind w:left="743"/>
        <w:jc w:val="both"/>
        <w:rPr>
          <w:rFonts w:ascii="Verdana" w:hAnsi="Verdana"/>
          <w:b/>
          <w:bCs/>
          <w:sz w:val="24"/>
          <w:szCs w:val="24"/>
        </w:rPr>
      </w:pPr>
    </w:p>
    <w:p w:rsidR="00C310DF" w:rsidRPr="00C310DF" w:rsidRDefault="00C310DF" w:rsidP="00C310DF">
      <w:pPr>
        <w:pStyle w:val="Subttulo"/>
        <w:numPr>
          <w:ilvl w:val="1"/>
          <w:numId w:val="60"/>
        </w:numPr>
        <w:ind w:left="426" w:hanging="431"/>
        <w:outlineLvl w:val="2"/>
        <w:rPr>
          <w:rFonts w:ascii="Verdana" w:eastAsia="Arial" w:hAnsi="Verdana"/>
          <w:b/>
          <w:color w:val="4F81BD" w:themeColor="accent1"/>
          <w:sz w:val="24"/>
          <w:szCs w:val="24"/>
          <w:lang w:val="es-CO"/>
        </w:rPr>
      </w:pPr>
      <w:bookmarkStart w:id="96" w:name="_Toc411868567"/>
      <w:r w:rsidRPr="00C310DF">
        <w:rPr>
          <w:rFonts w:ascii="Verdana" w:eastAsia="Arial" w:hAnsi="Verdana"/>
          <w:b/>
          <w:color w:val="4F81BD" w:themeColor="accent1"/>
          <w:sz w:val="24"/>
          <w:szCs w:val="24"/>
          <w:lang w:val="es-CO"/>
        </w:rPr>
        <w:t>Acciones en pedagogía</w:t>
      </w:r>
      <w:bookmarkEnd w:id="96"/>
    </w:p>
    <w:p w:rsidR="00C310DF" w:rsidRPr="00C310DF" w:rsidRDefault="00C310DF" w:rsidP="00C310DF">
      <w:pPr>
        <w:spacing w:after="0" w:line="240" w:lineRule="auto"/>
        <w:jc w:val="both"/>
        <w:rPr>
          <w:rFonts w:ascii="Verdana" w:hAnsi="Verdana"/>
          <w:bCs/>
          <w:sz w:val="24"/>
          <w:szCs w:val="24"/>
        </w:rPr>
      </w:pPr>
      <w:r w:rsidRPr="00C310DF">
        <w:rPr>
          <w:rFonts w:ascii="Verdana" w:hAnsi="Verdana"/>
          <w:bCs/>
          <w:sz w:val="24"/>
          <w:szCs w:val="24"/>
        </w:rPr>
        <w:t>Caja de herramientas para el aula escolar: busca promover la construcción participativa y el uso de una Caja orientada a brindar recursos y herramientas a maestros y maestras para que puedan abordar la memoria histórica del conflicto armado colombiano en sus aulas, despertando la capacidad crítica y competencias investigativas de sus estudiantes desde una aproximación rigurosa, no dogmática, con enfoque diferencial y de acción sin daño, apoyándose en el uso pedagógico de los Informes de Memoria Histórica con miras a fomentar una cultura de respeto a los derechos humanos y contribuir a promover garantías de no repetición. Las acciones desarrolladas fueron las siguientes:</w:t>
      </w:r>
    </w:p>
    <w:p w:rsidR="00C310DF" w:rsidRPr="00C310DF" w:rsidRDefault="00C310DF" w:rsidP="00C310DF">
      <w:pPr>
        <w:pStyle w:val="Prrafodelista"/>
        <w:numPr>
          <w:ilvl w:val="1"/>
          <w:numId w:val="61"/>
        </w:numPr>
        <w:spacing w:after="0" w:line="240" w:lineRule="auto"/>
        <w:jc w:val="both"/>
        <w:rPr>
          <w:rFonts w:ascii="Verdana" w:hAnsi="Verdana"/>
          <w:bCs/>
          <w:sz w:val="24"/>
          <w:szCs w:val="24"/>
        </w:rPr>
      </w:pPr>
      <w:r w:rsidRPr="00C310DF">
        <w:rPr>
          <w:rFonts w:ascii="Verdana" w:hAnsi="Verdana"/>
          <w:bCs/>
          <w:sz w:val="24"/>
          <w:szCs w:val="24"/>
        </w:rPr>
        <w:t xml:space="preserve">Seis talleres de validación con observación de experiencias en aula, con la participación de 91 docentes delegados (maestros y maestras) de 67 Instituciones Educativas en: El Placer, Putumayo; Medellín; Carmen de Bolívar; Pasto, Samaniego, Nariño y Bogotá. </w:t>
      </w:r>
    </w:p>
    <w:p w:rsidR="00C310DF" w:rsidRPr="00C310DF" w:rsidRDefault="00C310DF" w:rsidP="00C310DF">
      <w:pPr>
        <w:pStyle w:val="Prrafodelista"/>
        <w:numPr>
          <w:ilvl w:val="1"/>
          <w:numId w:val="61"/>
        </w:numPr>
        <w:spacing w:after="0" w:line="240" w:lineRule="auto"/>
        <w:jc w:val="both"/>
        <w:rPr>
          <w:rFonts w:ascii="Verdana" w:hAnsi="Verdana"/>
          <w:bCs/>
          <w:sz w:val="24"/>
          <w:szCs w:val="24"/>
        </w:rPr>
      </w:pPr>
      <w:r w:rsidRPr="00C310DF">
        <w:rPr>
          <w:rFonts w:ascii="Verdana" w:hAnsi="Verdana"/>
          <w:bCs/>
          <w:sz w:val="24"/>
          <w:szCs w:val="24"/>
        </w:rPr>
        <w:t>Cuatro talleres de socialización de los resultados, con participación de 47 docentes, realizados en Quibdó; Bojayá; Riohacha y Medellín.</w:t>
      </w:r>
    </w:p>
    <w:p w:rsidR="00C310DF" w:rsidRPr="00C310DF" w:rsidRDefault="00C310DF" w:rsidP="00C310DF">
      <w:pPr>
        <w:pStyle w:val="Prrafodelista"/>
        <w:spacing w:after="0" w:line="240" w:lineRule="auto"/>
        <w:ind w:left="357"/>
        <w:jc w:val="both"/>
        <w:rPr>
          <w:rFonts w:ascii="Verdana" w:hAnsi="Verdana"/>
          <w:bCs/>
          <w:sz w:val="24"/>
          <w:szCs w:val="24"/>
        </w:rPr>
      </w:pPr>
    </w:p>
    <w:p w:rsidR="00C310DF" w:rsidRPr="00C310DF" w:rsidRDefault="00C310DF" w:rsidP="00C310DF">
      <w:pPr>
        <w:spacing w:after="0" w:line="240" w:lineRule="auto"/>
        <w:jc w:val="both"/>
        <w:rPr>
          <w:rFonts w:ascii="Verdana" w:hAnsi="Verdana"/>
          <w:bCs/>
          <w:sz w:val="24"/>
          <w:szCs w:val="24"/>
        </w:rPr>
      </w:pPr>
      <w:r w:rsidRPr="00C310DF">
        <w:rPr>
          <w:rFonts w:ascii="Verdana" w:hAnsi="Verdana"/>
          <w:bCs/>
          <w:sz w:val="24"/>
          <w:szCs w:val="24"/>
        </w:rPr>
        <w:t xml:space="preserve">Grupos regionales de memoria histórica: Apoyar el surgimiento y consolidación de grupos regionales de memoria histórica en universidades y centros de pensamiento del país, que acompañen procesos de reconstrucción de memoria histórica de casos emblemáticos de la región con organizaciones de víctimas aplicando y enriqueciendo desde su experiencia y sus énfasis la metodología y el marco conceptual desarrollado por el CNMH. Se trabajó con los siguientes grupos: </w:t>
      </w:r>
      <w:r w:rsidRPr="00C310DF">
        <w:rPr>
          <w:rFonts w:ascii="Verdana" w:eastAsia="Arial" w:hAnsi="Verdana"/>
          <w:sz w:val="24"/>
          <w:szCs w:val="24"/>
        </w:rPr>
        <w:t>Universidad del Magdalena y Universidad Tecnológica de Bolívar.</w:t>
      </w:r>
    </w:p>
    <w:p w:rsidR="00C310DF" w:rsidRPr="00C310DF" w:rsidRDefault="00C310DF" w:rsidP="00C310DF">
      <w:pPr>
        <w:spacing w:after="0" w:line="240" w:lineRule="auto"/>
        <w:jc w:val="both"/>
        <w:rPr>
          <w:rFonts w:ascii="Verdana" w:hAnsi="Verdana"/>
          <w:bCs/>
          <w:sz w:val="24"/>
          <w:szCs w:val="24"/>
        </w:rPr>
      </w:pPr>
    </w:p>
    <w:p w:rsidR="00C310DF" w:rsidRPr="00C310DF" w:rsidRDefault="00C310DF" w:rsidP="00C310DF">
      <w:pPr>
        <w:spacing w:after="0" w:line="240" w:lineRule="auto"/>
        <w:jc w:val="both"/>
        <w:rPr>
          <w:rFonts w:ascii="Verdana" w:hAnsi="Verdana"/>
          <w:bCs/>
          <w:sz w:val="24"/>
          <w:szCs w:val="24"/>
        </w:rPr>
      </w:pPr>
      <w:r w:rsidRPr="00C310DF">
        <w:rPr>
          <w:rFonts w:ascii="Verdana" w:hAnsi="Verdana"/>
          <w:bCs/>
          <w:sz w:val="24"/>
          <w:szCs w:val="24"/>
        </w:rPr>
        <w:t>Módulos de memoria histórica para funcionarios públicos: Difundir el marco conceptual y la ruta metodológica construida por el Grupo de Memoria Histórica, antecesor del CNMH, entre distintos sectores sociales y de la función pública para que cada uno de ellos pueda, a partir de procesos autónomos, apropiarse de estas herramientas, discutirlas, innovar y enriquecerlas con su propia experiencia investigativa.</w:t>
      </w:r>
    </w:p>
    <w:p w:rsidR="00C310DF" w:rsidRPr="00C310DF" w:rsidRDefault="00C310DF" w:rsidP="00C310DF">
      <w:pPr>
        <w:pStyle w:val="Prrafodelista"/>
        <w:spacing w:after="0" w:line="240" w:lineRule="auto"/>
        <w:ind w:left="357"/>
        <w:jc w:val="both"/>
        <w:rPr>
          <w:rFonts w:ascii="Verdana" w:hAnsi="Verdana"/>
          <w:bCs/>
          <w:sz w:val="24"/>
          <w:szCs w:val="24"/>
        </w:rPr>
      </w:pPr>
    </w:p>
    <w:p w:rsidR="00C310DF" w:rsidRPr="00C310DF" w:rsidRDefault="00C310DF" w:rsidP="00C310DF">
      <w:pPr>
        <w:spacing w:after="0" w:line="240" w:lineRule="auto"/>
        <w:jc w:val="both"/>
        <w:rPr>
          <w:rFonts w:ascii="Verdana" w:hAnsi="Verdana"/>
          <w:bCs/>
          <w:sz w:val="24"/>
          <w:szCs w:val="24"/>
        </w:rPr>
      </w:pPr>
      <w:r w:rsidRPr="00C310DF">
        <w:rPr>
          <w:rFonts w:ascii="Verdana" w:hAnsi="Verdana"/>
          <w:bCs/>
          <w:sz w:val="24"/>
          <w:szCs w:val="24"/>
        </w:rPr>
        <w:t>Se siguió con la realización de los módulos y conferencias en la Escuela Superior de Guerra. Se desarrolló un Seminario Internacional con los funcionarios públicos y colegas académicos y militares de otros países que han transitado por procesos de transformación de dictaduras a democracias o de guerra a paz.</w:t>
      </w:r>
    </w:p>
    <w:p w:rsidR="00C310DF" w:rsidRPr="00C310DF" w:rsidRDefault="00C310DF" w:rsidP="00C310DF">
      <w:pPr>
        <w:pStyle w:val="Prrafodelista"/>
        <w:spacing w:after="0" w:line="240" w:lineRule="auto"/>
        <w:ind w:left="357"/>
        <w:jc w:val="both"/>
        <w:rPr>
          <w:rFonts w:ascii="Verdana" w:hAnsi="Verdana"/>
          <w:bCs/>
          <w:sz w:val="24"/>
          <w:szCs w:val="24"/>
        </w:rPr>
      </w:pPr>
    </w:p>
    <w:p w:rsidR="00C310DF" w:rsidRPr="00C310DF" w:rsidRDefault="00C310DF" w:rsidP="00C310DF">
      <w:pPr>
        <w:spacing w:after="0" w:line="240" w:lineRule="auto"/>
        <w:jc w:val="both"/>
        <w:rPr>
          <w:rFonts w:ascii="Verdana" w:hAnsi="Verdana" w:cs="Arial"/>
          <w:bCs/>
          <w:sz w:val="24"/>
          <w:szCs w:val="24"/>
          <w:shd w:val="clear" w:color="auto" w:fill="FFFFFF"/>
        </w:rPr>
      </w:pPr>
      <w:r w:rsidRPr="00C310DF">
        <w:rPr>
          <w:rFonts w:ascii="Verdana" w:hAnsi="Verdana" w:cs="Arial"/>
          <w:bCs/>
          <w:sz w:val="24"/>
          <w:szCs w:val="24"/>
          <w:shd w:val="clear" w:color="auto" w:fill="FFFFFF"/>
        </w:rPr>
        <w:lastRenderedPageBreak/>
        <w:t xml:space="preserve">Caja de Herramientas para gestores y gestoras de archivos de DDHH y Memoria Histórica: se ha venido trabajando con el apoyo </w:t>
      </w:r>
      <w:r w:rsidRPr="00C310DF">
        <w:rPr>
          <w:rFonts w:ascii="Verdana" w:eastAsia="PMingLiU" w:hAnsi="Verdana" w:cs="Arial"/>
          <w:bCs/>
          <w:sz w:val="24"/>
          <w:szCs w:val="24"/>
        </w:rPr>
        <w:t>del Programa VISP/USAID/OIM</w:t>
      </w:r>
      <w:r w:rsidRPr="00C310DF">
        <w:rPr>
          <w:rFonts w:ascii="Verdana" w:hAnsi="Verdana" w:cs="Arial"/>
          <w:bCs/>
          <w:sz w:val="24"/>
          <w:szCs w:val="24"/>
          <w:shd w:val="clear" w:color="auto" w:fill="FFFFFF"/>
        </w:rPr>
        <w:t xml:space="preserve"> en la construcción de la primera versión de la Caja de Herramientas para gestores y gestoras de archivos de DDHH y Memoria Histórica la cual se encuentra integrada por dos (2) cartillas las cuales son: </w:t>
      </w:r>
      <w:r w:rsidRPr="00C310DF">
        <w:rPr>
          <w:rFonts w:ascii="Verdana" w:hAnsi="Verdana" w:cs="Arial"/>
          <w:bCs/>
          <w:i/>
          <w:sz w:val="24"/>
          <w:szCs w:val="24"/>
          <w:shd w:val="clear" w:color="auto" w:fill="FFFFFF"/>
        </w:rPr>
        <w:t>“Claves conceptuales para la formación de gestores de archivos de Derechos Humanos, Memoria Histórica, y Conflicto</w:t>
      </w:r>
      <w:r w:rsidRPr="00C310DF">
        <w:rPr>
          <w:rFonts w:ascii="Verdana" w:hAnsi="Verdana" w:cs="Arial"/>
          <w:bCs/>
          <w:sz w:val="24"/>
          <w:szCs w:val="24"/>
          <w:shd w:val="clear" w:color="auto" w:fill="FFFFFF"/>
        </w:rPr>
        <w:t>” y una segunda cartilla denominada “</w:t>
      </w:r>
      <w:r w:rsidRPr="00C310DF">
        <w:rPr>
          <w:rFonts w:ascii="Verdana" w:hAnsi="Verdana" w:cs="Arial"/>
          <w:bCs/>
          <w:i/>
          <w:sz w:val="24"/>
          <w:szCs w:val="24"/>
          <w:shd w:val="clear" w:color="auto" w:fill="FFFFFF"/>
        </w:rPr>
        <w:t>Caminado hacia la conformación de nuestro archivo de Derechos Humanos, Memoria Histórica y conflicto”</w:t>
      </w:r>
      <w:r w:rsidRPr="00C310DF">
        <w:rPr>
          <w:rFonts w:ascii="Verdana" w:hAnsi="Verdana" w:cs="Arial"/>
          <w:bCs/>
          <w:sz w:val="24"/>
          <w:szCs w:val="24"/>
          <w:shd w:val="clear" w:color="auto" w:fill="FFFFFF"/>
        </w:rPr>
        <w:t>.</w:t>
      </w:r>
    </w:p>
    <w:p w:rsidR="00C310DF" w:rsidRPr="00C310DF" w:rsidRDefault="00C310DF" w:rsidP="00C310DF">
      <w:pPr>
        <w:spacing w:after="0" w:line="240" w:lineRule="auto"/>
        <w:contextualSpacing/>
        <w:jc w:val="both"/>
        <w:rPr>
          <w:rFonts w:ascii="Verdana" w:hAnsi="Verdana"/>
          <w:bCs/>
          <w:sz w:val="24"/>
          <w:szCs w:val="24"/>
        </w:rPr>
      </w:pPr>
    </w:p>
    <w:p w:rsidR="00C310DF" w:rsidRPr="00C310DF" w:rsidRDefault="00C310DF" w:rsidP="00C310DF">
      <w:pPr>
        <w:pStyle w:val="Subttulo"/>
        <w:numPr>
          <w:ilvl w:val="1"/>
          <w:numId w:val="60"/>
        </w:numPr>
        <w:ind w:left="709" w:hanging="709"/>
        <w:outlineLvl w:val="2"/>
        <w:rPr>
          <w:rFonts w:ascii="Verdana" w:eastAsia="Arial" w:hAnsi="Verdana"/>
          <w:b/>
          <w:color w:val="4F81BD" w:themeColor="accent1"/>
          <w:sz w:val="24"/>
          <w:szCs w:val="24"/>
          <w:lang w:val="es-CO"/>
        </w:rPr>
      </w:pPr>
      <w:bookmarkStart w:id="97" w:name="_Toc411868572"/>
      <w:r w:rsidRPr="00C310DF">
        <w:rPr>
          <w:rFonts w:ascii="Verdana" w:eastAsia="Arial" w:hAnsi="Verdana"/>
          <w:b/>
          <w:color w:val="4F81BD" w:themeColor="accent1"/>
          <w:sz w:val="24"/>
          <w:szCs w:val="24"/>
          <w:lang w:val="es-CO"/>
        </w:rPr>
        <w:t>Enfoque diferencial</w:t>
      </w:r>
      <w:bookmarkEnd w:id="97"/>
    </w:p>
    <w:p w:rsidR="00C310DF" w:rsidRPr="00C310DF" w:rsidRDefault="00C310DF" w:rsidP="00C310DF">
      <w:pPr>
        <w:pStyle w:val="Subttulo"/>
        <w:numPr>
          <w:ilvl w:val="2"/>
          <w:numId w:val="60"/>
        </w:numPr>
        <w:tabs>
          <w:tab w:val="left" w:pos="567"/>
        </w:tabs>
        <w:ind w:left="567" w:hanging="567"/>
        <w:outlineLvl w:val="3"/>
        <w:rPr>
          <w:rFonts w:ascii="Verdana" w:eastAsia="Arial" w:hAnsi="Verdana"/>
          <w:b/>
          <w:color w:val="4F81BD" w:themeColor="accent1"/>
          <w:sz w:val="24"/>
          <w:szCs w:val="24"/>
          <w:lang w:val="es-CO"/>
        </w:rPr>
      </w:pPr>
      <w:bookmarkStart w:id="98" w:name="_Toc411868573"/>
      <w:r w:rsidRPr="00C310DF">
        <w:rPr>
          <w:rFonts w:ascii="Verdana" w:eastAsia="Arial" w:hAnsi="Verdana"/>
          <w:b/>
          <w:color w:val="4F81BD" w:themeColor="accent1"/>
          <w:sz w:val="24"/>
          <w:szCs w:val="24"/>
          <w:lang w:val="es-CO"/>
        </w:rPr>
        <w:t>Enfoque Diferencial de Género</w:t>
      </w:r>
      <w:bookmarkEnd w:id="98"/>
    </w:p>
    <w:p w:rsidR="00C310DF" w:rsidRPr="00BC7F3F" w:rsidRDefault="00C310DF" w:rsidP="00C310DF">
      <w:pPr>
        <w:spacing w:after="0" w:line="240" w:lineRule="auto"/>
        <w:contextualSpacing/>
        <w:jc w:val="both"/>
        <w:rPr>
          <w:rFonts w:ascii="Verdana" w:hAnsi="Verdana" w:cs="Arial"/>
          <w:sz w:val="24"/>
          <w:szCs w:val="24"/>
        </w:rPr>
      </w:pPr>
      <w:r w:rsidRPr="00BC7F3F">
        <w:rPr>
          <w:rFonts w:ascii="Verdana" w:hAnsi="Verdana" w:cs="Arial"/>
          <w:sz w:val="24"/>
          <w:szCs w:val="24"/>
        </w:rPr>
        <w:t>El Enfoque de Género se propuso para el año 2014 dos resultados: i) I</w:t>
      </w:r>
      <w:r w:rsidRPr="00BC7F3F">
        <w:rPr>
          <w:rFonts w:ascii="Verdana" w:eastAsia="Arial" w:hAnsi="Verdana"/>
          <w:sz w:val="24"/>
          <w:szCs w:val="24"/>
        </w:rPr>
        <w:t xml:space="preserve">ncorporación de los enfoques diferenciales en las acciones de memoria histórica; y ii) Acciones afirmativas de memoria histórica para los grupos definidos en el enfoque diferencial. </w:t>
      </w:r>
      <w:r w:rsidRPr="00BC7F3F">
        <w:rPr>
          <w:rFonts w:ascii="Verdana" w:hAnsi="Verdana" w:cs="Arial"/>
          <w:sz w:val="24"/>
          <w:szCs w:val="24"/>
        </w:rPr>
        <w:t>Para alcanzar cada uno de estos resultados se desplegaron una serie de estrategias y acciones clave entre las cuales se destacan las siguientes:</w:t>
      </w:r>
    </w:p>
    <w:p w:rsidR="00C310DF" w:rsidRPr="00BC7F3F" w:rsidRDefault="00C310DF" w:rsidP="00C310DF">
      <w:pPr>
        <w:spacing w:after="0" w:line="240" w:lineRule="auto"/>
        <w:contextualSpacing/>
        <w:jc w:val="both"/>
        <w:rPr>
          <w:rFonts w:ascii="Verdana" w:hAnsi="Verdana" w:cs="Arial"/>
          <w:sz w:val="24"/>
          <w:szCs w:val="24"/>
        </w:rPr>
      </w:pPr>
    </w:p>
    <w:p w:rsidR="00C310DF" w:rsidRPr="001928B9" w:rsidRDefault="00C310DF" w:rsidP="001928B9">
      <w:pPr>
        <w:pStyle w:val="Prrafodelista"/>
        <w:numPr>
          <w:ilvl w:val="0"/>
          <w:numId w:val="62"/>
        </w:numPr>
        <w:spacing w:after="0" w:line="240" w:lineRule="auto"/>
        <w:ind w:left="709" w:hanging="283"/>
        <w:jc w:val="both"/>
        <w:rPr>
          <w:rFonts w:ascii="Verdana" w:hAnsi="Verdana" w:cs="Arial"/>
          <w:i/>
          <w:sz w:val="24"/>
          <w:szCs w:val="24"/>
        </w:rPr>
      </w:pPr>
      <w:r w:rsidRPr="001928B9">
        <w:rPr>
          <w:rFonts w:ascii="Verdana" w:hAnsi="Verdana" w:cs="Arial"/>
          <w:i/>
          <w:sz w:val="24"/>
          <w:szCs w:val="24"/>
        </w:rPr>
        <w:t>Se consolidó un documento técnico de Lineamientos para la incorporación del Enfoque de Género en los procesos de memoria histórica.</w:t>
      </w:r>
    </w:p>
    <w:p w:rsidR="00C310DF" w:rsidRPr="001928B9" w:rsidRDefault="00C310DF" w:rsidP="001928B9">
      <w:pPr>
        <w:pStyle w:val="Prrafodelista"/>
        <w:numPr>
          <w:ilvl w:val="0"/>
          <w:numId w:val="62"/>
        </w:numPr>
        <w:spacing w:after="0" w:line="240" w:lineRule="auto"/>
        <w:ind w:left="709" w:hanging="283"/>
        <w:jc w:val="both"/>
        <w:rPr>
          <w:rFonts w:ascii="Verdana" w:hAnsi="Verdana" w:cs="Arial"/>
          <w:i/>
          <w:sz w:val="24"/>
          <w:szCs w:val="24"/>
        </w:rPr>
      </w:pPr>
      <w:r w:rsidRPr="001928B9">
        <w:rPr>
          <w:rFonts w:ascii="Verdana" w:hAnsi="Verdana" w:cs="Arial"/>
          <w:i/>
          <w:sz w:val="24"/>
          <w:szCs w:val="24"/>
        </w:rPr>
        <w:t>Se participó en el diseño del Seminario Internacional de Lugares de Memoria, para que incluyera el enfoque de género. Se logró en este marco la presencia de Amandine Fulchiron de la colectiva Actoras de Cambio - Guatemala, a partir de cuya intervención se generó la discusión sobre la representación de la violencia sexual y demás violencias contra las mujeres en el Museo Nacional de la Memoria.</w:t>
      </w:r>
    </w:p>
    <w:p w:rsidR="00C310DF" w:rsidRPr="001928B9" w:rsidRDefault="00C310DF" w:rsidP="001928B9">
      <w:pPr>
        <w:pStyle w:val="Prrafodelista"/>
        <w:numPr>
          <w:ilvl w:val="0"/>
          <w:numId w:val="62"/>
        </w:numPr>
        <w:spacing w:after="0" w:line="240" w:lineRule="auto"/>
        <w:ind w:left="709" w:hanging="283"/>
        <w:jc w:val="both"/>
        <w:rPr>
          <w:rFonts w:ascii="Verdana" w:hAnsi="Verdana" w:cs="Arial"/>
          <w:i/>
          <w:sz w:val="24"/>
          <w:szCs w:val="24"/>
        </w:rPr>
      </w:pPr>
      <w:r w:rsidRPr="001928B9">
        <w:rPr>
          <w:rFonts w:ascii="Verdana" w:hAnsi="Verdana" w:cs="Arial"/>
          <w:i/>
          <w:sz w:val="24"/>
          <w:szCs w:val="24"/>
        </w:rPr>
        <w:t>Se asesoró permanentemente a la Dirección de Archivos en la construcción del Tesauro, con el fin de acompañar la construcción de sus descriptores de género.</w:t>
      </w:r>
    </w:p>
    <w:p w:rsidR="00C310DF" w:rsidRPr="001928B9" w:rsidRDefault="00C310DF" w:rsidP="001928B9">
      <w:pPr>
        <w:pStyle w:val="Prrafodelista"/>
        <w:numPr>
          <w:ilvl w:val="0"/>
          <w:numId w:val="62"/>
        </w:numPr>
        <w:spacing w:after="0" w:line="240" w:lineRule="auto"/>
        <w:ind w:left="709" w:hanging="283"/>
        <w:jc w:val="both"/>
        <w:rPr>
          <w:rFonts w:ascii="Verdana" w:hAnsi="Verdana" w:cs="Arial"/>
          <w:i/>
          <w:sz w:val="24"/>
          <w:szCs w:val="24"/>
        </w:rPr>
      </w:pPr>
      <w:r w:rsidRPr="001928B9">
        <w:rPr>
          <w:rFonts w:ascii="Verdana" w:hAnsi="Verdana" w:cs="Arial"/>
          <w:i/>
          <w:sz w:val="24"/>
          <w:szCs w:val="24"/>
        </w:rPr>
        <w:t>Se impartieron los módulos de género en: i) la Catedra “Basta Ya” que imparte el CNMH en la Universidad Nacional, ii) el Diplomado sobre Memoria Histórica que imparte el CNMH en convenio con la Gobernación de Nariño, iii) curso “Guerra y Memoria Histórica en Colombia”, en la Universidad de los Andes.</w:t>
      </w:r>
    </w:p>
    <w:p w:rsidR="00C310DF" w:rsidRPr="001928B9" w:rsidRDefault="00C310DF" w:rsidP="001928B9">
      <w:pPr>
        <w:pStyle w:val="Prrafodelista"/>
        <w:numPr>
          <w:ilvl w:val="0"/>
          <w:numId w:val="62"/>
        </w:numPr>
        <w:spacing w:after="0" w:line="240" w:lineRule="auto"/>
        <w:ind w:left="709" w:hanging="283"/>
        <w:jc w:val="both"/>
        <w:rPr>
          <w:rFonts w:ascii="Verdana" w:hAnsi="Verdana" w:cs="Arial"/>
          <w:i/>
          <w:sz w:val="24"/>
          <w:szCs w:val="24"/>
        </w:rPr>
      </w:pPr>
      <w:r w:rsidRPr="001928B9">
        <w:rPr>
          <w:rFonts w:ascii="Verdana" w:hAnsi="Verdana" w:cs="Arial"/>
          <w:i/>
          <w:sz w:val="24"/>
          <w:szCs w:val="24"/>
        </w:rPr>
        <w:t xml:space="preserve">Se asesoraron distintas iniciativas en curso para que incorporaran el enfoque de género: i) Caja de herramientas para maestros y maestras, ii) Manual de Escritura del CNMH, iii) documento “Guía de Medidas de </w:t>
      </w:r>
      <w:r w:rsidRPr="001928B9">
        <w:rPr>
          <w:rFonts w:ascii="Verdana" w:hAnsi="Verdana" w:cs="Arial"/>
          <w:i/>
          <w:sz w:val="24"/>
          <w:szCs w:val="24"/>
        </w:rPr>
        <w:lastRenderedPageBreak/>
        <w:t>Satisfacción-SNARIV, iv) proceso de memoria histórica para personas mayores.</w:t>
      </w:r>
    </w:p>
    <w:p w:rsidR="00C310DF" w:rsidRPr="001928B9" w:rsidRDefault="00C310DF" w:rsidP="001928B9">
      <w:pPr>
        <w:pStyle w:val="Prrafodelista"/>
        <w:numPr>
          <w:ilvl w:val="0"/>
          <w:numId w:val="62"/>
        </w:numPr>
        <w:spacing w:after="0" w:line="240" w:lineRule="auto"/>
        <w:ind w:left="709" w:hanging="283"/>
        <w:jc w:val="both"/>
        <w:rPr>
          <w:rFonts w:ascii="Verdana" w:hAnsi="Verdana" w:cs="Arial"/>
          <w:i/>
          <w:sz w:val="24"/>
          <w:szCs w:val="24"/>
        </w:rPr>
      </w:pPr>
      <w:r w:rsidRPr="001928B9">
        <w:rPr>
          <w:rFonts w:ascii="Verdana" w:hAnsi="Verdana" w:cs="Arial"/>
          <w:i/>
          <w:sz w:val="24"/>
          <w:szCs w:val="24"/>
        </w:rPr>
        <w:t xml:space="preserve">Representación del CNMH y presentación de sus acciones desde el Enfoque de Género en 14 distintos escenarios. </w:t>
      </w:r>
    </w:p>
    <w:p w:rsidR="00C310DF" w:rsidRPr="001928B9" w:rsidRDefault="00C310DF" w:rsidP="001928B9">
      <w:pPr>
        <w:pStyle w:val="Prrafodelista"/>
        <w:numPr>
          <w:ilvl w:val="0"/>
          <w:numId w:val="62"/>
        </w:numPr>
        <w:spacing w:after="0" w:line="240" w:lineRule="auto"/>
        <w:ind w:left="709" w:hanging="283"/>
        <w:jc w:val="both"/>
        <w:rPr>
          <w:rFonts w:ascii="Verdana" w:hAnsi="Verdana" w:cs="Arial"/>
          <w:i/>
          <w:sz w:val="24"/>
          <w:szCs w:val="24"/>
        </w:rPr>
      </w:pPr>
      <w:r w:rsidRPr="001928B9">
        <w:rPr>
          <w:rFonts w:ascii="Verdana" w:hAnsi="Verdana" w:cs="Arial"/>
          <w:i/>
          <w:sz w:val="24"/>
          <w:szCs w:val="24"/>
        </w:rPr>
        <w:t>Se apoyó al grupo de reparaciones colectivas en el diseño y gestión de las acciones de memoria contenidas en el plan de reparación de la Organización Femenina Popular – OFP.</w:t>
      </w:r>
    </w:p>
    <w:p w:rsidR="00C310DF" w:rsidRPr="001928B9" w:rsidRDefault="00C310DF" w:rsidP="001928B9">
      <w:pPr>
        <w:pStyle w:val="Prrafodelista"/>
        <w:numPr>
          <w:ilvl w:val="0"/>
          <w:numId w:val="62"/>
        </w:numPr>
        <w:spacing w:after="0" w:line="240" w:lineRule="auto"/>
        <w:ind w:left="709" w:hanging="283"/>
        <w:jc w:val="both"/>
        <w:rPr>
          <w:rFonts w:ascii="Verdana" w:hAnsi="Verdana" w:cs="Arial"/>
          <w:i/>
          <w:sz w:val="24"/>
          <w:szCs w:val="24"/>
        </w:rPr>
      </w:pPr>
      <w:r w:rsidRPr="001928B9">
        <w:rPr>
          <w:rFonts w:ascii="Verdana" w:hAnsi="Verdana" w:cs="Arial"/>
          <w:i/>
          <w:sz w:val="24"/>
          <w:szCs w:val="24"/>
        </w:rPr>
        <w:t xml:space="preserve">Se brindó apoyo al grupo de respuesta judicial en el cumplimiento de la orden sobre violencia sexual de la sentencia parcial contra el Bloque Vencedores de Arauca. Se construyó el protocolo de cumplimiento del exhorto y la metodología de todas las sesiones de trabajo con las mujeres en Arauquita. Además se realizaron los acercamientos con las víctimas y con las entidades municipales, y se realizaron los 7 talleres diseñados. Finalmente se acompañó la socialización del primer borrador del informe con las mujeres participantes de los talleres. </w:t>
      </w:r>
    </w:p>
    <w:p w:rsidR="00C310DF" w:rsidRPr="001928B9" w:rsidRDefault="00C310DF" w:rsidP="001928B9">
      <w:pPr>
        <w:pStyle w:val="Prrafodelista"/>
        <w:numPr>
          <w:ilvl w:val="0"/>
          <w:numId w:val="62"/>
        </w:numPr>
        <w:spacing w:after="0" w:line="240" w:lineRule="auto"/>
        <w:ind w:left="709" w:hanging="283"/>
        <w:jc w:val="both"/>
        <w:rPr>
          <w:rFonts w:ascii="Verdana" w:hAnsi="Verdana" w:cs="Arial"/>
          <w:i/>
          <w:sz w:val="24"/>
          <w:szCs w:val="24"/>
        </w:rPr>
      </w:pPr>
      <w:r w:rsidRPr="001928B9">
        <w:rPr>
          <w:rFonts w:ascii="Verdana" w:hAnsi="Verdana" w:cs="Arial"/>
          <w:i/>
          <w:sz w:val="24"/>
          <w:szCs w:val="24"/>
        </w:rPr>
        <w:t xml:space="preserve">Se diseñó, gestionó y coordinó un proceso de memoria histórica con víctimas del conflicto armado que se apartan de la norma heterosexual (sectores LGBT). Este proceso se desarrolló en Bogotá, Medellín y Cartagena. </w:t>
      </w:r>
    </w:p>
    <w:p w:rsidR="00C310DF" w:rsidRPr="001928B9" w:rsidRDefault="00C310DF" w:rsidP="001928B9">
      <w:pPr>
        <w:pStyle w:val="Prrafodelista"/>
        <w:numPr>
          <w:ilvl w:val="0"/>
          <w:numId w:val="62"/>
        </w:numPr>
        <w:spacing w:after="0" w:line="240" w:lineRule="auto"/>
        <w:ind w:left="709" w:hanging="283"/>
        <w:jc w:val="both"/>
        <w:rPr>
          <w:rFonts w:ascii="Verdana" w:hAnsi="Verdana" w:cs="Arial"/>
          <w:i/>
          <w:sz w:val="24"/>
          <w:szCs w:val="24"/>
        </w:rPr>
      </w:pPr>
      <w:r w:rsidRPr="001928B9">
        <w:rPr>
          <w:rFonts w:ascii="Verdana" w:hAnsi="Verdana" w:cs="Arial"/>
          <w:i/>
          <w:sz w:val="24"/>
          <w:szCs w:val="24"/>
        </w:rPr>
        <w:t xml:space="preserve">Se coordinó el proceso de alistamiento para la construcción del Informe nacional sobre violencia sexual en el marco del conflicto armado, ordenado al CNMH por la Ley 1719 de 2014. </w:t>
      </w:r>
    </w:p>
    <w:p w:rsidR="00C310DF" w:rsidRPr="00BC7F3F" w:rsidRDefault="00C310DF" w:rsidP="00C310DF">
      <w:pPr>
        <w:spacing w:after="0" w:line="240" w:lineRule="auto"/>
        <w:contextualSpacing/>
        <w:jc w:val="both"/>
        <w:rPr>
          <w:rFonts w:ascii="Verdana" w:hAnsi="Verdana" w:cs="Arial"/>
          <w:sz w:val="24"/>
          <w:szCs w:val="24"/>
        </w:rPr>
      </w:pPr>
    </w:p>
    <w:p w:rsidR="00C310DF" w:rsidRPr="001928B9" w:rsidRDefault="00C310DF" w:rsidP="001928B9">
      <w:pPr>
        <w:pStyle w:val="Subttulo"/>
        <w:numPr>
          <w:ilvl w:val="2"/>
          <w:numId w:val="60"/>
        </w:numPr>
        <w:ind w:left="851" w:hanging="851"/>
        <w:outlineLvl w:val="3"/>
        <w:rPr>
          <w:rFonts w:ascii="Verdana" w:eastAsia="Arial" w:hAnsi="Verdana"/>
          <w:b/>
          <w:color w:val="4F81BD" w:themeColor="accent1"/>
          <w:sz w:val="24"/>
          <w:szCs w:val="24"/>
          <w:lang w:val="es-CO"/>
        </w:rPr>
      </w:pPr>
      <w:bookmarkStart w:id="99" w:name="_Toc411868574"/>
      <w:r w:rsidRPr="001928B9">
        <w:rPr>
          <w:rFonts w:ascii="Verdana" w:eastAsia="Arial" w:hAnsi="Verdana"/>
          <w:b/>
          <w:color w:val="4F81BD" w:themeColor="accent1"/>
          <w:sz w:val="24"/>
          <w:szCs w:val="24"/>
          <w:lang w:val="es-CO"/>
        </w:rPr>
        <w:t>Enfoque Diferencial de Discapacidad</w:t>
      </w:r>
      <w:bookmarkEnd w:id="99"/>
    </w:p>
    <w:p w:rsidR="00C310DF" w:rsidRPr="00BC7F3F" w:rsidRDefault="00C310DF" w:rsidP="00C310DF">
      <w:pPr>
        <w:spacing w:after="0" w:line="240" w:lineRule="auto"/>
        <w:jc w:val="both"/>
        <w:rPr>
          <w:rFonts w:ascii="Verdana" w:hAnsi="Verdana"/>
          <w:bCs/>
          <w:sz w:val="24"/>
          <w:szCs w:val="24"/>
        </w:rPr>
      </w:pPr>
      <w:r w:rsidRPr="00BC7F3F">
        <w:rPr>
          <w:rFonts w:ascii="Verdana" w:hAnsi="Verdana"/>
          <w:bCs/>
          <w:sz w:val="24"/>
          <w:szCs w:val="24"/>
        </w:rPr>
        <w:t>Tiene como objetivo crear una capacidad institucional que responda de manera diferenciada y pertinente a las necesidades específicas de la población con discapacidad, reconociendo que esta población ha vivido de manera exacerbada los efectos del conflicto armado. Se han propuesto principalmente dos líneas de trabajo: La primera es transversalizar una perspectiva de la discapacidad desde los derechos humanos y la diversidad a través de la sensibilización y capacitación de funcionarios y contratistas, para asegurar la incorporación de ajustes y parámetros diferenciados en los procesos misionales del CMMH. Por otro lado, la formulación de proyectos puntuales dirigidos a esta población en particular, encaminados a identificar metodologías y prácticas que favorezcan su participación efectiva en las acciones que adelanta el CNMH.</w:t>
      </w:r>
    </w:p>
    <w:p w:rsidR="00C310DF" w:rsidRPr="00BC7F3F" w:rsidRDefault="00C310DF" w:rsidP="00C310DF">
      <w:pPr>
        <w:spacing w:after="0" w:line="240" w:lineRule="auto"/>
        <w:jc w:val="both"/>
        <w:rPr>
          <w:rFonts w:ascii="Verdana" w:hAnsi="Verdana"/>
          <w:bCs/>
          <w:sz w:val="24"/>
          <w:szCs w:val="24"/>
        </w:rPr>
      </w:pPr>
    </w:p>
    <w:p w:rsidR="00C310DF" w:rsidRPr="00BC7F3F" w:rsidRDefault="00C310DF" w:rsidP="00C310DF">
      <w:pPr>
        <w:spacing w:after="0" w:line="240" w:lineRule="auto"/>
        <w:jc w:val="both"/>
        <w:rPr>
          <w:rFonts w:ascii="Verdana" w:hAnsi="Verdana"/>
          <w:bCs/>
          <w:sz w:val="24"/>
          <w:szCs w:val="24"/>
        </w:rPr>
      </w:pPr>
      <w:r w:rsidRPr="00BC7F3F">
        <w:rPr>
          <w:rFonts w:ascii="Verdana" w:hAnsi="Verdana"/>
          <w:bCs/>
          <w:sz w:val="24"/>
          <w:szCs w:val="24"/>
        </w:rPr>
        <w:t xml:space="preserve">Dentro de las acciones afirmativas con la población, sobresale la formulación de una metodología de trabajo con víctimas con discapacidad para ser usada en los </w:t>
      </w:r>
      <w:r w:rsidRPr="00BC7F3F">
        <w:rPr>
          <w:rFonts w:ascii="Verdana" w:hAnsi="Verdana"/>
          <w:bCs/>
          <w:sz w:val="24"/>
          <w:szCs w:val="24"/>
        </w:rPr>
        <w:lastRenderedPageBreak/>
        <w:t xml:space="preserve">talleres de memoria, que prioriza la conciencia corporal y la exploración de las capacidades individuales y su interacción en colectivo. </w:t>
      </w:r>
    </w:p>
    <w:p w:rsidR="00C310DF" w:rsidRPr="00BC7F3F" w:rsidRDefault="00C310DF" w:rsidP="00C310DF">
      <w:pPr>
        <w:spacing w:after="0" w:line="240" w:lineRule="auto"/>
        <w:jc w:val="both"/>
        <w:rPr>
          <w:rFonts w:ascii="Verdana" w:hAnsi="Verdana"/>
          <w:bCs/>
          <w:sz w:val="24"/>
          <w:szCs w:val="24"/>
        </w:rPr>
      </w:pPr>
    </w:p>
    <w:p w:rsidR="00C310DF" w:rsidRPr="00BC7F3F" w:rsidRDefault="00C310DF" w:rsidP="00C310DF">
      <w:pPr>
        <w:spacing w:after="0" w:line="240" w:lineRule="auto"/>
        <w:jc w:val="both"/>
        <w:rPr>
          <w:rFonts w:ascii="Verdana" w:hAnsi="Verdana"/>
          <w:bCs/>
          <w:sz w:val="24"/>
          <w:szCs w:val="24"/>
        </w:rPr>
      </w:pPr>
      <w:r w:rsidRPr="00BC7F3F">
        <w:rPr>
          <w:rFonts w:ascii="Verdana" w:hAnsi="Verdana"/>
          <w:bCs/>
          <w:sz w:val="24"/>
          <w:szCs w:val="24"/>
        </w:rPr>
        <w:t>En esa misma línea, se produjeron los primeros materiales en formatos accesibles del CNMH: libro hablado, Braille y macro caracteres, subtitulaje y traducción de videos a Lengua de Señas y producción de textos en lectura fácil. Lo anterior sumado a la implementación de ajustes en algunas actividades (como exposiciones y convocatorias), favorece el acceso a la producción del CNMH por parte de cualquier persona sin discriminaciones a causa de sus condiciones físicas, sensoriales o cognitivas, promoviendo el derecho a la igualdad y la verdad de todas las personas y el derecho particular de las víctimas a la reparación simbólica.</w:t>
      </w:r>
    </w:p>
    <w:p w:rsidR="00C310DF" w:rsidRPr="00BC7F3F" w:rsidRDefault="00C310DF" w:rsidP="00C310DF">
      <w:pPr>
        <w:spacing w:after="0" w:line="240" w:lineRule="auto"/>
        <w:jc w:val="both"/>
        <w:rPr>
          <w:rFonts w:ascii="Verdana" w:hAnsi="Verdana"/>
          <w:bCs/>
          <w:sz w:val="24"/>
          <w:szCs w:val="24"/>
        </w:rPr>
      </w:pPr>
    </w:p>
    <w:p w:rsidR="00C310DF" w:rsidRPr="001928B9" w:rsidRDefault="00C310DF" w:rsidP="001928B9">
      <w:pPr>
        <w:pStyle w:val="Subttulo"/>
        <w:numPr>
          <w:ilvl w:val="2"/>
          <w:numId w:val="60"/>
        </w:numPr>
        <w:ind w:left="851" w:hanging="851"/>
        <w:outlineLvl w:val="3"/>
        <w:rPr>
          <w:rFonts w:ascii="Verdana" w:eastAsia="Arial" w:hAnsi="Verdana"/>
          <w:b/>
          <w:color w:val="4F81BD" w:themeColor="accent1"/>
          <w:sz w:val="24"/>
          <w:szCs w:val="24"/>
          <w:lang w:val="es-CO"/>
        </w:rPr>
      </w:pPr>
      <w:bookmarkStart w:id="100" w:name="_Toc411868575"/>
      <w:r w:rsidRPr="001928B9">
        <w:rPr>
          <w:rFonts w:ascii="Verdana" w:eastAsia="Arial" w:hAnsi="Verdana"/>
          <w:b/>
          <w:color w:val="4F81BD" w:themeColor="accent1"/>
          <w:sz w:val="24"/>
          <w:szCs w:val="24"/>
          <w:lang w:val="es-CO"/>
        </w:rPr>
        <w:t>Enfoque Diferencial Étnico</w:t>
      </w:r>
      <w:bookmarkEnd w:id="100"/>
    </w:p>
    <w:p w:rsidR="00C310DF" w:rsidRPr="00BC7F3F" w:rsidRDefault="00C310DF" w:rsidP="00C310DF">
      <w:pPr>
        <w:spacing w:after="0" w:line="240" w:lineRule="auto"/>
        <w:jc w:val="both"/>
        <w:rPr>
          <w:rFonts w:ascii="Verdana" w:hAnsi="Verdana"/>
          <w:sz w:val="24"/>
          <w:szCs w:val="24"/>
        </w:rPr>
      </w:pPr>
      <w:r w:rsidRPr="00BC7F3F">
        <w:rPr>
          <w:rFonts w:ascii="Verdana" w:hAnsi="Verdana"/>
          <w:sz w:val="24"/>
          <w:szCs w:val="24"/>
        </w:rPr>
        <w:t>El objetivo es propiciar procesos de reconstrucción de memoria histórica con las poblaciones étnicas desde el reconocimiento de los dispositivos culturales propios en perspectiva de reconstrucción de los tejidos sociales y la apuesta por la definición de pedagogías interculturales orientadas a la no repetición de los hechos victimizantes. Entre las acciones clave de transversalización al interior del CNMH podemos mencionar las siguientes:</w:t>
      </w:r>
    </w:p>
    <w:p w:rsidR="00C310DF" w:rsidRPr="00BC7F3F" w:rsidRDefault="00C310DF" w:rsidP="00C310DF">
      <w:pPr>
        <w:spacing w:after="0" w:line="240" w:lineRule="auto"/>
        <w:jc w:val="both"/>
        <w:rPr>
          <w:rFonts w:ascii="Verdana" w:hAnsi="Verdana"/>
          <w:b/>
          <w:bCs/>
          <w:sz w:val="24"/>
          <w:szCs w:val="24"/>
        </w:rPr>
      </w:pPr>
      <w:r w:rsidRPr="00BC7F3F">
        <w:rPr>
          <w:rFonts w:ascii="Verdana" w:hAnsi="Verdana"/>
          <w:sz w:val="24"/>
          <w:szCs w:val="24"/>
        </w:rPr>
        <w:t xml:space="preserve">  </w:t>
      </w:r>
    </w:p>
    <w:p w:rsidR="00C310DF" w:rsidRPr="00BC7F3F" w:rsidRDefault="00C310DF" w:rsidP="00C310DF">
      <w:pPr>
        <w:pStyle w:val="Prrafodelista"/>
        <w:numPr>
          <w:ilvl w:val="0"/>
          <w:numId w:val="62"/>
        </w:numPr>
        <w:spacing w:after="0" w:line="240" w:lineRule="auto"/>
        <w:ind w:left="357" w:hanging="357"/>
        <w:contextualSpacing w:val="0"/>
        <w:jc w:val="both"/>
        <w:rPr>
          <w:rFonts w:ascii="Verdana" w:hAnsi="Verdana" w:cs="Arial"/>
          <w:sz w:val="24"/>
          <w:szCs w:val="24"/>
        </w:rPr>
      </w:pPr>
      <w:r w:rsidRPr="00BC7F3F">
        <w:rPr>
          <w:rFonts w:ascii="Verdana" w:hAnsi="Verdana" w:cs="Arial"/>
          <w:sz w:val="24"/>
          <w:szCs w:val="24"/>
        </w:rPr>
        <w:t>Seminario nacional con la participación de pueblos indígenas afiliados a la Organización Nacional Indígena de Colombia, en el marco del cual se abordó el tema del Museo Nacional de la Memoria desde una perspectiva diferencial.</w:t>
      </w:r>
    </w:p>
    <w:p w:rsidR="00C310DF" w:rsidRPr="00BC7F3F" w:rsidRDefault="00C310DF" w:rsidP="00C310DF">
      <w:pPr>
        <w:pStyle w:val="Prrafodelista"/>
        <w:numPr>
          <w:ilvl w:val="0"/>
          <w:numId w:val="62"/>
        </w:numPr>
        <w:spacing w:after="0" w:line="240" w:lineRule="auto"/>
        <w:ind w:left="357" w:hanging="357"/>
        <w:contextualSpacing w:val="0"/>
        <w:jc w:val="both"/>
        <w:rPr>
          <w:rFonts w:ascii="Verdana" w:hAnsi="Verdana" w:cs="Arial"/>
          <w:sz w:val="24"/>
          <w:szCs w:val="24"/>
        </w:rPr>
      </w:pPr>
      <w:r w:rsidRPr="00BC7F3F">
        <w:rPr>
          <w:rFonts w:ascii="Verdana" w:hAnsi="Verdana" w:cs="Arial"/>
          <w:sz w:val="24"/>
          <w:szCs w:val="24"/>
        </w:rPr>
        <w:t>Asesoría técnica en el diseño, construcción e implementación de instrumentos para el acopio y manejo de archivos con perspectiva étnica. Se abordaron dos casos: proceso de diagnóstico preliminar de archivos de la Confederación Indígena Tairona; y acompañamiento en el proceso de digitalización y entrega a la comunidad Misak del archivo del investigador Víctor Daniel Bonilla.</w:t>
      </w:r>
    </w:p>
    <w:p w:rsidR="00C310DF" w:rsidRPr="00BC7F3F" w:rsidRDefault="00C310DF" w:rsidP="00C310DF">
      <w:pPr>
        <w:pStyle w:val="Prrafodelista"/>
        <w:numPr>
          <w:ilvl w:val="0"/>
          <w:numId w:val="62"/>
        </w:numPr>
        <w:spacing w:after="0" w:line="240" w:lineRule="auto"/>
        <w:ind w:left="357" w:hanging="357"/>
        <w:contextualSpacing w:val="0"/>
        <w:jc w:val="both"/>
        <w:rPr>
          <w:rFonts w:ascii="Verdana" w:hAnsi="Verdana" w:cs="Arial"/>
          <w:sz w:val="24"/>
          <w:szCs w:val="24"/>
        </w:rPr>
      </w:pPr>
      <w:r w:rsidRPr="00BC7F3F">
        <w:rPr>
          <w:rFonts w:ascii="Verdana" w:hAnsi="Verdana" w:cs="Arial"/>
          <w:sz w:val="24"/>
          <w:szCs w:val="24"/>
        </w:rPr>
        <w:t xml:space="preserve">Entre las acciones de transversalización en el marco del SNARIV se destaca el proceso de construcción conjunta de los lineamientos conceptuales sobre caracterización de daño y medidas de satisfacción en perspectiva de memoria histórica con el grupo étnico de la Unidad para la Atención y Reparación a Víctimas. </w:t>
      </w:r>
    </w:p>
    <w:p w:rsidR="00C310DF" w:rsidRPr="00BC7F3F" w:rsidRDefault="00C310DF" w:rsidP="00C310DF">
      <w:pPr>
        <w:spacing w:after="0" w:line="240" w:lineRule="auto"/>
        <w:jc w:val="both"/>
        <w:rPr>
          <w:rFonts w:ascii="Verdana" w:hAnsi="Verdana"/>
          <w:b/>
          <w:bCs/>
          <w:sz w:val="24"/>
          <w:szCs w:val="24"/>
        </w:rPr>
      </w:pPr>
    </w:p>
    <w:p w:rsidR="00C310DF" w:rsidRPr="001928B9" w:rsidRDefault="00C310DF" w:rsidP="001928B9">
      <w:pPr>
        <w:pStyle w:val="Subttulo"/>
        <w:numPr>
          <w:ilvl w:val="1"/>
          <w:numId w:val="60"/>
        </w:numPr>
        <w:ind w:left="788" w:hanging="788"/>
        <w:outlineLvl w:val="2"/>
        <w:rPr>
          <w:rFonts w:ascii="Verdana" w:eastAsia="Arial" w:hAnsi="Verdana"/>
          <w:b/>
          <w:color w:val="4F81BD" w:themeColor="accent1"/>
          <w:sz w:val="24"/>
          <w:szCs w:val="24"/>
          <w:lang w:val="es-CO"/>
        </w:rPr>
      </w:pPr>
      <w:bookmarkStart w:id="101" w:name="_Toc411868576"/>
      <w:r w:rsidRPr="001928B9">
        <w:rPr>
          <w:rFonts w:ascii="Verdana" w:eastAsia="Arial" w:hAnsi="Verdana"/>
          <w:b/>
          <w:color w:val="4F81BD" w:themeColor="accent1"/>
          <w:sz w:val="24"/>
          <w:szCs w:val="24"/>
          <w:lang w:val="es-CO"/>
        </w:rPr>
        <w:t>Procesos colectivos de memoria acompañados</w:t>
      </w:r>
      <w:bookmarkEnd w:id="101"/>
    </w:p>
    <w:p w:rsidR="00C310DF" w:rsidRPr="00BC7F3F" w:rsidRDefault="00C310DF" w:rsidP="00C310DF">
      <w:pPr>
        <w:spacing w:after="0" w:line="240" w:lineRule="auto"/>
        <w:jc w:val="both"/>
        <w:rPr>
          <w:rFonts w:ascii="Verdana" w:hAnsi="Verdana"/>
          <w:sz w:val="24"/>
          <w:szCs w:val="24"/>
        </w:rPr>
      </w:pPr>
      <w:r w:rsidRPr="00BC7F3F">
        <w:rPr>
          <w:rFonts w:ascii="Verdana" w:hAnsi="Verdana"/>
          <w:sz w:val="24"/>
          <w:szCs w:val="24"/>
        </w:rPr>
        <w:lastRenderedPageBreak/>
        <w:t xml:space="preserve">Este ámbito responde a aquellos procesos colectivos, iniciativas o acciones de memoria cuyo énfasis se da hacia la reconstrucción de la memoria.  </w:t>
      </w:r>
    </w:p>
    <w:p w:rsidR="00C310DF" w:rsidRPr="001928B9" w:rsidRDefault="00C310DF" w:rsidP="00582BDE">
      <w:pPr>
        <w:pStyle w:val="Prrafodelista"/>
        <w:numPr>
          <w:ilvl w:val="0"/>
          <w:numId w:val="137"/>
        </w:numPr>
        <w:spacing w:after="0" w:line="240" w:lineRule="auto"/>
        <w:ind w:hanging="315"/>
        <w:contextualSpacing w:val="0"/>
        <w:jc w:val="both"/>
        <w:rPr>
          <w:rFonts w:ascii="Verdana" w:eastAsia="Arial" w:hAnsi="Verdana"/>
          <w:sz w:val="24"/>
          <w:szCs w:val="24"/>
        </w:rPr>
      </w:pPr>
      <w:r w:rsidRPr="001928B9">
        <w:rPr>
          <w:rFonts w:ascii="Verdana" w:eastAsia="Arial" w:hAnsi="Verdana"/>
          <w:sz w:val="24"/>
          <w:szCs w:val="24"/>
        </w:rPr>
        <w:t>USO-Ecopetrol: apoyo del CNMH para el estudio y diseño del Centro Regional de memoria para el Magdalena Medio.</w:t>
      </w:r>
    </w:p>
    <w:p w:rsidR="00C310DF" w:rsidRPr="001928B9" w:rsidRDefault="00C310DF" w:rsidP="00582BDE">
      <w:pPr>
        <w:pStyle w:val="Prrafodelista"/>
        <w:numPr>
          <w:ilvl w:val="0"/>
          <w:numId w:val="137"/>
        </w:numPr>
        <w:spacing w:after="0" w:line="240" w:lineRule="auto"/>
        <w:ind w:hanging="315"/>
        <w:contextualSpacing w:val="0"/>
        <w:jc w:val="both"/>
        <w:rPr>
          <w:rFonts w:ascii="Verdana" w:eastAsia="Arial" w:hAnsi="Verdana"/>
          <w:sz w:val="24"/>
          <w:szCs w:val="24"/>
        </w:rPr>
      </w:pPr>
      <w:r w:rsidRPr="001928B9">
        <w:rPr>
          <w:rFonts w:ascii="Verdana" w:eastAsia="Arial" w:hAnsi="Verdana"/>
          <w:sz w:val="24"/>
          <w:szCs w:val="24"/>
        </w:rPr>
        <w:t>Memoria Histórica de los pueblos indígenas de la Chorrera: adelantar con los pueblos Uitoto, Bora, Muinane y Ocaina de la Chorrera un proceso de reconstrucción de la memoria histórica de las afectaciones ligadas a la presencia cauchera en la región, en perspectiva de definir una propuesta metodológica alrededor de la constitución de un observatorio de pensamiento.</w:t>
      </w:r>
    </w:p>
    <w:p w:rsidR="00C310DF" w:rsidRPr="001928B9" w:rsidRDefault="00C310DF" w:rsidP="00582BDE">
      <w:pPr>
        <w:pStyle w:val="Prrafodelista"/>
        <w:numPr>
          <w:ilvl w:val="0"/>
          <w:numId w:val="137"/>
        </w:numPr>
        <w:spacing w:after="0" w:line="240" w:lineRule="auto"/>
        <w:ind w:hanging="315"/>
        <w:contextualSpacing w:val="0"/>
        <w:jc w:val="both"/>
        <w:rPr>
          <w:rFonts w:ascii="Verdana" w:eastAsia="Arial" w:hAnsi="Verdana"/>
          <w:sz w:val="24"/>
          <w:szCs w:val="24"/>
        </w:rPr>
      </w:pPr>
      <w:r w:rsidRPr="001928B9">
        <w:rPr>
          <w:rFonts w:ascii="Verdana" w:eastAsia="Arial" w:hAnsi="Verdana"/>
          <w:sz w:val="24"/>
          <w:szCs w:val="24"/>
        </w:rPr>
        <w:t>Memoria Histórica del Pueblo Arhuaco (Sierra Nevada de Santa Marta): se  reconstruyó la experiencia histórica de victimización y resistencia del pueblo indígena Arhuaco de la Sierra Nevada de Santa Marta.</w:t>
      </w:r>
    </w:p>
    <w:p w:rsidR="00C310DF" w:rsidRPr="001928B9" w:rsidRDefault="00C310DF" w:rsidP="00582BDE">
      <w:pPr>
        <w:pStyle w:val="Prrafodelista"/>
        <w:numPr>
          <w:ilvl w:val="0"/>
          <w:numId w:val="137"/>
        </w:numPr>
        <w:spacing w:after="0" w:line="240" w:lineRule="auto"/>
        <w:ind w:hanging="315"/>
        <w:contextualSpacing w:val="0"/>
        <w:jc w:val="both"/>
        <w:rPr>
          <w:rFonts w:ascii="Verdana" w:eastAsia="Arial" w:hAnsi="Verdana"/>
          <w:sz w:val="24"/>
          <w:szCs w:val="24"/>
        </w:rPr>
      </w:pPr>
      <w:r w:rsidRPr="001928B9">
        <w:rPr>
          <w:rFonts w:ascii="Verdana" w:eastAsia="Arial" w:hAnsi="Verdana"/>
          <w:sz w:val="24"/>
          <w:szCs w:val="24"/>
        </w:rPr>
        <w:t>Memoria Histórica de la Población Afrodescendiente de Aracataca (Magdalena): reconstruir la experiencia histórica de victimización y resistencia de los miembros del Consejo Comunitario Jacobo Pérez Escobar de Aracataca.</w:t>
      </w:r>
    </w:p>
    <w:p w:rsidR="00C310DF" w:rsidRPr="001928B9" w:rsidRDefault="00C310DF" w:rsidP="00582BDE">
      <w:pPr>
        <w:pStyle w:val="Prrafodelista"/>
        <w:numPr>
          <w:ilvl w:val="0"/>
          <w:numId w:val="137"/>
        </w:numPr>
        <w:spacing w:after="0" w:line="240" w:lineRule="auto"/>
        <w:ind w:hanging="315"/>
        <w:contextualSpacing w:val="0"/>
        <w:jc w:val="both"/>
        <w:rPr>
          <w:rFonts w:ascii="Verdana" w:eastAsia="Arial" w:hAnsi="Verdana"/>
          <w:sz w:val="24"/>
          <w:szCs w:val="24"/>
        </w:rPr>
      </w:pPr>
      <w:r w:rsidRPr="001928B9">
        <w:rPr>
          <w:rFonts w:ascii="Verdana" w:eastAsia="Arial" w:hAnsi="Verdana"/>
          <w:sz w:val="24"/>
          <w:szCs w:val="24"/>
        </w:rPr>
        <w:t xml:space="preserve">Memoria Histórica de los Consejos Comunitarios de Barú: Las comunidades afrodescendientes de Barú, Ararca, Santa Ana y Pasacaballos, pueblos pertenecientes político-administrativamente a Cartagena de Indias, no han sufrido procesos de violencia sistemática relacionados con el conflicto armado colombiano, pero por encontrarse en territorios sobre los que existen intereses turísticos, comerciales e industriales, han venido siendo desplazados por estas dinámicas que afectan sus maneras de habitar el territorio y sus prácticas culturales. </w:t>
      </w:r>
    </w:p>
    <w:p w:rsidR="00C310DF" w:rsidRPr="001928B9" w:rsidRDefault="00C310DF" w:rsidP="00582BDE">
      <w:pPr>
        <w:pStyle w:val="Prrafodelista"/>
        <w:numPr>
          <w:ilvl w:val="0"/>
          <w:numId w:val="137"/>
        </w:numPr>
        <w:spacing w:after="0" w:line="240" w:lineRule="auto"/>
        <w:ind w:hanging="315"/>
        <w:contextualSpacing w:val="0"/>
        <w:jc w:val="both"/>
        <w:rPr>
          <w:rFonts w:ascii="Verdana" w:eastAsia="Arial" w:hAnsi="Verdana"/>
          <w:sz w:val="24"/>
          <w:szCs w:val="24"/>
        </w:rPr>
      </w:pPr>
      <w:r w:rsidRPr="001928B9">
        <w:rPr>
          <w:rFonts w:ascii="Verdana" w:eastAsia="Arial" w:hAnsi="Verdana"/>
          <w:sz w:val="24"/>
          <w:szCs w:val="24"/>
        </w:rPr>
        <w:t xml:space="preserve">Memoria Histórica de la Kumpania Rrom de Sabanalarga: adelantar un proceso de reconstrucción de memoria histórica de la organización y resistencia del pueblo Rrom de Sabanalarga con énfasis en las afectaciones al sistema jurídico propio (Kriss Romaní). </w:t>
      </w:r>
    </w:p>
    <w:p w:rsidR="00C310DF" w:rsidRPr="001928B9" w:rsidRDefault="00C310DF" w:rsidP="00582BDE">
      <w:pPr>
        <w:pStyle w:val="Prrafodelista"/>
        <w:numPr>
          <w:ilvl w:val="0"/>
          <w:numId w:val="137"/>
        </w:numPr>
        <w:spacing w:after="0" w:line="240" w:lineRule="auto"/>
        <w:ind w:hanging="315"/>
        <w:contextualSpacing w:val="0"/>
        <w:jc w:val="both"/>
        <w:rPr>
          <w:rFonts w:ascii="Verdana" w:eastAsia="Arial" w:hAnsi="Verdana"/>
          <w:sz w:val="24"/>
          <w:szCs w:val="24"/>
        </w:rPr>
      </w:pPr>
      <w:r w:rsidRPr="001928B9">
        <w:rPr>
          <w:rFonts w:ascii="Verdana" w:eastAsia="Arial" w:hAnsi="Verdana"/>
          <w:sz w:val="24"/>
          <w:szCs w:val="24"/>
        </w:rPr>
        <w:t>Diálogo de Mayores: Reconstrucción de memoria histórica enfocada en la afectación directa del conflicto armado colombiano sobre la población mayor (adultos mayores) a través del reconocimiento de las experiencias de líderes y lideresas víctimas, pertenecientes a este grupo poblacional.</w:t>
      </w:r>
    </w:p>
    <w:p w:rsidR="00C310DF" w:rsidRPr="001928B9" w:rsidRDefault="00C310DF" w:rsidP="00582BDE">
      <w:pPr>
        <w:pStyle w:val="Prrafodelista"/>
        <w:numPr>
          <w:ilvl w:val="0"/>
          <w:numId w:val="137"/>
        </w:numPr>
        <w:spacing w:after="0" w:line="240" w:lineRule="auto"/>
        <w:ind w:hanging="315"/>
        <w:contextualSpacing w:val="0"/>
        <w:jc w:val="both"/>
        <w:rPr>
          <w:rFonts w:ascii="Verdana" w:eastAsia="Arial" w:hAnsi="Verdana"/>
          <w:sz w:val="24"/>
          <w:szCs w:val="24"/>
        </w:rPr>
      </w:pPr>
      <w:r w:rsidRPr="001928B9">
        <w:rPr>
          <w:rFonts w:ascii="Verdana" w:hAnsi="Verdana" w:cs="Arial"/>
          <w:bCs/>
          <w:iCs/>
          <w:sz w:val="24"/>
          <w:szCs w:val="24"/>
        </w:rPr>
        <w:t>Asociación de Familiares de Víctimas de la masacre de Trujillo – AFAVIT: Reconocimiento del acervo documental AFAVIT</w:t>
      </w:r>
      <w:r w:rsidRPr="001928B9">
        <w:rPr>
          <w:rFonts w:ascii="Verdana" w:hAnsi="Verdana"/>
          <w:bCs/>
          <w:sz w:val="24"/>
          <w:szCs w:val="24"/>
        </w:rPr>
        <w:t xml:space="preserve">, </w:t>
      </w:r>
      <w:r w:rsidRPr="001928B9">
        <w:rPr>
          <w:rFonts w:ascii="Verdana" w:hAnsi="Verdana" w:cs="Arial"/>
          <w:bCs/>
          <w:iCs/>
          <w:sz w:val="24"/>
          <w:szCs w:val="24"/>
        </w:rPr>
        <w:t xml:space="preserve">diagnóstico y propuesta técnica encaminada a brindar el apoyo y asistencia técnica para la organización de la documentación, con el propósito de que haga parte del archivo de DDHH del CNMH. Se realizaron actividades dentro del proceso de </w:t>
      </w:r>
      <w:r w:rsidRPr="001928B9">
        <w:rPr>
          <w:rFonts w:ascii="Verdana" w:hAnsi="Verdana" w:cs="Arial"/>
          <w:bCs/>
          <w:iCs/>
          <w:sz w:val="24"/>
          <w:szCs w:val="24"/>
        </w:rPr>
        <w:lastRenderedPageBreak/>
        <w:t>organización de la documentación en soporte digital y labores de conservación del ejemplar original del libro “Padre Tiberio Vive Memorias de un Mártir”.</w:t>
      </w:r>
    </w:p>
    <w:p w:rsidR="00C310DF" w:rsidRPr="001928B9" w:rsidRDefault="00C310DF" w:rsidP="00582BDE">
      <w:pPr>
        <w:pStyle w:val="Prrafodelista"/>
        <w:numPr>
          <w:ilvl w:val="0"/>
          <w:numId w:val="137"/>
        </w:numPr>
        <w:spacing w:after="0" w:line="240" w:lineRule="auto"/>
        <w:ind w:hanging="315"/>
        <w:contextualSpacing w:val="0"/>
        <w:jc w:val="both"/>
        <w:rPr>
          <w:rFonts w:ascii="Verdana" w:hAnsi="Verdana" w:cs="Arial"/>
          <w:bCs/>
          <w:iCs/>
          <w:sz w:val="24"/>
          <w:szCs w:val="24"/>
        </w:rPr>
      </w:pPr>
      <w:r w:rsidRPr="001928B9">
        <w:rPr>
          <w:rFonts w:ascii="Verdana" w:hAnsi="Verdana" w:cs="Arial"/>
          <w:bCs/>
          <w:iCs/>
          <w:sz w:val="24"/>
          <w:szCs w:val="24"/>
        </w:rPr>
        <w:t xml:space="preserve">Corporación para el Fomento de la Investigación y el Desarrollo Comunitario Museo del Caquetá: </w:t>
      </w:r>
      <w:r w:rsidRPr="001928B9">
        <w:rPr>
          <w:rFonts w:ascii="Verdana" w:hAnsi="Verdana" w:cs="Arial"/>
          <w:bCs/>
          <w:sz w:val="24"/>
          <w:szCs w:val="24"/>
        </w:rPr>
        <w:t>se desarrollaron procedimientos para la organización y recuperación física de la documentación de esta entidad en torno al surgimiento, desarrollo y desmovilización del Movimiento 19 de Abril con una trazabilidad cronológica. Una copia de la información se custodia en el Archivo de DDHH del CNMH.</w:t>
      </w:r>
    </w:p>
    <w:p w:rsidR="00C310DF" w:rsidRPr="001928B9" w:rsidRDefault="00C310DF" w:rsidP="00582BDE">
      <w:pPr>
        <w:pStyle w:val="Prrafodelista"/>
        <w:numPr>
          <w:ilvl w:val="0"/>
          <w:numId w:val="137"/>
        </w:numPr>
        <w:spacing w:after="0" w:line="240" w:lineRule="auto"/>
        <w:ind w:hanging="315"/>
        <w:contextualSpacing w:val="0"/>
        <w:jc w:val="both"/>
        <w:rPr>
          <w:rFonts w:ascii="Verdana" w:hAnsi="Verdana" w:cs="Arial"/>
          <w:bCs/>
          <w:iCs/>
          <w:sz w:val="24"/>
          <w:szCs w:val="24"/>
        </w:rPr>
      </w:pPr>
      <w:r w:rsidRPr="001928B9">
        <w:rPr>
          <w:rFonts w:ascii="Verdana" w:hAnsi="Verdana" w:cs="Arial"/>
          <w:bCs/>
          <w:sz w:val="24"/>
          <w:szCs w:val="24"/>
        </w:rPr>
        <w:t>Líder Campesino de ANUC Magdalena Esteban Ruíz: diagnóstico y levantamiento del inventario preliminar de la documentación compilada por el líder campesino, con el fin de evaluar las características de su contenido y sus necesidades de intervención. Se llegó a acuerdo con la tenedora de este archivo, para que sea incluido en los procesos de acopio de la Dirección de Archivo de los DDHH.</w:t>
      </w:r>
    </w:p>
    <w:p w:rsidR="00C310DF" w:rsidRPr="001928B9" w:rsidRDefault="00C310DF" w:rsidP="00582BDE">
      <w:pPr>
        <w:pStyle w:val="Prrafodelista"/>
        <w:numPr>
          <w:ilvl w:val="0"/>
          <w:numId w:val="137"/>
        </w:numPr>
        <w:spacing w:after="0" w:line="240" w:lineRule="auto"/>
        <w:ind w:hanging="315"/>
        <w:contextualSpacing w:val="0"/>
        <w:jc w:val="both"/>
        <w:rPr>
          <w:rFonts w:ascii="Verdana" w:hAnsi="Verdana" w:cs="Arial"/>
          <w:bCs/>
          <w:iCs/>
          <w:sz w:val="24"/>
          <w:szCs w:val="24"/>
        </w:rPr>
      </w:pPr>
      <w:r w:rsidRPr="001928B9">
        <w:rPr>
          <w:rFonts w:ascii="Verdana" w:hAnsi="Verdana" w:cs="Arial"/>
          <w:bCs/>
          <w:sz w:val="24"/>
          <w:szCs w:val="24"/>
        </w:rPr>
        <w:t>Comisión Ministerio Publico – Huila: Capacitación a los funcionarios públicos de la región, en respuesta a la solicitud efectuada por la Comisión del Ministerio Público, conformada por la Defensoría del Pueblo y Procuraduría en el Departamento del Huila.</w:t>
      </w:r>
    </w:p>
    <w:p w:rsidR="00C310DF" w:rsidRPr="001928B9" w:rsidRDefault="00C310DF" w:rsidP="00582BDE">
      <w:pPr>
        <w:pStyle w:val="Prrafodelista"/>
        <w:numPr>
          <w:ilvl w:val="0"/>
          <w:numId w:val="137"/>
        </w:numPr>
        <w:spacing w:after="0" w:line="240" w:lineRule="auto"/>
        <w:ind w:hanging="315"/>
        <w:contextualSpacing w:val="0"/>
        <w:jc w:val="both"/>
        <w:rPr>
          <w:rFonts w:ascii="Verdana" w:hAnsi="Verdana" w:cs="Arial"/>
          <w:bCs/>
          <w:iCs/>
          <w:sz w:val="24"/>
          <w:szCs w:val="24"/>
        </w:rPr>
      </w:pPr>
      <w:r w:rsidRPr="001928B9">
        <w:rPr>
          <w:rFonts w:ascii="Verdana" w:hAnsi="Verdana" w:cs="Arial"/>
          <w:sz w:val="24"/>
          <w:szCs w:val="24"/>
        </w:rPr>
        <w:t xml:space="preserve">Caso Emblemático de Buenaventura: </w:t>
      </w:r>
      <w:r w:rsidRPr="001928B9">
        <w:rPr>
          <w:rFonts w:ascii="Verdana" w:hAnsi="Verdana" w:cs="Arial"/>
          <w:bCs/>
          <w:sz w:val="24"/>
          <w:szCs w:val="24"/>
        </w:rPr>
        <w:t>Apoyo a la construcción del informe del caso Emblemático de Buenaventura, a través del desarrollo de un programa pedagógico en relación con los archivos de DDHH, así como con el acopio digital de la documentación custodiada por el líder Temístocles Machado, y el acuerdo para el traslado de la documentación del Líder Manuel Bedoya.</w:t>
      </w:r>
    </w:p>
    <w:p w:rsidR="00C310DF" w:rsidRPr="001928B9" w:rsidRDefault="00C310DF" w:rsidP="00582BDE">
      <w:pPr>
        <w:pStyle w:val="Prrafodelista"/>
        <w:numPr>
          <w:ilvl w:val="0"/>
          <w:numId w:val="137"/>
        </w:numPr>
        <w:spacing w:after="0" w:line="240" w:lineRule="auto"/>
        <w:ind w:hanging="315"/>
        <w:contextualSpacing w:val="0"/>
        <w:jc w:val="both"/>
        <w:rPr>
          <w:rFonts w:ascii="Verdana" w:hAnsi="Verdana" w:cs="Arial"/>
          <w:bCs/>
          <w:iCs/>
          <w:sz w:val="24"/>
          <w:szCs w:val="24"/>
        </w:rPr>
      </w:pPr>
      <w:r w:rsidRPr="001928B9">
        <w:rPr>
          <w:rFonts w:ascii="Verdana" w:hAnsi="Verdana" w:cs="Arial"/>
          <w:sz w:val="24"/>
          <w:szCs w:val="24"/>
        </w:rPr>
        <w:t xml:space="preserve">Archivo - Familia Fabiola Lalinde: </w:t>
      </w:r>
      <w:r w:rsidRPr="001928B9">
        <w:rPr>
          <w:rFonts w:ascii="Verdana" w:hAnsi="Verdana" w:cs="Arial"/>
          <w:bCs/>
          <w:sz w:val="24"/>
          <w:szCs w:val="24"/>
        </w:rPr>
        <w:t>Acompañamiento y asistencia técnica a la organización del archivo de Familia Fabiola Lalinde, en el marco del proceso de restablecimiento de derechos (Victimas de desaparición forzada), cuyo proceso continuó posteriormente con el acopio de este archivo.</w:t>
      </w:r>
    </w:p>
    <w:p w:rsidR="00C310DF" w:rsidRPr="00BC7F3F" w:rsidRDefault="00C310DF" w:rsidP="00C310DF">
      <w:pPr>
        <w:spacing w:after="0" w:line="240" w:lineRule="auto"/>
        <w:ind w:left="21"/>
        <w:jc w:val="both"/>
        <w:rPr>
          <w:rFonts w:ascii="Verdana" w:hAnsi="Verdana" w:cs="Arial"/>
          <w:bCs/>
          <w:iCs/>
          <w:sz w:val="24"/>
          <w:szCs w:val="24"/>
        </w:rPr>
      </w:pPr>
    </w:p>
    <w:p w:rsidR="00C310DF" w:rsidRPr="001928B9" w:rsidRDefault="00C310DF" w:rsidP="001928B9">
      <w:pPr>
        <w:pStyle w:val="Subttulo"/>
        <w:numPr>
          <w:ilvl w:val="1"/>
          <w:numId w:val="60"/>
        </w:numPr>
        <w:ind w:left="709" w:hanging="709"/>
        <w:outlineLvl w:val="2"/>
        <w:rPr>
          <w:rFonts w:ascii="Verdana" w:eastAsia="Arial" w:hAnsi="Verdana"/>
          <w:b/>
          <w:color w:val="4F81BD" w:themeColor="accent1"/>
          <w:sz w:val="24"/>
          <w:szCs w:val="24"/>
          <w:lang w:val="es-CO"/>
        </w:rPr>
      </w:pPr>
      <w:bookmarkStart w:id="102" w:name="_Toc411868577"/>
      <w:r w:rsidRPr="001928B9">
        <w:rPr>
          <w:rFonts w:ascii="Verdana" w:eastAsia="Arial" w:hAnsi="Verdana"/>
          <w:b/>
          <w:color w:val="4F81BD" w:themeColor="accent1"/>
          <w:sz w:val="24"/>
          <w:szCs w:val="24"/>
          <w:lang w:val="es-CO"/>
        </w:rPr>
        <w:t>Estrategia de participación de las víctimas en las acciones del CNMH</w:t>
      </w:r>
      <w:bookmarkEnd w:id="102"/>
      <w:r w:rsidRPr="001928B9">
        <w:rPr>
          <w:rFonts w:ascii="Verdana" w:eastAsia="Arial" w:hAnsi="Verdana"/>
          <w:b/>
          <w:color w:val="4F81BD" w:themeColor="accent1"/>
          <w:sz w:val="24"/>
          <w:szCs w:val="24"/>
          <w:lang w:val="es-CO"/>
        </w:rPr>
        <w:t xml:space="preserve"> </w:t>
      </w:r>
    </w:p>
    <w:p w:rsidR="00C310DF" w:rsidRPr="00BC7F3F" w:rsidRDefault="00C310DF" w:rsidP="00C310DF">
      <w:pPr>
        <w:spacing w:after="0" w:line="240" w:lineRule="auto"/>
        <w:jc w:val="both"/>
        <w:rPr>
          <w:rFonts w:ascii="Verdana" w:eastAsia="Arial" w:hAnsi="Verdana"/>
          <w:sz w:val="24"/>
          <w:szCs w:val="24"/>
        </w:rPr>
      </w:pPr>
      <w:r w:rsidRPr="00BC7F3F">
        <w:rPr>
          <w:rFonts w:ascii="Verdana" w:eastAsia="Arial" w:hAnsi="Verdana"/>
          <w:sz w:val="24"/>
          <w:szCs w:val="24"/>
        </w:rPr>
        <w:t xml:space="preserve">Durante 2014 se llevó a cabo el diseño y validación de una estrategia de participación de víctimas con el objetivo de propiciar y garantizar el derecho a la participación de las víctimas y las organizaciones de víctimas en el desarrollo de las funciones misionales del CNMH. </w:t>
      </w:r>
    </w:p>
    <w:p w:rsidR="00C310DF" w:rsidRPr="00BC7F3F" w:rsidRDefault="00C310DF" w:rsidP="00C310DF">
      <w:pPr>
        <w:spacing w:after="0" w:line="240" w:lineRule="auto"/>
        <w:jc w:val="both"/>
        <w:rPr>
          <w:rFonts w:ascii="Verdana" w:eastAsia="Arial" w:hAnsi="Verdana"/>
          <w:sz w:val="24"/>
          <w:szCs w:val="24"/>
        </w:rPr>
      </w:pPr>
    </w:p>
    <w:p w:rsidR="00C310DF" w:rsidRPr="00BC7F3F" w:rsidRDefault="00C310DF" w:rsidP="00C310DF">
      <w:pPr>
        <w:spacing w:after="0" w:line="240" w:lineRule="auto"/>
        <w:jc w:val="both"/>
        <w:rPr>
          <w:rFonts w:ascii="Verdana" w:eastAsia="Arial" w:hAnsi="Verdana"/>
          <w:sz w:val="24"/>
          <w:szCs w:val="24"/>
        </w:rPr>
      </w:pPr>
      <w:r w:rsidRPr="00BC7F3F">
        <w:rPr>
          <w:rFonts w:ascii="Verdana" w:eastAsia="Arial" w:hAnsi="Verdana"/>
          <w:sz w:val="24"/>
          <w:szCs w:val="24"/>
        </w:rPr>
        <w:lastRenderedPageBreak/>
        <w:t xml:space="preserve">También se elaboró una cartilla pedagógica e informativa dirigida a las víctimas con los contenidos de la estrategia de participación de las víctimas en las acciones del CNMH. Sus contenidos fueron validados por las direcciones y grupos de trabajo del CNMH, así como por dos grupos focales de víctimas en Bogotá y el Carmen de Bolívar. </w:t>
      </w:r>
    </w:p>
    <w:p w:rsidR="00C310DF" w:rsidRPr="00BC7F3F" w:rsidRDefault="00C310DF" w:rsidP="00C310DF">
      <w:pPr>
        <w:spacing w:after="0" w:line="240" w:lineRule="auto"/>
        <w:jc w:val="both"/>
        <w:rPr>
          <w:rFonts w:ascii="Verdana" w:eastAsia="Arial" w:hAnsi="Verdana"/>
          <w:sz w:val="24"/>
          <w:szCs w:val="24"/>
        </w:rPr>
      </w:pPr>
    </w:p>
    <w:p w:rsidR="00C310DF" w:rsidRPr="00BC7F3F" w:rsidRDefault="00C310DF" w:rsidP="00C310DF">
      <w:pPr>
        <w:spacing w:after="0" w:line="240" w:lineRule="auto"/>
        <w:jc w:val="both"/>
        <w:rPr>
          <w:rFonts w:ascii="Verdana" w:eastAsia="Arial" w:hAnsi="Verdana"/>
          <w:sz w:val="24"/>
          <w:szCs w:val="24"/>
        </w:rPr>
      </w:pPr>
      <w:r w:rsidRPr="00BC7F3F">
        <w:rPr>
          <w:rFonts w:ascii="Verdana" w:eastAsia="Arial" w:hAnsi="Verdana"/>
          <w:sz w:val="24"/>
          <w:szCs w:val="24"/>
        </w:rPr>
        <w:t>Se destacan las siguientes actividades desarrolladas:</w:t>
      </w:r>
    </w:p>
    <w:p w:rsidR="00C310DF" w:rsidRPr="00BC7F3F" w:rsidRDefault="00C310DF" w:rsidP="001928B9">
      <w:pPr>
        <w:pStyle w:val="Prrafodelista"/>
        <w:numPr>
          <w:ilvl w:val="0"/>
          <w:numId w:val="65"/>
        </w:numPr>
        <w:spacing w:after="0" w:line="240" w:lineRule="auto"/>
        <w:ind w:left="709" w:hanging="357"/>
        <w:contextualSpacing w:val="0"/>
        <w:jc w:val="both"/>
        <w:rPr>
          <w:rFonts w:ascii="Verdana" w:eastAsia="Arial" w:hAnsi="Verdana"/>
          <w:sz w:val="24"/>
          <w:szCs w:val="24"/>
        </w:rPr>
      </w:pPr>
      <w:r w:rsidRPr="00BC7F3F">
        <w:rPr>
          <w:rFonts w:ascii="Verdana" w:eastAsia="Arial" w:hAnsi="Verdana"/>
          <w:sz w:val="24"/>
          <w:szCs w:val="24"/>
        </w:rPr>
        <w:t>Se realizaron seis cortos documentales con procesos e iniciativas de memoria de las víctimas con el fin de exponer no solo los diferentes procesos desarrollados por las víctimas y sus organizaciones, sino también presentar  qué es para ellos memoria y por qué incorporar este componente en su quehacer.</w:t>
      </w:r>
    </w:p>
    <w:p w:rsidR="00C310DF" w:rsidRPr="00BC7F3F" w:rsidRDefault="00C310DF" w:rsidP="001928B9">
      <w:pPr>
        <w:pStyle w:val="Prrafodelista"/>
        <w:numPr>
          <w:ilvl w:val="0"/>
          <w:numId w:val="65"/>
        </w:numPr>
        <w:spacing w:after="0" w:line="240" w:lineRule="auto"/>
        <w:ind w:left="709" w:hanging="357"/>
        <w:contextualSpacing w:val="0"/>
        <w:jc w:val="both"/>
        <w:rPr>
          <w:rFonts w:ascii="Verdana" w:eastAsia="Arial" w:hAnsi="Verdana"/>
          <w:sz w:val="24"/>
          <w:szCs w:val="24"/>
        </w:rPr>
      </w:pPr>
      <w:r w:rsidRPr="00BC7F3F">
        <w:rPr>
          <w:rFonts w:ascii="Verdana" w:eastAsia="Arial" w:hAnsi="Verdana"/>
          <w:sz w:val="24"/>
          <w:szCs w:val="24"/>
        </w:rPr>
        <w:t>Presentación del CNMH y socialización de su trabajo como plataforma de visibilización de la voz de las víctimas ante las Mesas de Participación a nivel nacional, departamental y municipal.</w:t>
      </w:r>
    </w:p>
    <w:p w:rsidR="00C310DF" w:rsidRPr="00BC7F3F" w:rsidRDefault="00C310DF" w:rsidP="001928B9">
      <w:pPr>
        <w:pStyle w:val="Prrafodelista"/>
        <w:numPr>
          <w:ilvl w:val="0"/>
          <w:numId w:val="65"/>
        </w:numPr>
        <w:spacing w:after="0" w:line="240" w:lineRule="auto"/>
        <w:ind w:left="709" w:hanging="357"/>
        <w:contextualSpacing w:val="0"/>
        <w:jc w:val="both"/>
        <w:rPr>
          <w:rFonts w:ascii="Verdana" w:eastAsia="Arial" w:hAnsi="Verdana"/>
          <w:sz w:val="24"/>
          <w:szCs w:val="24"/>
        </w:rPr>
      </w:pPr>
      <w:r w:rsidRPr="00BC7F3F">
        <w:rPr>
          <w:rFonts w:ascii="Verdana" w:eastAsia="Arial" w:hAnsi="Verdana"/>
          <w:sz w:val="24"/>
          <w:szCs w:val="24"/>
        </w:rPr>
        <w:t>Acompañamiento a las organizaciones de víctimas durante sus solicitudes de apoyo al CNMH para la realización de conmemoraciones, garantizado su participación en todas las fases del proceso. Se realizó el acompañamiento técnico, logístico y presupuestal a 7 conmemoraciones incluyendo la Semana contra la Desaparición forzada y 9 de abril.</w:t>
      </w:r>
    </w:p>
    <w:p w:rsidR="00C310DF" w:rsidRPr="00BC7F3F" w:rsidRDefault="00C310DF" w:rsidP="00C310DF">
      <w:pPr>
        <w:spacing w:after="0" w:line="240" w:lineRule="auto"/>
        <w:jc w:val="both"/>
        <w:rPr>
          <w:rFonts w:ascii="Verdana" w:eastAsia="Arial" w:hAnsi="Verdana"/>
          <w:sz w:val="24"/>
          <w:szCs w:val="24"/>
        </w:rPr>
      </w:pPr>
    </w:p>
    <w:p w:rsidR="00C310DF" w:rsidRPr="001928B9" w:rsidRDefault="00C310DF" w:rsidP="001928B9">
      <w:pPr>
        <w:pStyle w:val="Subttulo"/>
        <w:numPr>
          <w:ilvl w:val="1"/>
          <w:numId w:val="60"/>
        </w:numPr>
        <w:ind w:left="709" w:hanging="709"/>
        <w:outlineLvl w:val="2"/>
        <w:rPr>
          <w:rFonts w:ascii="Verdana" w:eastAsia="Arial" w:hAnsi="Verdana"/>
          <w:b/>
          <w:color w:val="4F81BD" w:themeColor="accent1"/>
          <w:sz w:val="24"/>
          <w:szCs w:val="24"/>
          <w:lang w:val="es-CO"/>
        </w:rPr>
      </w:pPr>
      <w:bookmarkStart w:id="103" w:name="_Toc411868578"/>
      <w:r w:rsidRPr="001928B9">
        <w:rPr>
          <w:rFonts w:ascii="Verdana" w:eastAsia="Arial" w:hAnsi="Verdana"/>
          <w:b/>
          <w:color w:val="4F81BD" w:themeColor="accent1"/>
          <w:sz w:val="24"/>
          <w:szCs w:val="24"/>
          <w:lang w:val="es-CO"/>
        </w:rPr>
        <w:t>Archivo de Derechos Humanos y Memoria Histórica y Centro de Documentación</w:t>
      </w:r>
      <w:bookmarkEnd w:id="103"/>
      <w:r w:rsidRPr="001928B9">
        <w:rPr>
          <w:rFonts w:ascii="Verdana" w:eastAsia="Arial" w:hAnsi="Verdana"/>
          <w:b/>
          <w:color w:val="4F81BD" w:themeColor="accent1"/>
          <w:sz w:val="24"/>
          <w:szCs w:val="24"/>
          <w:lang w:val="es-CO"/>
        </w:rPr>
        <w:t xml:space="preserve"> </w:t>
      </w:r>
    </w:p>
    <w:p w:rsidR="00C310DF" w:rsidRPr="00BC7F3F" w:rsidRDefault="00C310DF" w:rsidP="00C310DF">
      <w:pPr>
        <w:spacing w:after="0" w:line="240" w:lineRule="auto"/>
        <w:jc w:val="both"/>
        <w:rPr>
          <w:rFonts w:ascii="Verdana" w:hAnsi="Verdana" w:cs="Arial"/>
          <w:sz w:val="24"/>
          <w:szCs w:val="24"/>
        </w:rPr>
      </w:pPr>
      <w:r w:rsidRPr="00BC7F3F">
        <w:rPr>
          <w:rFonts w:ascii="Verdana" w:hAnsi="Verdana" w:cs="Arial"/>
          <w:sz w:val="24"/>
          <w:szCs w:val="24"/>
        </w:rPr>
        <w:t>Durante 2014 se realizó el acopio de 22.547 documentos de archivo sobre graves violaciones a los Derechos Humanos e infracciones al DIH, representadas en veinticuatro (24) acopios de DDHH y MH procedentes de 20</w:t>
      </w:r>
      <w:r w:rsidRPr="00BC7F3F">
        <w:rPr>
          <w:rStyle w:val="Refdenotaalpie"/>
          <w:rFonts w:ascii="Verdana" w:hAnsi="Verdana" w:cs="Arial"/>
          <w:sz w:val="24"/>
          <w:szCs w:val="24"/>
        </w:rPr>
        <w:footnoteReference w:id="12"/>
      </w:r>
      <w:r w:rsidRPr="00BC7F3F">
        <w:rPr>
          <w:rFonts w:ascii="Verdana" w:hAnsi="Verdana" w:cs="Arial"/>
          <w:sz w:val="24"/>
          <w:szCs w:val="24"/>
        </w:rPr>
        <w:t xml:space="preserve"> instituciones, organizaciones y personas, los cuales se describen a continuación: </w:t>
      </w:r>
    </w:p>
    <w:p w:rsidR="00C310DF" w:rsidRPr="00BC7F3F" w:rsidRDefault="00C310DF" w:rsidP="00C310DF">
      <w:pPr>
        <w:spacing w:after="0" w:line="240" w:lineRule="auto"/>
        <w:jc w:val="center"/>
        <w:rPr>
          <w:rFonts w:ascii="Verdana" w:hAnsi="Verdana" w:cs="Arial"/>
          <w:b/>
          <w:bCs/>
          <w:sz w:val="24"/>
          <w:szCs w:val="24"/>
          <w:shd w:val="clear" w:color="auto" w:fill="FFFFFF"/>
        </w:rPr>
      </w:pPr>
    </w:p>
    <w:p w:rsidR="00C310DF" w:rsidRDefault="00C310DF" w:rsidP="001928B9">
      <w:pPr>
        <w:spacing w:after="0" w:line="240" w:lineRule="auto"/>
        <w:rPr>
          <w:rFonts w:ascii="Verdana" w:hAnsi="Verdana" w:cs="Arial"/>
          <w:bCs/>
          <w:color w:val="4F81BD" w:themeColor="accent1"/>
          <w:sz w:val="24"/>
          <w:szCs w:val="24"/>
          <w:shd w:val="clear" w:color="auto" w:fill="FFFFFF"/>
        </w:rPr>
      </w:pPr>
      <w:r w:rsidRPr="001928B9">
        <w:rPr>
          <w:rFonts w:ascii="Verdana" w:hAnsi="Verdana" w:cs="Arial"/>
          <w:bCs/>
          <w:color w:val="4F81BD" w:themeColor="accent1"/>
          <w:sz w:val="24"/>
          <w:szCs w:val="24"/>
          <w:shd w:val="clear" w:color="auto" w:fill="FFFFFF"/>
        </w:rPr>
        <w:t>Acopio de Archivos y/o colecciones de DDHH y MH. 2014</w:t>
      </w:r>
    </w:p>
    <w:p w:rsidR="001928B9" w:rsidRPr="001928B9" w:rsidRDefault="001928B9" w:rsidP="001928B9">
      <w:pPr>
        <w:spacing w:after="0" w:line="240" w:lineRule="auto"/>
        <w:rPr>
          <w:rFonts w:ascii="Verdana" w:hAnsi="Verdana" w:cs="Arial"/>
          <w:bCs/>
          <w:color w:val="4F81BD" w:themeColor="accent1"/>
          <w:sz w:val="24"/>
          <w:szCs w:val="24"/>
          <w:shd w:val="clear" w:color="auto" w:fill="FFFFFF"/>
        </w:rPr>
      </w:pPr>
    </w:p>
    <w:tbl>
      <w:tblPr>
        <w:tblStyle w:val="Tabladecuadrcula4-nfasis11"/>
        <w:tblW w:w="0" w:type="auto"/>
        <w:jc w:val="center"/>
        <w:tblLook w:val="04A0"/>
      </w:tblPr>
      <w:tblGrid>
        <w:gridCol w:w="547"/>
        <w:gridCol w:w="7623"/>
        <w:gridCol w:w="1862"/>
      </w:tblGrid>
      <w:tr w:rsidR="00C310DF" w:rsidRPr="00BC7F3F" w:rsidTr="00C310DF">
        <w:trPr>
          <w:cnfStyle w:val="100000000000"/>
          <w:tblHeader/>
          <w:jc w:val="center"/>
        </w:trPr>
        <w:tc>
          <w:tcPr>
            <w:cnfStyle w:val="001000000000"/>
            <w:tcW w:w="425" w:type="dxa"/>
            <w:vAlign w:val="center"/>
          </w:tcPr>
          <w:p w:rsidR="00C310DF" w:rsidRPr="00BC7F3F" w:rsidRDefault="00C310DF" w:rsidP="00C310DF">
            <w:pPr>
              <w:jc w:val="center"/>
              <w:rPr>
                <w:rFonts w:ascii="Verdana" w:hAnsi="Verdana"/>
                <w:sz w:val="24"/>
                <w:szCs w:val="24"/>
                <w:lang w:val="es-CO"/>
              </w:rPr>
            </w:pPr>
            <w:r w:rsidRPr="00BC7F3F">
              <w:rPr>
                <w:rFonts w:ascii="Verdana" w:hAnsi="Verdana"/>
                <w:sz w:val="24"/>
                <w:szCs w:val="24"/>
                <w:lang w:val="es-CO"/>
              </w:rPr>
              <w:t>ID</w:t>
            </w:r>
          </w:p>
        </w:tc>
        <w:tc>
          <w:tcPr>
            <w:tcW w:w="7623" w:type="dxa"/>
            <w:vAlign w:val="center"/>
          </w:tcPr>
          <w:p w:rsidR="00C310DF" w:rsidRPr="00BC7F3F" w:rsidRDefault="00C310DF" w:rsidP="00C310DF">
            <w:pPr>
              <w:jc w:val="center"/>
              <w:cnfStyle w:val="100000000000"/>
              <w:rPr>
                <w:rFonts w:ascii="Verdana" w:hAnsi="Verdana"/>
                <w:sz w:val="24"/>
                <w:szCs w:val="24"/>
                <w:lang w:val="es-CO"/>
              </w:rPr>
            </w:pPr>
            <w:r w:rsidRPr="00BC7F3F">
              <w:rPr>
                <w:rFonts w:ascii="Verdana" w:hAnsi="Verdana"/>
                <w:sz w:val="24"/>
                <w:szCs w:val="24"/>
                <w:lang w:val="es-CO"/>
              </w:rPr>
              <w:t xml:space="preserve">Fondos o Colecciones </w:t>
            </w:r>
          </w:p>
        </w:tc>
        <w:tc>
          <w:tcPr>
            <w:tcW w:w="1191" w:type="dxa"/>
            <w:vAlign w:val="center"/>
          </w:tcPr>
          <w:p w:rsidR="00C310DF" w:rsidRPr="00BC7F3F" w:rsidRDefault="00C310DF" w:rsidP="001928B9">
            <w:pPr>
              <w:jc w:val="center"/>
              <w:cnfStyle w:val="100000000000"/>
              <w:rPr>
                <w:rFonts w:ascii="Verdana" w:hAnsi="Verdana"/>
                <w:sz w:val="24"/>
                <w:szCs w:val="24"/>
                <w:lang w:val="es-CO"/>
              </w:rPr>
            </w:pPr>
            <w:r w:rsidRPr="00BC7F3F">
              <w:rPr>
                <w:rFonts w:ascii="Verdana" w:hAnsi="Verdana"/>
                <w:sz w:val="24"/>
                <w:szCs w:val="24"/>
                <w:lang w:val="es-CO"/>
              </w:rPr>
              <w:t>Cantidad de documentos</w:t>
            </w:r>
          </w:p>
        </w:tc>
      </w:tr>
      <w:tr w:rsidR="00C310DF" w:rsidRPr="00BC7F3F" w:rsidTr="00C310DF">
        <w:trPr>
          <w:cnfStyle w:val="000000100000"/>
          <w:jc w:val="center"/>
        </w:trPr>
        <w:tc>
          <w:tcPr>
            <w:cnfStyle w:val="001000000000"/>
            <w:tcW w:w="425" w:type="dxa"/>
            <w:vAlign w:val="center"/>
          </w:tcPr>
          <w:p w:rsidR="00C310DF" w:rsidRPr="00BC7F3F" w:rsidRDefault="00C310DF" w:rsidP="00C310DF">
            <w:pPr>
              <w:jc w:val="center"/>
              <w:rPr>
                <w:rFonts w:ascii="Verdana" w:hAnsi="Verdana"/>
                <w:b w:val="0"/>
                <w:color w:val="000000"/>
                <w:sz w:val="24"/>
                <w:szCs w:val="24"/>
                <w:lang w:val="es-CO"/>
              </w:rPr>
            </w:pPr>
            <w:r w:rsidRPr="00BC7F3F">
              <w:rPr>
                <w:rFonts w:ascii="Verdana" w:hAnsi="Verdana"/>
                <w:b w:val="0"/>
                <w:color w:val="000000"/>
                <w:sz w:val="24"/>
                <w:szCs w:val="24"/>
                <w:lang w:val="es-CO"/>
              </w:rPr>
              <w:t>1</w:t>
            </w:r>
          </w:p>
        </w:tc>
        <w:tc>
          <w:tcPr>
            <w:tcW w:w="7623" w:type="dxa"/>
            <w:vAlign w:val="center"/>
          </w:tcPr>
          <w:p w:rsidR="00C310DF" w:rsidRPr="00BC7F3F" w:rsidRDefault="00C310DF" w:rsidP="00C310DF">
            <w:pPr>
              <w:cnfStyle w:val="000000100000"/>
              <w:rPr>
                <w:rFonts w:ascii="Verdana" w:hAnsi="Verdana"/>
                <w:color w:val="000000"/>
                <w:sz w:val="24"/>
                <w:szCs w:val="24"/>
                <w:lang w:val="es-CO"/>
              </w:rPr>
            </w:pPr>
            <w:r w:rsidRPr="00BC7F3F">
              <w:rPr>
                <w:rFonts w:ascii="Verdana" w:hAnsi="Verdana"/>
                <w:color w:val="000000"/>
                <w:sz w:val="24"/>
                <w:szCs w:val="24"/>
                <w:lang w:val="es-CO"/>
              </w:rPr>
              <w:t>Colección Itinerario de la Represión y la Violencia Institucionalizada – Centro de Investigaciones de Educación Popular CINEP</w:t>
            </w:r>
          </w:p>
        </w:tc>
        <w:tc>
          <w:tcPr>
            <w:tcW w:w="1191" w:type="dxa"/>
            <w:vAlign w:val="center"/>
          </w:tcPr>
          <w:p w:rsidR="00C310DF" w:rsidRPr="00BC7F3F" w:rsidRDefault="00C310DF" w:rsidP="001928B9">
            <w:pPr>
              <w:jc w:val="center"/>
              <w:cnfStyle w:val="000000100000"/>
              <w:rPr>
                <w:rFonts w:ascii="Verdana" w:hAnsi="Verdana"/>
                <w:color w:val="000000"/>
                <w:sz w:val="24"/>
                <w:szCs w:val="24"/>
                <w:lang w:val="es-CO"/>
              </w:rPr>
            </w:pPr>
            <w:r w:rsidRPr="00BC7F3F">
              <w:rPr>
                <w:rFonts w:ascii="Verdana" w:hAnsi="Verdana"/>
                <w:color w:val="000000"/>
                <w:sz w:val="24"/>
                <w:szCs w:val="24"/>
                <w:lang w:val="es-CO"/>
              </w:rPr>
              <w:t>76</w:t>
            </w:r>
          </w:p>
        </w:tc>
      </w:tr>
      <w:tr w:rsidR="00C310DF" w:rsidRPr="00BC7F3F" w:rsidTr="00C310DF">
        <w:trPr>
          <w:jc w:val="center"/>
        </w:trPr>
        <w:tc>
          <w:tcPr>
            <w:cnfStyle w:val="001000000000"/>
            <w:tcW w:w="425" w:type="dxa"/>
            <w:vAlign w:val="center"/>
          </w:tcPr>
          <w:p w:rsidR="00C310DF" w:rsidRPr="00BC7F3F" w:rsidRDefault="00C310DF" w:rsidP="00C310DF">
            <w:pPr>
              <w:jc w:val="center"/>
              <w:rPr>
                <w:rFonts w:ascii="Verdana" w:hAnsi="Verdana"/>
                <w:b w:val="0"/>
                <w:color w:val="000000"/>
                <w:sz w:val="24"/>
                <w:szCs w:val="24"/>
                <w:lang w:val="es-CO"/>
              </w:rPr>
            </w:pPr>
            <w:r w:rsidRPr="00BC7F3F">
              <w:rPr>
                <w:rFonts w:ascii="Verdana" w:hAnsi="Verdana"/>
                <w:b w:val="0"/>
                <w:color w:val="000000"/>
                <w:sz w:val="24"/>
                <w:szCs w:val="24"/>
                <w:lang w:val="es-CO"/>
              </w:rPr>
              <w:lastRenderedPageBreak/>
              <w:t>2</w:t>
            </w:r>
          </w:p>
        </w:tc>
        <w:tc>
          <w:tcPr>
            <w:tcW w:w="7623" w:type="dxa"/>
            <w:vAlign w:val="center"/>
          </w:tcPr>
          <w:p w:rsidR="00C310DF" w:rsidRPr="00BC7F3F" w:rsidRDefault="00C310DF" w:rsidP="00C310DF">
            <w:pPr>
              <w:cnfStyle w:val="000000000000"/>
              <w:rPr>
                <w:rFonts w:ascii="Verdana" w:hAnsi="Verdana"/>
                <w:color w:val="000000"/>
                <w:sz w:val="24"/>
                <w:szCs w:val="24"/>
                <w:lang w:val="es-CO"/>
              </w:rPr>
            </w:pPr>
            <w:r w:rsidRPr="00BC7F3F">
              <w:rPr>
                <w:rFonts w:ascii="Verdana" w:hAnsi="Verdana"/>
                <w:color w:val="000000"/>
                <w:sz w:val="24"/>
                <w:szCs w:val="24"/>
                <w:lang w:val="es-CO"/>
              </w:rPr>
              <w:t>Colección Justicia y Paz - Centro de Investigaciones de Educación Popular CINEP</w:t>
            </w:r>
          </w:p>
        </w:tc>
        <w:tc>
          <w:tcPr>
            <w:tcW w:w="1191" w:type="dxa"/>
            <w:vAlign w:val="center"/>
          </w:tcPr>
          <w:p w:rsidR="00C310DF" w:rsidRPr="00BC7F3F" w:rsidRDefault="00C310DF" w:rsidP="001928B9">
            <w:pPr>
              <w:jc w:val="center"/>
              <w:cnfStyle w:val="000000000000"/>
              <w:rPr>
                <w:rFonts w:ascii="Verdana" w:hAnsi="Verdana"/>
                <w:color w:val="000000"/>
                <w:sz w:val="24"/>
                <w:szCs w:val="24"/>
                <w:lang w:val="es-CO"/>
              </w:rPr>
            </w:pPr>
            <w:r w:rsidRPr="00BC7F3F">
              <w:rPr>
                <w:rFonts w:ascii="Verdana" w:hAnsi="Verdana"/>
                <w:color w:val="000000"/>
                <w:sz w:val="24"/>
                <w:szCs w:val="24"/>
                <w:lang w:val="es-CO"/>
              </w:rPr>
              <w:t>253</w:t>
            </w:r>
          </w:p>
        </w:tc>
      </w:tr>
      <w:tr w:rsidR="00C310DF" w:rsidRPr="00BC7F3F" w:rsidTr="00C310DF">
        <w:trPr>
          <w:cnfStyle w:val="000000100000"/>
          <w:jc w:val="center"/>
        </w:trPr>
        <w:tc>
          <w:tcPr>
            <w:cnfStyle w:val="001000000000"/>
            <w:tcW w:w="425" w:type="dxa"/>
            <w:vAlign w:val="center"/>
          </w:tcPr>
          <w:p w:rsidR="00C310DF" w:rsidRPr="00BC7F3F" w:rsidRDefault="00C310DF" w:rsidP="00C310DF">
            <w:pPr>
              <w:jc w:val="center"/>
              <w:rPr>
                <w:rFonts w:ascii="Verdana" w:hAnsi="Verdana"/>
                <w:b w:val="0"/>
                <w:color w:val="000000"/>
                <w:sz w:val="24"/>
                <w:szCs w:val="24"/>
                <w:lang w:val="es-CO"/>
              </w:rPr>
            </w:pPr>
            <w:r w:rsidRPr="00BC7F3F">
              <w:rPr>
                <w:rFonts w:ascii="Verdana" w:hAnsi="Verdana"/>
                <w:b w:val="0"/>
                <w:color w:val="000000"/>
                <w:sz w:val="24"/>
                <w:szCs w:val="24"/>
                <w:lang w:val="es-CO"/>
              </w:rPr>
              <w:t>3</w:t>
            </w:r>
          </w:p>
        </w:tc>
        <w:tc>
          <w:tcPr>
            <w:tcW w:w="7623" w:type="dxa"/>
            <w:vAlign w:val="center"/>
          </w:tcPr>
          <w:p w:rsidR="00C310DF" w:rsidRPr="00BC7F3F" w:rsidRDefault="00C310DF" w:rsidP="00C310DF">
            <w:pPr>
              <w:cnfStyle w:val="000000100000"/>
              <w:rPr>
                <w:rFonts w:ascii="Verdana" w:hAnsi="Verdana"/>
                <w:color w:val="000000"/>
                <w:sz w:val="24"/>
                <w:szCs w:val="24"/>
                <w:lang w:val="es-CO"/>
              </w:rPr>
            </w:pPr>
            <w:r w:rsidRPr="00BC7F3F">
              <w:rPr>
                <w:rFonts w:ascii="Verdana" w:hAnsi="Verdana"/>
                <w:color w:val="000000"/>
                <w:sz w:val="24"/>
                <w:szCs w:val="24"/>
                <w:lang w:val="es-CO"/>
              </w:rPr>
              <w:t>Colección Noche Y Niebla - Centro de Investigaciones de Educación Popular CINEP</w:t>
            </w:r>
          </w:p>
        </w:tc>
        <w:tc>
          <w:tcPr>
            <w:tcW w:w="1191" w:type="dxa"/>
            <w:vAlign w:val="center"/>
          </w:tcPr>
          <w:p w:rsidR="00C310DF" w:rsidRPr="00BC7F3F" w:rsidRDefault="00C310DF" w:rsidP="001928B9">
            <w:pPr>
              <w:jc w:val="center"/>
              <w:cnfStyle w:val="000000100000"/>
              <w:rPr>
                <w:rFonts w:ascii="Verdana" w:hAnsi="Verdana"/>
                <w:color w:val="000000"/>
                <w:sz w:val="24"/>
                <w:szCs w:val="24"/>
                <w:lang w:val="es-CO"/>
              </w:rPr>
            </w:pPr>
            <w:r w:rsidRPr="00BC7F3F">
              <w:rPr>
                <w:rFonts w:ascii="Verdana" w:hAnsi="Verdana"/>
                <w:color w:val="000000"/>
                <w:sz w:val="24"/>
                <w:szCs w:val="24"/>
                <w:lang w:val="es-CO"/>
              </w:rPr>
              <w:t>542</w:t>
            </w:r>
          </w:p>
        </w:tc>
      </w:tr>
      <w:tr w:rsidR="00C310DF" w:rsidRPr="00BC7F3F" w:rsidTr="00C310DF">
        <w:trPr>
          <w:jc w:val="center"/>
        </w:trPr>
        <w:tc>
          <w:tcPr>
            <w:cnfStyle w:val="001000000000"/>
            <w:tcW w:w="425" w:type="dxa"/>
            <w:vAlign w:val="center"/>
          </w:tcPr>
          <w:p w:rsidR="00C310DF" w:rsidRPr="00BC7F3F" w:rsidRDefault="00C310DF" w:rsidP="00C310DF">
            <w:pPr>
              <w:jc w:val="center"/>
              <w:rPr>
                <w:rFonts w:ascii="Verdana" w:hAnsi="Verdana"/>
                <w:b w:val="0"/>
                <w:color w:val="000000"/>
                <w:sz w:val="24"/>
                <w:szCs w:val="24"/>
                <w:lang w:val="es-CO"/>
              </w:rPr>
            </w:pPr>
            <w:r w:rsidRPr="00BC7F3F">
              <w:rPr>
                <w:rFonts w:ascii="Verdana" w:hAnsi="Verdana"/>
                <w:b w:val="0"/>
                <w:color w:val="000000"/>
                <w:sz w:val="24"/>
                <w:szCs w:val="24"/>
                <w:lang w:val="es-CO"/>
              </w:rPr>
              <w:t>4</w:t>
            </w:r>
          </w:p>
        </w:tc>
        <w:tc>
          <w:tcPr>
            <w:tcW w:w="7623" w:type="dxa"/>
            <w:vAlign w:val="center"/>
          </w:tcPr>
          <w:p w:rsidR="00C310DF" w:rsidRPr="00BC7F3F" w:rsidRDefault="00C310DF" w:rsidP="00C310DF">
            <w:pPr>
              <w:cnfStyle w:val="000000000000"/>
              <w:rPr>
                <w:rFonts w:ascii="Verdana" w:hAnsi="Verdana"/>
                <w:color w:val="000000"/>
                <w:sz w:val="24"/>
                <w:szCs w:val="24"/>
                <w:lang w:val="es-CO"/>
              </w:rPr>
            </w:pPr>
            <w:r w:rsidRPr="00BC7F3F">
              <w:rPr>
                <w:rFonts w:ascii="Verdana" w:hAnsi="Verdana"/>
                <w:color w:val="000000"/>
                <w:sz w:val="24"/>
                <w:szCs w:val="24"/>
                <w:lang w:val="es-CO"/>
              </w:rPr>
              <w:t>Fondo Esteban Ruiz</w:t>
            </w:r>
          </w:p>
        </w:tc>
        <w:tc>
          <w:tcPr>
            <w:tcW w:w="1191" w:type="dxa"/>
            <w:vAlign w:val="center"/>
          </w:tcPr>
          <w:p w:rsidR="00C310DF" w:rsidRPr="00BC7F3F" w:rsidRDefault="00C310DF" w:rsidP="001928B9">
            <w:pPr>
              <w:jc w:val="center"/>
              <w:cnfStyle w:val="000000000000"/>
              <w:rPr>
                <w:rFonts w:ascii="Verdana" w:hAnsi="Verdana"/>
                <w:color w:val="000000"/>
                <w:sz w:val="24"/>
                <w:szCs w:val="24"/>
                <w:lang w:val="es-CO"/>
              </w:rPr>
            </w:pPr>
            <w:r w:rsidRPr="00BC7F3F">
              <w:rPr>
                <w:rFonts w:ascii="Verdana" w:hAnsi="Verdana"/>
                <w:color w:val="000000"/>
                <w:sz w:val="24"/>
                <w:szCs w:val="24"/>
                <w:lang w:val="es-CO"/>
              </w:rPr>
              <w:t>287</w:t>
            </w:r>
          </w:p>
        </w:tc>
      </w:tr>
      <w:tr w:rsidR="00C310DF" w:rsidRPr="00BC7F3F" w:rsidTr="00C310DF">
        <w:trPr>
          <w:cnfStyle w:val="000000100000"/>
          <w:jc w:val="center"/>
        </w:trPr>
        <w:tc>
          <w:tcPr>
            <w:cnfStyle w:val="001000000000"/>
            <w:tcW w:w="425" w:type="dxa"/>
            <w:vAlign w:val="center"/>
          </w:tcPr>
          <w:p w:rsidR="00C310DF" w:rsidRPr="00BC7F3F" w:rsidRDefault="00C310DF" w:rsidP="00C310DF">
            <w:pPr>
              <w:rPr>
                <w:rFonts w:ascii="Verdana" w:hAnsi="Verdana"/>
                <w:b w:val="0"/>
                <w:color w:val="000000"/>
                <w:sz w:val="24"/>
                <w:szCs w:val="24"/>
                <w:lang w:val="es-CO"/>
              </w:rPr>
            </w:pPr>
            <w:r w:rsidRPr="00BC7F3F">
              <w:rPr>
                <w:rFonts w:ascii="Verdana" w:hAnsi="Verdana"/>
                <w:b w:val="0"/>
                <w:color w:val="000000"/>
                <w:sz w:val="24"/>
                <w:szCs w:val="24"/>
                <w:lang w:val="es-CO"/>
              </w:rPr>
              <w:t>5</w:t>
            </w:r>
          </w:p>
        </w:tc>
        <w:tc>
          <w:tcPr>
            <w:tcW w:w="7623" w:type="dxa"/>
            <w:vAlign w:val="center"/>
          </w:tcPr>
          <w:p w:rsidR="00C310DF" w:rsidRPr="00BC7F3F" w:rsidRDefault="00C310DF" w:rsidP="00C310DF">
            <w:pPr>
              <w:cnfStyle w:val="000000100000"/>
              <w:rPr>
                <w:rFonts w:ascii="Verdana" w:hAnsi="Verdana"/>
                <w:color w:val="000000"/>
                <w:sz w:val="24"/>
                <w:szCs w:val="24"/>
                <w:lang w:val="es-CO"/>
              </w:rPr>
            </w:pPr>
            <w:r w:rsidRPr="00BC7F3F">
              <w:rPr>
                <w:rFonts w:ascii="Verdana" w:hAnsi="Verdana"/>
                <w:color w:val="000000"/>
                <w:sz w:val="24"/>
                <w:szCs w:val="24"/>
                <w:lang w:val="es-CO"/>
              </w:rPr>
              <w:t>Fondo Corte Suprema de Justicia / Subfondo Juzgado Primero Civil del Circuito Especializado en Restitución de Tierra de Guadalajara de Buga</w:t>
            </w:r>
          </w:p>
        </w:tc>
        <w:tc>
          <w:tcPr>
            <w:tcW w:w="1191" w:type="dxa"/>
            <w:vAlign w:val="center"/>
          </w:tcPr>
          <w:p w:rsidR="00C310DF" w:rsidRPr="00BC7F3F" w:rsidRDefault="00C310DF" w:rsidP="001928B9">
            <w:pPr>
              <w:jc w:val="center"/>
              <w:cnfStyle w:val="000000100000"/>
              <w:rPr>
                <w:rFonts w:ascii="Verdana" w:hAnsi="Verdana"/>
                <w:color w:val="000000"/>
                <w:sz w:val="24"/>
                <w:szCs w:val="24"/>
                <w:lang w:val="es-CO"/>
              </w:rPr>
            </w:pPr>
            <w:r w:rsidRPr="00BC7F3F">
              <w:rPr>
                <w:rFonts w:ascii="Verdana" w:hAnsi="Verdana"/>
                <w:color w:val="000000"/>
                <w:sz w:val="24"/>
                <w:szCs w:val="24"/>
                <w:lang w:val="es-CO"/>
              </w:rPr>
              <w:t>4518</w:t>
            </w:r>
          </w:p>
        </w:tc>
      </w:tr>
      <w:tr w:rsidR="00C310DF" w:rsidRPr="00BC7F3F" w:rsidTr="00C310DF">
        <w:trPr>
          <w:jc w:val="center"/>
        </w:trPr>
        <w:tc>
          <w:tcPr>
            <w:cnfStyle w:val="001000000000"/>
            <w:tcW w:w="425" w:type="dxa"/>
            <w:vAlign w:val="center"/>
          </w:tcPr>
          <w:p w:rsidR="00C310DF" w:rsidRPr="00BC7F3F" w:rsidRDefault="00C310DF" w:rsidP="00C310DF">
            <w:pPr>
              <w:jc w:val="center"/>
              <w:rPr>
                <w:rFonts w:ascii="Verdana" w:hAnsi="Verdana"/>
                <w:b w:val="0"/>
                <w:color w:val="000000"/>
                <w:sz w:val="24"/>
                <w:szCs w:val="24"/>
                <w:lang w:val="es-CO"/>
              </w:rPr>
            </w:pPr>
            <w:r w:rsidRPr="00BC7F3F">
              <w:rPr>
                <w:rFonts w:ascii="Verdana" w:hAnsi="Verdana"/>
                <w:b w:val="0"/>
                <w:color w:val="000000"/>
                <w:sz w:val="24"/>
                <w:szCs w:val="24"/>
                <w:lang w:val="es-CO"/>
              </w:rPr>
              <w:t>6</w:t>
            </w:r>
          </w:p>
        </w:tc>
        <w:tc>
          <w:tcPr>
            <w:tcW w:w="7623" w:type="dxa"/>
            <w:vAlign w:val="center"/>
          </w:tcPr>
          <w:p w:rsidR="00C310DF" w:rsidRPr="00BC7F3F" w:rsidRDefault="00C310DF" w:rsidP="00C310DF">
            <w:pPr>
              <w:cnfStyle w:val="000000000000"/>
              <w:rPr>
                <w:rFonts w:ascii="Verdana" w:hAnsi="Verdana"/>
                <w:color w:val="000000"/>
                <w:sz w:val="24"/>
                <w:szCs w:val="24"/>
                <w:lang w:val="es-CO"/>
              </w:rPr>
            </w:pPr>
            <w:r w:rsidRPr="00BC7F3F">
              <w:rPr>
                <w:rFonts w:ascii="Verdana" w:hAnsi="Verdana"/>
                <w:color w:val="000000"/>
                <w:sz w:val="24"/>
                <w:szCs w:val="24"/>
                <w:lang w:val="es-CO"/>
              </w:rPr>
              <w:t>Fondo Corte Suprema de Justicia / Subfondo Juzgado Segundo Civil del Circuito Especializado en Restitución de Tierra de Guadalajara de Buga</w:t>
            </w:r>
          </w:p>
        </w:tc>
        <w:tc>
          <w:tcPr>
            <w:tcW w:w="1191" w:type="dxa"/>
            <w:vAlign w:val="center"/>
          </w:tcPr>
          <w:p w:rsidR="00C310DF" w:rsidRPr="00BC7F3F" w:rsidRDefault="00C310DF" w:rsidP="001928B9">
            <w:pPr>
              <w:jc w:val="center"/>
              <w:cnfStyle w:val="000000000000"/>
              <w:rPr>
                <w:rFonts w:ascii="Verdana" w:hAnsi="Verdana"/>
                <w:color w:val="000000"/>
                <w:sz w:val="24"/>
                <w:szCs w:val="24"/>
                <w:lang w:val="es-CO"/>
              </w:rPr>
            </w:pPr>
            <w:r w:rsidRPr="00BC7F3F">
              <w:rPr>
                <w:rFonts w:ascii="Verdana" w:hAnsi="Verdana"/>
                <w:color w:val="000000"/>
                <w:sz w:val="24"/>
                <w:szCs w:val="24"/>
                <w:lang w:val="es-CO"/>
              </w:rPr>
              <w:t>168</w:t>
            </w:r>
          </w:p>
        </w:tc>
      </w:tr>
      <w:tr w:rsidR="00C310DF" w:rsidRPr="00BC7F3F" w:rsidTr="00C310DF">
        <w:trPr>
          <w:cnfStyle w:val="000000100000"/>
          <w:jc w:val="center"/>
        </w:trPr>
        <w:tc>
          <w:tcPr>
            <w:cnfStyle w:val="001000000000"/>
            <w:tcW w:w="425" w:type="dxa"/>
            <w:vAlign w:val="center"/>
          </w:tcPr>
          <w:p w:rsidR="00C310DF" w:rsidRPr="00BC7F3F" w:rsidRDefault="00C310DF" w:rsidP="00C310DF">
            <w:pPr>
              <w:jc w:val="center"/>
              <w:rPr>
                <w:rFonts w:ascii="Verdana" w:hAnsi="Verdana"/>
                <w:b w:val="0"/>
                <w:color w:val="000000"/>
                <w:sz w:val="24"/>
                <w:szCs w:val="24"/>
                <w:lang w:val="es-CO"/>
              </w:rPr>
            </w:pPr>
            <w:r w:rsidRPr="00BC7F3F">
              <w:rPr>
                <w:rFonts w:ascii="Verdana" w:hAnsi="Verdana"/>
                <w:b w:val="0"/>
                <w:color w:val="000000"/>
                <w:sz w:val="24"/>
                <w:szCs w:val="24"/>
                <w:lang w:val="es-CO"/>
              </w:rPr>
              <w:t>7</w:t>
            </w:r>
          </w:p>
        </w:tc>
        <w:tc>
          <w:tcPr>
            <w:tcW w:w="7623" w:type="dxa"/>
            <w:vAlign w:val="center"/>
          </w:tcPr>
          <w:p w:rsidR="00C310DF" w:rsidRPr="00BC7F3F" w:rsidRDefault="00C310DF" w:rsidP="00C310DF">
            <w:pPr>
              <w:cnfStyle w:val="000000100000"/>
              <w:rPr>
                <w:rFonts w:ascii="Verdana" w:hAnsi="Verdana"/>
                <w:color w:val="000000"/>
                <w:sz w:val="24"/>
                <w:szCs w:val="24"/>
                <w:lang w:val="es-CO"/>
              </w:rPr>
            </w:pPr>
            <w:r w:rsidRPr="00BC7F3F">
              <w:rPr>
                <w:rFonts w:ascii="Verdana" w:hAnsi="Verdana"/>
                <w:color w:val="000000"/>
                <w:sz w:val="24"/>
                <w:szCs w:val="24"/>
                <w:lang w:val="es-CO"/>
              </w:rPr>
              <w:t>Fondo Corte Suprema de Justicia / Subfondo Juzgado Tercero Civil del Circuito Especializado en Restitución de Tierra de Guadalajara de Buga</w:t>
            </w:r>
          </w:p>
        </w:tc>
        <w:tc>
          <w:tcPr>
            <w:tcW w:w="1191" w:type="dxa"/>
            <w:vAlign w:val="center"/>
          </w:tcPr>
          <w:p w:rsidR="00C310DF" w:rsidRPr="00BC7F3F" w:rsidRDefault="00C310DF" w:rsidP="001928B9">
            <w:pPr>
              <w:jc w:val="center"/>
              <w:cnfStyle w:val="000000100000"/>
              <w:rPr>
                <w:rFonts w:ascii="Verdana" w:hAnsi="Verdana"/>
                <w:color w:val="000000"/>
                <w:sz w:val="24"/>
                <w:szCs w:val="24"/>
                <w:lang w:val="es-CO"/>
              </w:rPr>
            </w:pPr>
            <w:r w:rsidRPr="00BC7F3F">
              <w:rPr>
                <w:rFonts w:ascii="Verdana" w:hAnsi="Verdana"/>
                <w:color w:val="000000"/>
                <w:sz w:val="24"/>
                <w:szCs w:val="24"/>
                <w:lang w:val="es-CO"/>
              </w:rPr>
              <w:t>14.012</w:t>
            </w:r>
          </w:p>
        </w:tc>
      </w:tr>
      <w:tr w:rsidR="00C310DF" w:rsidRPr="00BC7F3F" w:rsidTr="00C310DF">
        <w:trPr>
          <w:jc w:val="center"/>
        </w:trPr>
        <w:tc>
          <w:tcPr>
            <w:cnfStyle w:val="001000000000"/>
            <w:tcW w:w="425" w:type="dxa"/>
            <w:vAlign w:val="center"/>
          </w:tcPr>
          <w:p w:rsidR="00C310DF" w:rsidRPr="00BC7F3F" w:rsidRDefault="00C310DF" w:rsidP="00C310DF">
            <w:pPr>
              <w:jc w:val="center"/>
              <w:rPr>
                <w:rFonts w:ascii="Verdana" w:hAnsi="Verdana"/>
                <w:b w:val="0"/>
                <w:color w:val="000000"/>
                <w:sz w:val="24"/>
                <w:szCs w:val="24"/>
                <w:lang w:val="es-CO"/>
              </w:rPr>
            </w:pPr>
            <w:r w:rsidRPr="00BC7F3F">
              <w:rPr>
                <w:rFonts w:ascii="Verdana" w:hAnsi="Verdana"/>
                <w:b w:val="0"/>
                <w:color w:val="000000"/>
                <w:sz w:val="24"/>
                <w:szCs w:val="24"/>
                <w:lang w:val="es-CO"/>
              </w:rPr>
              <w:t>8</w:t>
            </w:r>
          </w:p>
        </w:tc>
        <w:tc>
          <w:tcPr>
            <w:tcW w:w="7623" w:type="dxa"/>
            <w:vAlign w:val="center"/>
          </w:tcPr>
          <w:p w:rsidR="00C310DF" w:rsidRPr="00BC7F3F" w:rsidRDefault="00C310DF" w:rsidP="00C310DF">
            <w:pPr>
              <w:cnfStyle w:val="000000000000"/>
              <w:rPr>
                <w:rFonts w:ascii="Verdana" w:hAnsi="Verdana"/>
                <w:color w:val="000000"/>
                <w:sz w:val="24"/>
                <w:szCs w:val="24"/>
                <w:lang w:val="es-CO"/>
              </w:rPr>
            </w:pPr>
            <w:r w:rsidRPr="00BC7F3F">
              <w:rPr>
                <w:rFonts w:ascii="Verdana" w:hAnsi="Verdana"/>
                <w:color w:val="000000"/>
                <w:sz w:val="24"/>
                <w:szCs w:val="24"/>
                <w:lang w:val="es-CO"/>
              </w:rPr>
              <w:t>Fondo Consejo de Estado</w:t>
            </w:r>
          </w:p>
        </w:tc>
        <w:tc>
          <w:tcPr>
            <w:tcW w:w="1191" w:type="dxa"/>
            <w:vAlign w:val="center"/>
          </w:tcPr>
          <w:p w:rsidR="00C310DF" w:rsidRPr="00BC7F3F" w:rsidRDefault="00C310DF" w:rsidP="001928B9">
            <w:pPr>
              <w:jc w:val="center"/>
              <w:cnfStyle w:val="000000000000"/>
              <w:rPr>
                <w:rFonts w:ascii="Verdana" w:hAnsi="Verdana"/>
                <w:color w:val="000000"/>
                <w:sz w:val="24"/>
                <w:szCs w:val="24"/>
                <w:lang w:val="es-CO"/>
              </w:rPr>
            </w:pPr>
            <w:r w:rsidRPr="00BC7F3F">
              <w:rPr>
                <w:rFonts w:ascii="Verdana" w:hAnsi="Verdana"/>
                <w:color w:val="000000"/>
                <w:sz w:val="24"/>
                <w:szCs w:val="24"/>
                <w:lang w:val="es-CO"/>
              </w:rPr>
              <w:t>1</w:t>
            </w:r>
          </w:p>
        </w:tc>
      </w:tr>
      <w:tr w:rsidR="00C310DF" w:rsidRPr="00BC7F3F" w:rsidTr="00C310DF">
        <w:trPr>
          <w:cnfStyle w:val="000000100000"/>
          <w:jc w:val="center"/>
        </w:trPr>
        <w:tc>
          <w:tcPr>
            <w:cnfStyle w:val="001000000000"/>
            <w:tcW w:w="425" w:type="dxa"/>
            <w:vAlign w:val="center"/>
          </w:tcPr>
          <w:p w:rsidR="00C310DF" w:rsidRPr="00BC7F3F" w:rsidRDefault="00C310DF" w:rsidP="00C310DF">
            <w:pPr>
              <w:jc w:val="center"/>
              <w:rPr>
                <w:rFonts w:ascii="Verdana" w:hAnsi="Verdana"/>
                <w:b w:val="0"/>
                <w:color w:val="000000"/>
                <w:sz w:val="24"/>
                <w:szCs w:val="24"/>
                <w:lang w:val="es-CO"/>
              </w:rPr>
            </w:pPr>
            <w:r w:rsidRPr="00BC7F3F">
              <w:rPr>
                <w:rFonts w:ascii="Verdana" w:hAnsi="Verdana"/>
                <w:b w:val="0"/>
                <w:color w:val="000000"/>
                <w:sz w:val="24"/>
                <w:szCs w:val="24"/>
                <w:lang w:val="es-CO"/>
              </w:rPr>
              <w:t>9</w:t>
            </w:r>
          </w:p>
        </w:tc>
        <w:tc>
          <w:tcPr>
            <w:tcW w:w="7623" w:type="dxa"/>
            <w:vAlign w:val="center"/>
          </w:tcPr>
          <w:p w:rsidR="00C310DF" w:rsidRPr="00BC7F3F" w:rsidRDefault="00C310DF" w:rsidP="00C310DF">
            <w:pPr>
              <w:cnfStyle w:val="000000100000"/>
              <w:rPr>
                <w:rFonts w:ascii="Verdana" w:hAnsi="Verdana"/>
                <w:color w:val="000000"/>
                <w:sz w:val="24"/>
                <w:szCs w:val="24"/>
                <w:lang w:val="es-CO"/>
              </w:rPr>
            </w:pPr>
            <w:r w:rsidRPr="00BC7F3F">
              <w:rPr>
                <w:rFonts w:ascii="Verdana" w:hAnsi="Verdana"/>
                <w:color w:val="000000"/>
                <w:sz w:val="24"/>
                <w:szCs w:val="24"/>
                <w:lang w:val="es-CO"/>
              </w:rPr>
              <w:t>Fondo Corte Suprema de Justicia / Subfondo Juzgado Primero Civil del Circuito Especializado en Restitución de Tierra de Villavicencio</w:t>
            </w:r>
          </w:p>
        </w:tc>
        <w:tc>
          <w:tcPr>
            <w:tcW w:w="1191" w:type="dxa"/>
            <w:vAlign w:val="center"/>
          </w:tcPr>
          <w:p w:rsidR="00C310DF" w:rsidRPr="00BC7F3F" w:rsidRDefault="00C310DF" w:rsidP="001928B9">
            <w:pPr>
              <w:jc w:val="center"/>
              <w:cnfStyle w:val="000000100000"/>
              <w:rPr>
                <w:rFonts w:ascii="Verdana" w:hAnsi="Verdana"/>
                <w:color w:val="000000"/>
                <w:sz w:val="24"/>
                <w:szCs w:val="24"/>
                <w:lang w:val="es-CO"/>
              </w:rPr>
            </w:pPr>
            <w:r w:rsidRPr="00BC7F3F">
              <w:rPr>
                <w:rFonts w:ascii="Verdana" w:hAnsi="Verdana"/>
                <w:color w:val="000000"/>
                <w:sz w:val="24"/>
                <w:szCs w:val="24"/>
                <w:lang w:val="es-CO"/>
              </w:rPr>
              <w:t>258</w:t>
            </w:r>
          </w:p>
        </w:tc>
      </w:tr>
      <w:tr w:rsidR="00C310DF" w:rsidRPr="00BC7F3F" w:rsidTr="00C310DF">
        <w:trPr>
          <w:jc w:val="center"/>
        </w:trPr>
        <w:tc>
          <w:tcPr>
            <w:cnfStyle w:val="001000000000"/>
            <w:tcW w:w="425" w:type="dxa"/>
            <w:vAlign w:val="center"/>
          </w:tcPr>
          <w:p w:rsidR="00C310DF" w:rsidRPr="00BC7F3F" w:rsidRDefault="00C310DF" w:rsidP="00C310DF">
            <w:pPr>
              <w:jc w:val="center"/>
              <w:rPr>
                <w:rFonts w:ascii="Verdana" w:hAnsi="Verdana"/>
                <w:b w:val="0"/>
                <w:color w:val="000000"/>
                <w:sz w:val="24"/>
                <w:szCs w:val="24"/>
                <w:lang w:val="es-CO"/>
              </w:rPr>
            </w:pPr>
            <w:r w:rsidRPr="00BC7F3F">
              <w:rPr>
                <w:rFonts w:ascii="Verdana" w:hAnsi="Verdana"/>
                <w:b w:val="0"/>
                <w:color w:val="000000"/>
                <w:sz w:val="24"/>
                <w:szCs w:val="24"/>
                <w:lang w:val="es-CO"/>
              </w:rPr>
              <w:t>10</w:t>
            </w:r>
          </w:p>
        </w:tc>
        <w:tc>
          <w:tcPr>
            <w:tcW w:w="7623" w:type="dxa"/>
            <w:vAlign w:val="center"/>
          </w:tcPr>
          <w:p w:rsidR="00C310DF" w:rsidRPr="00BC7F3F" w:rsidRDefault="00C310DF" w:rsidP="00C310DF">
            <w:pPr>
              <w:cnfStyle w:val="000000000000"/>
              <w:rPr>
                <w:rFonts w:ascii="Verdana" w:hAnsi="Verdana"/>
                <w:color w:val="000000"/>
                <w:sz w:val="24"/>
                <w:szCs w:val="24"/>
                <w:lang w:val="es-CO"/>
              </w:rPr>
            </w:pPr>
            <w:r w:rsidRPr="00BC7F3F">
              <w:rPr>
                <w:rFonts w:ascii="Verdana" w:hAnsi="Verdana"/>
                <w:color w:val="000000"/>
                <w:sz w:val="24"/>
                <w:szCs w:val="24"/>
                <w:lang w:val="es-CO"/>
              </w:rPr>
              <w:t>Fondo Corte Suprema de Justicia / Subfondo Juzgado Segundo Civil del Circuito Especializado en Restitución de Tierra de Villavicencio</w:t>
            </w:r>
          </w:p>
        </w:tc>
        <w:tc>
          <w:tcPr>
            <w:tcW w:w="1191" w:type="dxa"/>
            <w:vAlign w:val="center"/>
          </w:tcPr>
          <w:p w:rsidR="00C310DF" w:rsidRPr="00BC7F3F" w:rsidRDefault="00C310DF" w:rsidP="001928B9">
            <w:pPr>
              <w:jc w:val="center"/>
              <w:cnfStyle w:val="000000000000"/>
              <w:rPr>
                <w:rFonts w:ascii="Verdana" w:hAnsi="Verdana"/>
                <w:color w:val="000000"/>
                <w:sz w:val="24"/>
                <w:szCs w:val="24"/>
                <w:lang w:val="es-CO"/>
              </w:rPr>
            </w:pPr>
            <w:r w:rsidRPr="00BC7F3F">
              <w:rPr>
                <w:rFonts w:ascii="Verdana" w:hAnsi="Verdana"/>
                <w:color w:val="000000"/>
                <w:sz w:val="24"/>
                <w:szCs w:val="24"/>
                <w:lang w:val="es-CO"/>
              </w:rPr>
              <w:t>489</w:t>
            </w:r>
          </w:p>
        </w:tc>
      </w:tr>
      <w:tr w:rsidR="00C310DF" w:rsidRPr="00BC7F3F" w:rsidTr="00C310DF">
        <w:trPr>
          <w:cnfStyle w:val="000000100000"/>
          <w:jc w:val="center"/>
        </w:trPr>
        <w:tc>
          <w:tcPr>
            <w:cnfStyle w:val="001000000000"/>
            <w:tcW w:w="425" w:type="dxa"/>
            <w:vAlign w:val="center"/>
          </w:tcPr>
          <w:p w:rsidR="00C310DF" w:rsidRPr="00BC7F3F" w:rsidRDefault="00C310DF" w:rsidP="00C310DF">
            <w:pPr>
              <w:jc w:val="center"/>
              <w:rPr>
                <w:rFonts w:ascii="Verdana" w:hAnsi="Verdana"/>
                <w:b w:val="0"/>
                <w:color w:val="000000"/>
                <w:sz w:val="24"/>
                <w:szCs w:val="24"/>
                <w:lang w:val="es-CO"/>
              </w:rPr>
            </w:pPr>
            <w:r w:rsidRPr="00BC7F3F">
              <w:rPr>
                <w:rFonts w:ascii="Verdana" w:hAnsi="Verdana"/>
                <w:b w:val="0"/>
                <w:color w:val="000000"/>
                <w:sz w:val="24"/>
                <w:szCs w:val="24"/>
                <w:lang w:val="es-CO"/>
              </w:rPr>
              <w:t>11</w:t>
            </w:r>
          </w:p>
        </w:tc>
        <w:tc>
          <w:tcPr>
            <w:tcW w:w="7623" w:type="dxa"/>
            <w:vAlign w:val="center"/>
          </w:tcPr>
          <w:p w:rsidR="00C310DF" w:rsidRPr="00BC7F3F" w:rsidRDefault="00C310DF" w:rsidP="00C310DF">
            <w:pPr>
              <w:cnfStyle w:val="000000100000"/>
              <w:rPr>
                <w:rFonts w:ascii="Verdana" w:hAnsi="Verdana"/>
                <w:color w:val="000000"/>
                <w:sz w:val="24"/>
                <w:szCs w:val="24"/>
                <w:highlight w:val="yellow"/>
                <w:lang w:val="es-CO"/>
              </w:rPr>
            </w:pPr>
            <w:r w:rsidRPr="00BC7F3F">
              <w:rPr>
                <w:rFonts w:ascii="Verdana" w:hAnsi="Verdana"/>
                <w:color w:val="000000"/>
                <w:sz w:val="24"/>
                <w:szCs w:val="24"/>
                <w:lang w:val="es-CO"/>
              </w:rPr>
              <w:t>Juzgado segundo civil de circuito especializado en restitución de tierras de Ibagué</w:t>
            </w:r>
          </w:p>
        </w:tc>
        <w:tc>
          <w:tcPr>
            <w:tcW w:w="1191" w:type="dxa"/>
            <w:vAlign w:val="center"/>
          </w:tcPr>
          <w:p w:rsidR="00C310DF" w:rsidRPr="00BC7F3F" w:rsidRDefault="00C310DF" w:rsidP="001928B9">
            <w:pPr>
              <w:jc w:val="center"/>
              <w:cnfStyle w:val="000000100000"/>
              <w:rPr>
                <w:rFonts w:ascii="Verdana" w:hAnsi="Verdana"/>
                <w:color w:val="000000"/>
                <w:sz w:val="24"/>
                <w:szCs w:val="24"/>
                <w:lang w:val="es-CO"/>
              </w:rPr>
            </w:pPr>
            <w:r w:rsidRPr="00BC7F3F">
              <w:rPr>
                <w:rFonts w:ascii="Verdana" w:hAnsi="Verdana"/>
                <w:color w:val="000000"/>
                <w:sz w:val="24"/>
                <w:szCs w:val="24"/>
                <w:lang w:val="es-CO"/>
              </w:rPr>
              <w:t>1</w:t>
            </w:r>
          </w:p>
        </w:tc>
      </w:tr>
      <w:tr w:rsidR="00C310DF" w:rsidRPr="00BC7F3F" w:rsidTr="00C310DF">
        <w:trPr>
          <w:jc w:val="center"/>
        </w:trPr>
        <w:tc>
          <w:tcPr>
            <w:cnfStyle w:val="001000000000"/>
            <w:tcW w:w="425" w:type="dxa"/>
            <w:vAlign w:val="center"/>
          </w:tcPr>
          <w:p w:rsidR="00C310DF" w:rsidRPr="00BC7F3F" w:rsidRDefault="00C310DF" w:rsidP="00C310DF">
            <w:pPr>
              <w:jc w:val="center"/>
              <w:rPr>
                <w:rFonts w:ascii="Verdana" w:hAnsi="Verdana"/>
                <w:b w:val="0"/>
                <w:color w:val="000000"/>
                <w:sz w:val="24"/>
                <w:szCs w:val="24"/>
                <w:lang w:val="es-CO"/>
              </w:rPr>
            </w:pPr>
            <w:r w:rsidRPr="00BC7F3F">
              <w:rPr>
                <w:rFonts w:ascii="Verdana" w:hAnsi="Verdana"/>
                <w:b w:val="0"/>
                <w:color w:val="000000"/>
                <w:sz w:val="24"/>
                <w:szCs w:val="24"/>
                <w:lang w:val="es-CO"/>
              </w:rPr>
              <w:t>12</w:t>
            </w:r>
          </w:p>
        </w:tc>
        <w:tc>
          <w:tcPr>
            <w:tcW w:w="7623" w:type="dxa"/>
            <w:vAlign w:val="center"/>
          </w:tcPr>
          <w:p w:rsidR="00C310DF" w:rsidRPr="00BC7F3F" w:rsidRDefault="00C310DF" w:rsidP="00C310DF">
            <w:pPr>
              <w:cnfStyle w:val="000000000000"/>
              <w:rPr>
                <w:rFonts w:ascii="Verdana" w:hAnsi="Verdana"/>
                <w:color w:val="000000"/>
                <w:sz w:val="24"/>
                <w:szCs w:val="24"/>
                <w:highlight w:val="yellow"/>
                <w:lang w:val="es-CO"/>
              </w:rPr>
            </w:pPr>
            <w:r w:rsidRPr="00BC7F3F">
              <w:rPr>
                <w:rFonts w:ascii="Verdana" w:hAnsi="Verdana"/>
                <w:color w:val="000000"/>
                <w:sz w:val="24"/>
                <w:szCs w:val="24"/>
                <w:lang w:val="es-CO"/>
              </w:rPr>
              <w:t>Fondo Tribunal Superior de Cúcuta</w:t>
            </w:r>
          </w:p>
        </w:tc>
        <w:tc>
          <w:tcPr>
            <w:tcW w:w="1191" w:type="dxa"/>
            <w:vAlign w:val="center"/>
          </w:tcPr>
          <w:p w:rsidR="00C310DF" w:rsidRPr="00BC7F3F" w:rsidRDefault="00C310DF" w:rsidP="001928B9">
            <w:pPr>
              <w:jc w:val="center"/>
              <w:cnfStyle w:val="000000000000"/>
              <w:rPr>
                <w:rFonts w:ascii="Verdana" w:hAnsi="Verdana"/>
                <w:color w:val="000000"/>
                <w:sz w:val="24"/>
                <w:szCs w:val="24"/>
                <w:lang w:val="es-CO"/>
              </w:rPr>
            </w:pPr>
            <w:r w:rsidRPr="00BC7F3F">
              <w:rPr>
                <w:rFonts w:ascii="Verdana" w:hAnsi="Verdana"/>
                <w:color w:val="000000"/>
                <w:sz w:val="24"/>
                <w:szCs w:val="24"/>
                <w:lang w:val="es-CO"/>
              </w:rPr>
              <w:t>1</w:t>
            </w:r>
          </w:p>
        </w:tc>
      </w:tr>
      <w:tr w:rsidR="00C310DF" w:rsidRPr="00BC7F3F" w:rsidTr="00C310DF">
        <w:trPr>
          <w:cnfStyle w:val="000000100000"/>
          <w:jc w:val="center"/>
        </w:trPr>
        <w:tc>
          <w:tcPr>
            <w:cnfStyle w:val="001000000000"/>
            <w:tcW w:w="425" w:type="dxa"/>
            <w:vAlign w:val="center"/>
          </w:tcPr>
          <w:p w:rsidR="00C310DF" w:rsidRPr="00BC7F3F" w:rsidRDefault="00C310DF" w:rsidP="00C310DF">
            <w:pPr>
              <w:jc w:val="center"/>
              <w:rPr>
                <w:rFonts w:ascii="Verdana" w:hAnsi="Verdana"/>
                <w:b w:val="0"/>
                <w:color w:val="000000"/>
                <w:sz w:val="24"/>
                <w:szCs w:val="24"/>
                <w:lang w:val="es-CO"/>
              </w:rPr>
            </w:pPr>
            <w:r w:rsidRPr="00BC7F3F">
              <w:rPr>
                <w:rFonts w:ascii="Verdana" w:hAnsi="Verdana"/>
                <w:b w:val="0"/>
                <w:color w:val="000000"/>
                <w:sz w:val="24"/>
                <w:szCs w:val="24"/>
                <w:lang w:val="es-CO"/>
              </w:rPr>
              <w:t>13</w:t>
            </w:r>
          </w:p>
        </w:tc>
        <w:tc>
          <w:tcPr>
            <w:tcW w:w="7623" w:type="dxa"/>
            <w:vAlign w:val="center"/>
          </w:tcPr>
          <w:p w:rsidR="00C310DF" w:rsidRPr="00BC7F3F" w:rsidRDefault="00C310DF" w:rsidP="00C310DF">
            <w:pPr>
              <w:cnfStyle w:val="000000100000"/>
              <w:rPr>
                <w:rFonts w:ascii="Verdana" w:hAnsi="Verdana"/>
                <w:color w:val="000000"/>
                <w:sz w:val="24"/>
                <w:szCs w:val="24"/>
                <w:highlight w:val="yellow"/>
                <w:lang w:val="es-CO"/>
              </w:rPr>
            </w:pPr>
            <w:r w:rsidRPr="00BC7F3F">
              <w:rPr>
                <w:rFonts w:ascii="Verdana" w:hAnsi="Verdana"/>
                <w:color w:val="000000"/>
                <w:sz w:val="24"/>
                <w:szCs w:val="24"/>
                <w:lang w:val="es-CO"/>
              </w:rPr>
              <w:t>Fondo Gabriel Jaime Santamaría</w:t>
            </w:r>
          </w:p>
        </w:tc>
        <w:tc>
          <w:tcPr>
            <w:tcW w:w="1191" w:type="dxa"/>
            <w:vAlign w:val="center"/>
          </w:tcPr>
          <w:p w:rsidR="00C310DF" w:rsidRPr="00BC7F3F" w:rsidRDefault="00C310DF" w:rsidP="001928B9">
            <w:pPr>
              <w:jc w:val="center"/>
              <w:cnfStyle w:val="000000100000"/>
              <w:rPr>
                <w:rFonts w:ascii="Verdana" w:hAnsi="Verdana"/>
                <w:color w:val="000000"/>
                <w:sz w:val="24"/>
                <w:szCs w:val="24"/>
                <w:lang w:val="es-CO"/>
              </w:rPr>
            </w:pPr>
            <w:r w:rsidRPr="00BC7F3F">
              <w:rPr>
                <w:rFonts w:ascii="Verdana" w:hAnsi="Verdana"/>
                <w:color w:val="000000"/>
                <w:sz w:val="24"/>
                <w:szCs w:val="24"/>
                <w:lang w:val="es-CO"/>
              </w:rPr>
              <w:t>6</w:t>
            </w:r>
          </w:p>
        </w:tc>
      </w:tr>
      <w:tr w:rsidR="00C310DF" w:rsidRPr="00BC7F3F" w:rsidTr="00C310DF">
        <w:trPr>
          <w:jc w:val="center"/>
        </w:trPr>
        <w:tc>
          <w:tcPr>
            <w:cnfStyle w:val="001000000000"/>
            <w:tcW w:w="425" w:type="dxa"/>
            <w:vAlign w:val="center"/>
          </w:tcPr>
          <w:p w:rsidR="00C310DF" w:rsidRPr="00BC7F3F" w:rsidRDefault="00C310DF" w:rsidP="00C310DF">
            <w:pPr>
              <w:jc w:val="center"/>
              <w:rPr>
                <w:rFonts w:ascii="Verdana" w:hAnsi="Verdana"/>
                <w:b w:val="0"/>
                <w:color w:val="000000"/>
                <w:sz w:val="24"/>
                <w:szCs w:val="24"/>
                <w:lang w:val="es-CO"/>
              </w:rPr>
            </w:pPr>
            <w:r w:rsidRPr="00BC7F3F">
              <w:rPr>
                <w:rFonts w:ascii="Verdana" w:hAnsi="Verdana"/>
                <w:b w:val="0"/>
                <w:color w:val="000000"/>
                <w:sz w:val="24"/>
                <w:szCs w:val="24"/>
                <w:lang w:val="es-CO"/>
              </w:rPr>
              <w:t>14</w:t>
            </w:r>
          </w:p>
        </w:tc>
        <w:tc>
          <w:tcPr>
            <w:tcW w:w="7623" w:type="dxa"/>
            <w:vAlign w:val="center"/>
          </w:tcPr>
          <w:p w:rsidR="00C310DF" w:rsidRPr="00BC7F3F" w:rsidRDefault="00C310DF" w:rsidP="00C310DF">
            <w:pPr>
              <w:cnfStyle w:val="000000000000"/>
              <w:rPr>
                <w:rFonts w:ascii="Verdana" w:hAnsi="Verdana"/>
                <w:sz w:val="24"/>
                <w:szCs w:val="24"/>
                <w:lang w:val="es-CO"/>
              </w:rPr>
            </w:pPr>
            <w:r w:rsidRPr="00BC7F3F">
              <w:rPr>
                <w:rFonts w:ascii="Verdana" w:hAnsi="Verdana"/>
                <w:sz w:val="24"/>
                <w:szCs w:val="24"/>
                <w:lang w:val="es-CO"/>
              </w:rPr>
              <w:t>Asociación de Familiares de las Víctimas de los hechos violentos de Trujillo - AFAVIT</w:t>
            </w:r>
          </w:p>
        </w:tc>
        <w:tc>
          <w:tcPr>
            <w:tcW w:w="1191" w:type="dxa"/>
            <w:vAlign w:val="center"/>
          </w:tcPr>
          <w:p w:rsidR="00C310DF" w:rsidRPr="00BC7F3F" w:rsidRDefault="00C310DF" w:rsidP="001928B9">
            <w:pPr>
              <w:jc w:val="center"/>
              <w:cnfStyle w:val="000000000000"/>
              <w:rPr>
                <w:rFonts w:ascii="Verdana" w:hAnsi="Verdana"/>
                <w:color w:val="000000"/>
                <w:sz w:val="24"/>
                <w:szCs w:val="24"/>
                <w:lang w:val="es-CO"/>
              </w:rPr>
            </w:pPr>
            <w:r w:rsidRPr="00BC7F3F">
              <w:rPr>
                <w:rFonts w:ascii="Verdana" w:hAnsi="Verdana"/>
                <w:color w:val="000000"/>
                <w:sz w:val="24"/>
                <w:szCs w:val="24"/>
                <w:lang w:val="es-CO"/>
              </w:rPr>
              <w:t>155</w:t>
            </w:r>
          </w:p>
        </w:tc>
      </w:tr>
      <w:tr w:rsidR="00C310DF" w:rsidRPr="00BC7F3F" w:rsidTr="00C310DF">
        <w:trPr>
          <w:cnfStyle w:val="000000100000"/>
          <w:jc w:val="center"/>
        </w:trPr>
        <w:tc>
          <w:tcPr>
            <w:cnfStyle w:val="001000000000"/>
            <w:tcW w:w="425" w:type="dxa"/>
            <w:vAlign w:val="center"/>
          </w:tcPr>
          <w:p w:rsidR="00C310DF" w:rsidRPr="00BC7F3F" w:rsidRDefault="00C310DF" w:rsidP="00C310DF">
            <w:pPr>
              <w:rPr>
                <w:rFonts w:ascii="Verdana" w:hAnsi="Verdana"/>
                <w:b w:val="0"/>
                <w:color w:val="000000"/>
                <w:sz w:val="24"/>
                <w:szCs w:val="24"/>
                <w:lang w:val="es-CO"/>
              </w:rPr>
            </w:pPr>
            <w:r w:rsidRPr="00BC7F3F">
              <w:rPr>
                <w:rFonts w:ascii="Verdana" w:hAnsi="Verdana"/>
                <w:b w:val="0"/>
                <w:color w:val="000000"/>
                <w:sz w:val="24"/>
                <w:szCs w:val="24"/>
                <w:lang w:val="es-CO"/>
              </w:rPr>
              <w:t>15</w:t>
            </w:r>
          </w:p>
        </w:tc>
        <w:tc>
          <w:tcPr>
            <w:tcW w:w="7623" w:type="dxa"/>
            <w:vAlign w:val="center"/>
          </w:tcPr>
          <w:p w:rsidR="00C310DF" w:rsidRPr="00BC7F3F" w:rsidRDefault="00C310DF" w:rsidP="00C310DF">
            <w:pPr>
              <w:cnfStyle w:val="000000100000"/>
              <w:rPr>
                <w:rFonts w:ascii="Verdana" w:hAnsi="Verdana"/>
                <w:color w:val="000000"/>
                <w:sz w:val="24"/>
                <w:szCs w:val="24"/>
                <w:lang w:val="es-CO"/>
              </w:rPr>
            </w:pPr>
            <w:r w:rsidRPr="00BC7F3F">
              <w:rPr>
                <w:rFonts w:ascii="Verdana" w:hAnsi="Verdana"/>
                <w:color w:val="000000"/>
                <w:sz w:val="24"/>
                <w:szCs w:val="24"/>
                <w:lang w:val="es-CO"/>
              </w:rPr>
              <w:t>Masacre de Bahía Portete (Casos Emblemáticos )</w:t>
            </w:r>
          </w:p>
        </w:tc>
        <w:tc>
          <w:tcPr>
            <w:tcW w:w="1191" w:type="dxa"/>
            <w:vAlign w:val="center"/>
          </w:tcPr>
          <w:p w:rsidR="00C310DF" w:rsidRPr="00BC7F3F" w:rsidRDefault="00C310DF" w:rsidP="001928B9">
            <w:pPr>
              <w:jc w:val="center"/>
              <w:cnfStyle w:val="000000100000"/>
              <w:rPr>
                <w:rFonts w:ascii="Verdana" w:hAnsi="Verdana"/>
                <w:color w:val="000000"/>
                <w:sz w:val="24"/>
                <w:szCs w:val="24"/>
                <w:lang w:val="es-CO"/>
              </w:rPr>
            </w:pPr>
            <w:r w:rsidRPr="00BC7F3F">
              <w:rPr>
                <w:rFonts w:ascii="Verdana" w:hAnsi="Verdana"/>
                <w:color w:val="000000"/>
                <w:sz w:val="24"/>
                <w:szCs w:val="24"/>
                <w:lang w:val="es-CO"/>
              </w:rPr>
              <w:t>19</w:t>
            </w:r>
          </w:p>
        </w:tc>
      </w:tr>
      <w:tr w:rsidR="00C310DF" w:rsidRPr="00BC7F3F" w:rsidTr="00C310DF">
        <w:trPr>
          <w:jc w:val="center"/>
        </w:trPr>
        <w:tc>
          <w:tcPr>
            <w:cnfStyle w:val="001000000000"/>
            <w:tcW w:w="425" w:type="dxa"/>
            <w:vAlign w:val="center"/>
          </w:tcPr>
          <w:p w:rsidR="00C310DF" w:rsidRPr="00BC7F3F" w:rsidRDefault="00C310DF" w:rsidP="00C310DF">
            <w:pPr>
              <w:jc w:val="center"/>
              <w:rPr>
                <w:rFonts w:ascii="Verdana" w:hAnsi="Verdana"/>
                <w:b w:val="0"/>
                <w:color w:val="000000"/>
                <w:sz w:val="24"/>
                <w:szCs w:val="24"/>
                <w:lang w:val="es-CO"/>
              </w:rPr>
            </w:pPr>
            <w:r w:rsidRPr="00BC7F3F">
              <w:rPr>
                <w:rFonts w:ascii="Verdana" w:hAnsi="Verdana"/>
                <w:b w:val="0"/>
                <w:color w:val="000000"/>
                <w:sz w:val="24"/>
                <w:szCs w:val="24"/>
                <w:lang w:val="es-CO"/>
              </w:rPr>
              <w:t>16</w:t>
            </w:r>
          </w:p>
        </w:tc>
        <w:tc>
          <w:tcPr>
            <w:tcW w:w="7623" w:type="dxa"/>
            <w:vAlign w:val="center"/>
          </w:tcPr>
          <w:p w:rsidR="00C310DF" w:rsidRPr="00BC7F3F" w:rsidRDefault="00C310DF" w:rsidP="00C310DF">
            <w:pPr>
              <w:cnfStyle w:val="000000000000"/>
              <w:rPr>
                <w:rFonts w:ascii="Verdana" w:hAnsi="Verdana"/>
                <w:color w:val="000000"/>
                <w:sz w:val="24"/>
                <w:szCs w:val="24"/>
                <w:lang w:val="es-CO"/>
              </w:rPr>
            </w:pPr>
            <w:r w:rsidRPr="00BC7F3F">
              <w:rPr>
                <w:rFonts w:ascii="Verdana" w:hAnsi="Verdana"/>
                <w:color w:val="000000"/>
                <w:sz w:val="24"/>
                <w:szCs w:val="24"/>
                <w:lang w:val="es-CO"/>
              </w:rPr>
              <w:t>Colección de boletines de la Unidad de Atención y Reparación Integral a las Víctimas</w:t>
            </w:r>
          </w:p>
        </w:tc>
        <w:tc>
          <w:tcPr>
            <w:tcW w:w="1191" w:type="dxa"/>
            <w:vAlign w:val="center"/>
          </w:tcPr>
          <w:p w:rsidR="00C310DF" w:rsidRPr="00BC7F3F" w:rsidRDefault="00C310DF" w:rsidP="001928B9">
            <w:pPr>
              <w:jc w:val="center"/>
              <w:cnfStyle w:val="000000000000"/>
              <w:rPr>
                <w:rFonts w:ascii="Verdana" w:hAnsi="Verdana"/>
                <w:color w:val="000000"/>
                <w:sz w:val="24"/>
                <w:szCs w:val="24"/>
                <w:lang w:val="es-CO"/>
              </w:rPr>
            </w:pPr>
            <w:r w:rsidRPr="00BC7F3F">
              <w:rPr>
                <w:rFonts w:ascii="Verdana" w:hAnsi="Verdana"/>
                <w:color w:val="000000"/>
                <w:sz w:val="24"/>
                <w:szCs w:val="24"/>
                <w:lang w:val="es-CO"/>
              </w:rPr>
              <w:t>322</w:t>
            </w:r>
          </w:p>
        </w:tc>
      </w:tr>
      <w:tr w:rsidR="00C310DF" w:rsidRPr="00BC7F3F" w:rsidTr="00C310DF">
        <w:trPr>
          <w:cnfStyle w:val="000000100000"/>
          <w:jc w:val="center"/>
        </w:trPr>
        <w:tc>
          <w:tcPr>
            <w:cnfStyle w:val="001000000000"/>
            <w:tcW w:w="425" w:type="dxa"/>
            <w:vAlign w:val="center"/>
          </w:tcPr>
          <w:p w:rsidR="00C310DF" w:rsidRPr="00BC7F3F" w:rsidRDefault="00C310DF" w:rsidP="00C310DF">
            <w:pPr>
              <w:jc w:val="center"/>
              <w:rPr>
                <w:rFonts w:ascii="Verdana" w:hAnsi="Verdana"/>
                <w:b w:val="0"/>
                <w:color w:val="000000"/>
                <w:sz w:val="24"/>
                <w:szCs w:val="24"/>
                <w:lang w:val="es-CO"/>
              </w:rPr>
            </w:pPr>
            <w:r w:rsidRPr="00BC7F3F">
              <w:rPr>
                <w:rFonts w:ascii="Verdana" w:hAnsi="Verdana"/>
                <w:b w:val="0"/>
                <w:color w:val="000000"/>
                <w:sz w:val="24"/>
                <w:szCs w:val="24"/>
                <w:lang w:val="es-CO"/>
              </w:rPr>
              <w:t>17</w:t>
            </w:r>
          </w:p>
        </w:tc>
        <w:tc>
          <w:tcPr>
            <w:tcW w:w="7623" w:type="dxa"/>
            <w:vAlign w:val="center"/>
          </w:tcPr>
          <w:p w:rsidR="00C310DF" w:rsidRPr="00BC7F3F" w:rsidRDefault="00C310DF" w:rsidP="00C310DF">
            <w:pPr>
              <w:cnfStyle w:val="000000100000"/>
              <w:rPr>
                <w:rFonts w:ascii="Verdana" w:hAnsi="Verdana"/>
                <w:color w:val="000000"/>
                <w:sz w:val="24"/>
                <w:szCs w:val="24"/>
                <w:lang w:val="es-CO"/>
              </w:rPr>
            </w:pPr>
            <w:r w:rsidRPr="00BC7F3F">
              <w:rPr>
                <w:rFonts w:ascii="Verdana" w:hAnsi="Verdana"/>
                <w:color w:val="000000"/>
                <w:sz w:val="24"/>
                <w:szCs w:val="24"/>
                <w:lang w:val="es-CO"/>
              </w:rPr>
              <w:t>Material Bibliográfico – Oficina del Alto Comisionado de las Naciones Unidas - ONU</w:t>
            </w:r>
          </w:p>
        </w:tc>
        <w:tc>
          <w:tcPr>
            <w:tcW w:w="1191" w:type="dxa"/>
            <w:vAlign w:val="center"/>
          </w:tcPr>
          <w:p w:rsidR="00C310DF" w:rsidRPr="00BC7F3F" w:rsidRDefault="00C310DF" w:rsidP="001928B9">
            <w:pPr>
              <w:jc w:val="center"/>
              <w:cnfStyle w:val="000000100000"/>
              <w:rPr>
                <w:rFonts w:ascii="Verdana" w:hAnsi="Verdana"/>
                <w:color w:val="000000"/>
                <w:sz w:val="24"/>
                <w:szCs w:val="24"/>
                <w:lang w:val="es-CO"/>
              </w:rPr>
            </w:pPr>
            <w:r w:rsidRPr="00BC7F3F">
              <w:rPr>
                <w:rFonts w:ascii="Verdana" w:hAnsi="Verdana"/>
                <w:color w:val="000000"/>
                <w:sz w:val="24"/>
                <w:szCs w:val="24"/>
                <w:lang w:val="es-CO"/>
              </w:rPr>
              <w:t>917</w:t>
            </w:r>
          </w:p>
        </w:tc>
      </w:tr>
      <w:tr w:rsidR="00C310DF" w:rsidRPr="00BC7F3F" w:rsidTr="00C310DF">
        <w:trPr>
          <w:jc w:val="center"/>
        </w:trPr>
        <w:tc>
          <w:tcPr>
            <w:cnfStyle w:val="001000000000"/>
            <w:tcW w:w="425" w:type="dxa"/>
            <w:vAlign w:val="center"/>
          </w:tcPr>
          <w:p w:rsidR="00C310DF" w:rsidRPr="00BC7F3F" w:rsidRDefault="00C310DF" w:rsidP="00C310DF">
            <w:pPr>
              <w:jc w:val="center"/>
              <w:rPr>
                <w:rFonts w:ascii="Verdana" w:hAnsi="Verdana"/>
                <w:b w:val="0"/>
                <w:color w:val="000000"/>
                <w:sz w:val="24"/>
                <w:szCs w:val="24"/>
                <w:lang w:val="es-CO"/>
              </w:rPr>
            </w:pPr>
            <w:r w:rsidRPr="00BC7F3F">
              <w:rPr>
                <w:rFonts w:ascii="Verdana" w:hAnsi="Verdana"/>
                <w:b w:val="0"/>
                <w:color w:val="000000"/>
                <w:sz w:val="24"/>
                <w:szCs w:val="24"/>
                <w:lang w:val="es-CO"/>
              </w:rPr>
              <w:t>18</w:t>
            </w:r>
          </w:p>
        </w:tc>
        <w:tc>
          <w:tcPr>
            <w:tcW w:w="7623" w:type="dxa"/>
            <w:vAlign w:val="center"/>
          </w:tcPr>
          <w:p w:rsidR="00C310DF" w:rsidRPr="00BC7F3F" w:rsidRDefault="00C310DF" w:rsidP="00C310DF">
            <w:pPr>
              <w:cnfStyle w:val="000000000000"/>
              <w:rPr>
                <w:rFonts w:ascii="Verdana" w:hAnsi="Verdana"/>
                <w:color w:val="000000"/>
                <w:sz w:val="24"/>
                <w:szCs w:val="24"/>
                <w:lang w:val="es-CO"/>
              </w:rPr>
            </w:pPr>
            <w:r w:rsidRPr="00BC7F3F">
              <w:rPr>
                <w:rFonts w:ascii="Verdana" w:hAnsi="Verdana"/>
                <w:color w:val="000000"/>
                <w:sz w:val="24"/>
                <w:szCs w:val="24"/>
                <w:lang w:val="es-CO"/>
              </w:rPr>
              <w:t>Fondo Temistocles Machado</w:t>
            </w:r>
          </w:p>
        </w:tc>
        <w:tc>
          <w:tcPr>
            <w:tcW w:w="1191" w:type="dxa"/>
            <w:vAlign w:val="center"/>
          </w:tcPr>
          <w:p w:rsidR="00C310DF" w:rsidRPr="00BC7F3F" w:rsidRDefault="00C310DF" w:rsidP="001928B9">
            <w:pPr>
              <w:jc w:val="center"/>
              <w:cnfStyle w:val="000000000000"/>
              <w:rPr>
                <w:rFonts w:ascii="Verdana" w:hAnsi="Verdana"/>
                <w:color w:val="000000"/>
                <w:sz w:val="24"/>
                <w:szCs w:val="24"/>
                <w:lang w:val="es-CO"/>
              </w:rPr>
            </w:pPr>
            <w:r w:rsidRPr="00BC7F3F">
              <w:rPr>
                <w:rFonts w:ascii="Verdana" w:hAnsi="Verdana"/>
                <w:color w:val="000000"/>
                <w:sz w:val="24"/>
                <w:szCs w:val="24"/>
                <w:lang w:val="es-CO"/>
              </w:rPr>
              <w:t>94</w:t>
            </w:r>
          </w:p>
        </w:tc>
      </w:tr>
      <w:tr w:rsidR="00C310DF" w:rsidRPr="00BC7F3F" w:rsidTr="00C310DF">
        <w:trPr>
          <w:cnfStyle w:val="000000100000"/>
          <w:jc w:val="center"/>
        </w:trPr>
        <w:tc>
          <w:tcPr>
            <w:cnfStyle w:val="001000000000"/>
            <w:tcW w:w="425" w:type="dxa"/>
            <w:vAlign w:val="center"/>
          </w:tcPr>
          <w:p w:rsidR="00C310DF" w:rsidRPr="00BC7F3F" w:rsidRDefault="00C310DF" w:rsidP="00C310DF">
            <w:pPr>
              <w:jc w:val="center"/>
              <w:rPr>
                <w:rFonts w:ascii="Verdana" w:hAnsi="Verdana"/>
                <w:b w:val="0"/>
                <w:color w:val="000000"/>
                <w:sz w:val="24"/>
                <w:szCs w:val="24"/>
                <w:lang w:val="es-CO"/>
              </w:rPr>
            </w:pPr>
            <w:r w:rsidRPr="00BC7F3F">
              <w:rPr>
                <w:rFonts w:ascii="Verdana" w:hAnsi="Verdana"/>
                <w:b w:val="0"/>
                <w:color w:val="000000"/>
                <w:sz w:val="24"/>
                <w:szCs w:val="24"/>
                <w:lang w:val="es-CO"/>
              </w:rPr>
              <w:t>19</w:t>
            </w:r>
          </w:p>
        </w:tc>
        <w:tc>
          <w:tcPr>
            <w:tcW w:w="7623" w:type="dxa"/>
            <w:vAlign w:val="center"/>
          </w:tcPr>
          <w:p w:rsidR="00C310DF" w:rsidRPr="00BC7F3F" w:rsidRDefault="00C310DF" w:rsidP="00C310DF">
            <w:pPr>
              <w:cnfStyle w:val="000000100000"/>
              <w:rPr>
                <w:rFonts w:ascii="Verdana" w:hAnsi="Verdana"/>
                <w:color w:val="000000"/>
                <w:sz w:val="24"/>
                <w:szCs w:val="24"/>
                <w:lang w:val="es-CO"/>
              </w:rPr>
            </w:pPr>
            <w:r w:rsidRPr="00BC7F3F">
              <w:rPr>
                <w:rFonts w:ascii="Verdana" w:hAnsi="Verdana"/>
                <w:color w:val="000000"/>
                <w:sz w:val="24"/>
                <w:szCs w:val="24"/>
                <w:lang w:val="es-CO"/>
              </w:rPr>
              <w:t>Fondo Fabiola Lalinde</w:t>
            </w:r>
          </w:p>
        </w:tc>
        <w:tc>
          <w:tcPr>
            <w:tcW w:w="1191" w:type="dxa"/>
            <w:vAlign w:val="center"/>
          </w:tcPr>
          <w:p w:rsidR="00C310DF" w:rsidRPr="00BC7F3F" w:rsidRDefault="00C310DF" w:rsidP="001928B9">
            <w:pPr>
              <w:jc w:val="center"/>
              <w:cnfStyle w:val="000000100000"/>
              <w:rPr>
                <w:rFonts w:ascii="Verdana" w:hAnsi="Verdana"/>
                <w:color w:val="000000"/>
                <w:sz w:val="24"/>
                <w:szCs w:val="24"/>
                <w:lang w:val="es-CO"/>
              </w:rPr>
            </w:pPr>
            <w:r w:rsidRPr="00BC7F3F">
              <w:rPr>
                <w:rFonts w:ascii="Verdana" w:hAnsi="Verdana"/>
                <w:color w:val="000000"/>
                <w:sz w:val="24"/>
                <w:szCs w:val="24"/>
                <w:lang w:val="es-CO"/>
              </w:rPr>
              <w:t>12</w:t>
            </w:r>
          </w:p>
        </w:tc>
      </w:tr>
      <w:tr w:rsidR="00C310DF" w:rsidRPr="00BC7F3F" w:rsidTr="00C310DF">
        <w:trPr>
          <w:jc w:val="center"/>
        </w:trPr>
        <w:tc>
          <w:tcPr>
            <w:cnfStyle w:val="001000000000"/>
            <w:tcW w:w="425" w:type="dxa"/>
            <w:vAlign w:val="center"/>
          </w:tcPr>
          <w:p w:rsidR="00C310DF" w:rsidRPr="00BC7F3F" w:rsidRDefault="00C310DF" w:rsidP="00C310DF">
            <w:pPr>
              <w:jc w:val="center"/>
              <w:rPr>
                <w:rFonts w:ascii="Verdana" w:hAnsi="Verdana"/>
                <w:b w:val="0"/>
                <w:color w:val="000000"/>
                <w:sz w:val="24"/>
                <w:szCs w:val="24"/>
                <w:lang w:val="es-CO"/>
              </w:rPr>
            </w:pPr>
            <w:r w:rsidRPr="00BC7F3F">
              <w:rPr>
                <w:rFonts w:ascii="Verdana" w:hAnsi="Verdana"/>
                <w:b w:val="0"/>
                <w:color w:val="000000"/>
                <w:sz w:val="24"/>
                <w:szCs w:val="24"/>
                <w:lang w:val="es-CO"/>
              </w:rPr>
              <w:t>20</w:t>
            </w:r>
          </w:p>
        </w:tc>
        <w:tc>
          <w:tcPr>
            <w:tcW w:w="7623" w:type="dxa"/>
            <w:vAlign w:val="center"/>
          </w:tcPr>
          <w:p w:rsidR="00C310DF" w:rsidRPr="00BC7F3F" w:rsidRDefault="00C310DF" w:rsidP="00C310DF">
            <w:pPr>
              <w:cnfStyle w:val="000000000000"/>
              <w:rPr>
                <w:rFonts w:ascii="Verdana" w:hAnsi="Verdana"/>
                <w:sz w:val="24"/>
                <w:szCs w:val="24"/>
                <w:lang w:val="es-CO"/>
              </w:rPr>
            </w:pPr>
            <w:r w:rsidRPr="00BC7F3F">
              <w:rPr>
                <w:rFonts w:ascii="Verdana" w:hAnsi="Verdana"/>
                <w:sz w:val="24"/>
                <w:szCs w:val="24"/>
                <w:lang w:val="es-CO"/>
              </w:rPr>
              <w:t>Fondo Asociación de Trabajadores Campesinos del Carare -ATCC</w:t>
            </w:r>
          </w:p>
        </w:tc>
        <w:tc>
          <w:tcPr>
            <w:tcW w:w="1191" w:type="dxa"/>
            <w:vAlign w:val="center"/>
          </w:tcPr>
          <w:p w:rsidR="00C310DF" w:rsidRPr="00BC7F3F" w:rsidRDefault="00C310DF" w:rsidP="001928B9">
            <w:pPr>
              <w:jc w:val="center"/>
              <w:cnfStyle w:val="000000000000"/>
              <w:rPr>
                <w:rFonts w:ascii="Verdana" w:hAnsi="Verdana"/>
                <w:color w:val="000000"/>
                <w:sz w:val="24"/>
                <w:szCs w:val="24"/>
                <w:lang w:val="es-CO"/>
              </w:rPr>
            </w:pPr>
            <w:r w:rsidRPr="00BC7F3F">
              <w:rPr>
                <w:rFonts w:ascii="Verdana" w:hAnsi="Verdana"/>
                <w:color w:val="000000"/>
                <w:sz w:val="24"/>
                <w:szCs w:val="24"/>
                <w:lang w:val="es-CO"/>
              </w:rPr>
              <w:t>368</w:t>
            </w:r>
          </w:p>
        </w:tc>
      </w:tr>
      <w:tr w:rsidR="00C310DF" w:rsidRPr="00BC7F3F" w:rsidTr="00C310DF">
        <w:trPr>
          <w:cnfStyle w:val="000000100000"/>
          <w:jc w:val="center"/>
        </w:trPr>
        <w:tc>
          <w:tcPr>
            <w:cnfStyle w:val="001000000000"/>
            <w:tcW w:w="425" w:type="dxa"/>
            <w:vAlign w:val="center"/>
          </w:tcPr>
          <w:p w:rsidR="00C310DF" w:rsidRPr="00BC7F3F" w:rsidRDefault="00C310DF" w:rsidP="00C310DF">
            <w:pPr>
              <w:jc w:val="center"/>
              <w:rPr>
                <w:rFonts w:ascii="Verdana" w:hAnsi="Verdana"/>
                <w:b w:val="0"/>
                <w:color w:val="000000"/>
                <w:sz w:val="24"/>
                <w:szCs w:val="24"/>
                <w:lang w:val="es-CO"/>
              </w:rPr>
            </w:pPr>
            <w:r w:rsidRPr="00BC7F3F">
              <w:rPr>
                <w:rFonts w:ascii="Verdana" w:hAnsi="Verdana"/>
                <w:b w:val="0"/>
                <w:color w:val="000000"/>
                <w:sz w:val="24"/>
                <w:szCs w:val="24"/>
                <w:lang w:val="es-CO"/>
              </w:rPr>
              <w:lastRenderedPageBreak/>
              <w:t>21</w:t>
            </w:r>
          </w:p>
        </w:tc>
        <w:tc>
          <w:tcPr>
            <w:tcW w:w="7623" w:type="dxa"/>
            <w:vAlign w:val="center"/>
          </w:tcPr>
          <w:p w:rsidR="00C310DF" w:rsidRPr="00BC7F3F" w:rsidRDefault="00C310DF" w:rsidP="00C310DF">
            <w:pPr>
              <w:cnfStyle w:val="000000100000"/>
              <w:rPr>
                <w:rFonts w:ascii="Verdana" w:hAnsi="Verdana"/>
                <w:color w:val="000000"/>
                <w:sz w:val="24"/>
                <w:szCs w:val="24"/>
                <w:lang w:val="es-CO"/>
              </w:rPr>
            </w:pPr>
            <w:r w:rsidRPr="00BC7F3F">
              <w:rPr>
                <w:rFonts w:ascii="Verdana" w:hAnsi="Verdana"/>
                <w:color w:val="000000"/>
                <w:sz w:val="24"/>
                <w:szCs w:val="24"/>
                <w:lang w:val="es-CO"/>
              </w:rPr>
              <w:t>Colección de archivo Javier Calambas Tunubala</w:t>
            </w:r>
          </w:p>
        </w:tc>
        <w:tc>
          <w:tcPr>
            <w:tcW w:w="1191" w:type="dxa"/>
            <w:vAlign w:val="center"/>
          </w:tcPr>
          <w:p w:rsidR="00C310DF" w:rsidRPr="00BC7F3F" w:rsidRDefault="00C310DF" w:rsidP="001928B9">
            <w:pPr>
              <w:jc w:val="center"/>
              <w:cnfStyle w:val="000000100000"/>
              <w:rPr>
                <w:rFonts w:ascii="Verdana" w:hAnsi="Verdana"/>
                <w:color w:val="000000"/>
                <w:sz w:val="24"/>
                <w:szCs w:val="24"/>
                <w:lang w:val="es-CO"/>
              </w:rPr>
            </w:pPr>
            <w:r w:rsidRPr="00BC7F3F">
              <w:rPr>
                <w:rFonts w:ascii="Verdana" w:hAnsi="Verdana"/>
                <w:color w:val="000000"/>
                <w:sz w:val="24"/>
                <w:szCs w:val="24"/>
                <w:lang w:val="es-CO"/>
              </w:rPr>
              <w:t>4</w:t>
            </w:r>
          </w:p>
        </w:tc>
      </w:tr>
      <w:tr w:rsidR="00C310DF" w:rsidRPr="00BC7F3F" w:rsidTr="00C310DF">
        <w:trPr>
          <w:jc w:val="center"/>
        </w:trPr>
        <w:tc>
          <w:tcPr>
            <w:cnfStyle w:val="001000000000"/>
            <w:tcW w:w="425" w:type="dxa"/>
            <w:vAlign w:val="center"/>
          </w:tcPr>
          <w:p w:rsidR="00C310DF" w:rsidRPr="00BC7F3F" w:rsidRDefault="00C310DF" w:rsidP="00C310DF">
            <w:pPr>
              <w:jc w:val="center"/>
              <w:rPr>
                <w:rFonts w:ascii="Verdana" w:hAnsi="Verdana"/>
                <w:b w:val="0"/>
                <w:color w:val="000000"/>
                <w:sz w:val="24"/>
                <w:szCs w:val="24"/>
                <w:lang w:val="es-CO"/>
              </w:rPr>
            </w:pPr>
            <w:r w:rsidRPr="00BC7F3F">
              <w:rPr>
                <w:rFonts w:ascii="Verdana" w:hAnsi="Verdana"/>
                <w:b w:val="0"/>
                <w:color w:val="000000"/>
                <w:sz w:val="24"/>
                <w:szCs w:val="24"/>
                <w:lang w:val="es-CO"/>
              </w:rPr>
              <w:t>22</w:t>
            </w:r>
          </w:p>
        </w:tc>
        <w:tc>
          <w:tcPr>
            <w:tcW w:w="7623" w:type="dxa"/>
            <w:vAlign w:val="center"/>
          </w:tcPr>
          <w:p w:rsidR="00C310DF" w:rsidRPr="00BC7F3F" w:rsidRDefault="00C310DF" w:rsidP="00C310DF">
            <w:pPr>
              <w:cnfStyle w:val="000000000000"/>
              <w:rPr>
                <w:rFonts w:ascii="Verdana" w:hAnsi="Verdana"/>
                <w:sz w:val="24"/>
                <w:szCs w:val="24"/>
                <w:lang w:val="es-CO"/>
              </w:rPr>
            </w:pPr>
            <w:r w:rsidRPr="00BC7F3F">
              <w:rPr>
                <w:rFonts w:ascii="Verdana" w:hAnsi="Verdana"/>
                <w:sz w:val="24"/>
                <w:szCs w:val="24"/>
                <w:lang w:val="es-CO"/>
              </w:rPr>
              <w:t>Fondo personal Nicolás Lemus y Luz Myriam Linares</w:t>
            </w:r>
          </w:p>
        </w:tc>
        <w:tc>
          <w:tcPr>
            <w:tcW w:w="1191" w:type="dxa"/>
            <w:vAlign w:val="center"/>
          </w:tcPr>
          <w:p w:rsidR="00C310DF" w:rsidRPr="00BC7F3F" w:rsidRDefault="00C310DF" w:rsidP="001928B9">
            <w:pPr>
              <w:jc w:val="center"/>
              <w:cnfStyle w:val="000000000000"/>
              <w:rPr>
                <w:rFonts w:ascii="Verdana" w:hAnsi="Verdana"/>
                <w:color w:val="000000"/>
                <w:sz w:val="24"/>
                <w:szCs w:val="24"/>
                <w:lang w:val="es-CO"/>
              </w:rPr>
            </w:pPr>
            <w:r w:rsidRPr="00BC7F3F">
              <w:rPr>
                <w:rFonts w:ascii="Verdana" w:hAnsi="Verdana"/>
                <w:color w:val="000000"/>
                <w:sz w:val="24"/>
                <w:szCs w:val="24"/>
                <w:lang w:val="es-CO"/>
              </w:rPr>
              <w:t>7</w:t>
            </w:r>
          </w:p>
        </w:tc>
      </w:tr>
      <w:tr w:rsidR="00C310DF" w:rsidRPr="00BC7F3F" w:rsidTr="00C310DF">
        <w:trPr>
          <w:cnfStyle w:val="000000100000"/>
          <w:jc w:val="center"/>
        </w:trPr>
        <w:tc>
          <w:tcPr>
            <w:cnfStyle w:val="001000000000"/>
            <w:tcW w:w="425" w:type="dxa"/>
            <w:vAlign w:val="center"/>
          </w:tcPr>
          <w:p w:rsidR="00C310DF" w:rsidRPr="00BC7F3F" w:rsidRDefault="00C310DF" w:rsidP="00C310DF">
            <w:pPr>
              <w:jc w:val="center"/>
              <w:rPr>
                <w:rFonts w:ascii="Verdana" w:hAnsi="Verdana"/>
                <w:b w:val="0"/>
                <w:color w:val="000000"/>
                <w:sz w:val="24"/>
                <w:szCs w:val="24"/>
                <w:lang w:val="es-CO"/>
              </w:rPr>
            </w:pPr>
            <w:r w:rsidRPr="00BC7F3F">
              <w:rPr>
                <w:rFonts w:ascii="Verdana" w:hAnsi="Verdana"/>
                <w:b w:val="0"/>
                <w:color w:val="000000"/>
                <w:sz w:val="24"/>
                <w:szCs w:val="24"/>
                <w:lang w:val="es-CO"/>
              </w:rPr>
              <w:t>23</w:t>
            </w:r>
          </w:p>
        </w:tc>
        <w:tc>
          <w:tcPr>
            <w:tcW w:w="7623" w:type="dxa"/>
            <w:vAlign w:val="center"/>
          </w:tcPr>
          <w:p w:rsidR="00C310DF" w:rsidRPr="00BC7F3F" w:rsidRDefault="00C310DF" w:rsidP="00C310DF">
            <w:pPr>
              <w:cnfStyle w:val="000000100000"/>
              <w:rPr>
                <w:rFonts w:ascii="Verdana" w:hAnsi="Verdana"/>
                <w:sz w:val="24"/>
                <w:szCs w:val="24"/>
                <w:lang w:val="es-CO"/>
              </w:rPr>
            </w:pPr>
            <w:r w:rsidRPr="00BC7F3F">
              <w:rPr>
                <w:rFonts w:ascii="Verdana" w:hAnsi="Verdana"/>
                <w:sz w:val="24"/>
                <w:szCs w:val="24"/>
                <w:lang w:val="es-CO"/>
              </w:rPr>
              <w:t xml:space="preserve">Oraloteca de la Universidad de Magdalena </w:t>
            </w:r>
          </w:p>
        </w:tc>
        <w:tc>
          <w:tcPr>
            <w:tcW w:w="1191" w:type="dxa"/>
            <w:vAlign w:val="center"/>
          </w:tcPr>
          <w:p w:rsidR="00C310DF" w:rsidRPr="00BC7F3F" w:rsidRDefault="00C310DF" w:rsidP="001928B9">
            <w:pPr>
              <w:jc w:val="center"/>
              <w:cnfStyle w:val="000000100000"/>
              <w:rPr>
                <w:rFonts w:ascii="Verdana" w:hAnsi="Verdana"/>
                <w:color w:val="000000"/>
                <w:sz w:val="24"/>
                <w:szCs w:val="24"/>
                <w:lang w:val="es-CO"/>
              </w:rPr>
            </w:pPr>
            <w:r w:rsidRPr="00BC7F3F">
              <w:rPr>
                <w:rFonts w:ascii="Verdana" w:hAnsi="Verdana"/>
                <w:color w:val="000000"/>
                <w:sz w:val="24"/>
                <w:szCs w:val="24"/>
                <w:lang w:val="es-CO"/>
              </w:rPr>
              <w:t>3</w:t>
            </w:r>
          </w:p>
        </w:tc>
      </w:tr>
      <w:tr w:rsidR="00C310DF" w:rsidRPr="00BC7F3F" w:rsidTr="00C310DF">
        <w:trPr>
          <w:jc w:val="center"/>
        </w:trPr>
        <w:tc>
          <w:tcPr>
            <w:cnfStyle w:val="001000000000"/>
            <w:tcW w:w="425" w:type="dxa"/>
            <w:vAlign w:val="center"/>
          </w:tcPr>
          <w:p w:rsidR="00C310DF" w:rsidRPr="00BC7F3F" w:rsidRDefault="00C310DF" w:rsidP="00C310DF">
            <w:pPr>
              <w:jc w:val="center"/>
              <w:rPr>
                <w:rFonts w:ascii="Verdana" w:hAnsi="Verdana"/>
                <w:b w:val="0"/>
                <w:color w:val="000000"/>
                <w:sz w:val="24"/>
                <w:szCs w:val="24"/>
                <w:lang w:val="es-CO"/>
              </w:rPr>
            </w:pPr>
            <w:r w:rsidRPr="00BC7F3F">
              <w:rPr>
                <w:rFonts w:ascii="Verdana" w:hAnsi="Verdana"/>
                <w:b w:val="0"/>
                <w:color w:val="000000"/>
                <w:sz w:val="24"/>
                <w:szCs w:val="24"/>
                <w:lang w:val="es-CO"/>
              </w:rPr>
              <w:t>24</w:t>
            </w:r>
          </w:p>
        </w:tc>
        <w:tc>
          <w:tcPr>
            <w:tcW w:w="7623" w:type="dxa"/>
            <w:vAlign w:val="center"/>
          </w:tcPr>
          <w:p w:rsidR="00C310DF" w:rsidRPr="00BC7F3F" w:rsidRDefault="00C310DF" w:rsidP="00C310DF">
            <w:pPr>
              <w:cnfStyle w:val="000000000000"/>
              <w:rPr>
                <w:rFonts w:ascii="Verdana" w:hAnsi="Verdana"/>
                <w:sz w:val="24"/>
                <w:szCs w:val="24"/>
                <w:lang w:val="es-CO"/>
              </w:rPr>
            </w:pPr>
            <w:r w:rsidRPr="00BC7F3F">
              <w:rPr>
                <w:rFonts w:ascii="Verdana" w:hAnsi="Verdana"/>
                <w:sz w:val="24"/>
                <w:szCs w:val="24"/>
                <w:lang w:val="es-CO"/>
              </w:rPr>
              <w:t>Asociación Tierra de Esperanza</w:t>
            </w:r>
          </w:p>
        </w:tc>
        <w:tc>
          <w:tcPr>
            <w:tcW w:w="1191" w:type="dxa"/>
            <w:vAlign w:val="center"/>
          </w:tcPr>
          <w:p w:rsidR="00C310DF" w:rsidRPr="00BC7F3F" w:rsidRDefault="00C310DF" w:rsidP="001928B9">
            <w:pPr>
              <w:jc w:val="center"/>
              <w:cnfStyle w:val="000000000000"/>
              <w:rPr>
                <w:rFonts w:ascii="Verdana" w:hAnsi="Verdana"/>
                <w:color w:val="000000"/>
                <w:sz w:val="24"/>
                <w:szCs w:val="24"/>
                <w:lang w:val="es-CO"/>
              </w:rPr>
            </w:pPr>
            <w:r w:rsidRPr="00BC7F3F">
              <w:rPr>
                <w:rFonts w:ascii="Verdana" w:hAnsi="Verdana"/>
                <w:color w:val="000000"/>
                <w:sz w:val="24"/>
                <w:szCs w:val="24"/>
                <w:lang w:val="es-CO"/>
              </w:rPr>
              <w:t>34</w:t>
            </w:r>
          </w:p>
        </w:tc>
      </w:tr>
      <w:tr w:rsidR="00C310DF" w:rsidRPr="00BC7F3F" w:rsidTr="00C310DF">
        <w:trPr>
          <w:cnfStyle w:val="000000100000"/>
          <w:jc w:val="center"/>
        </w:trPr>
        <w:tc>
          <w:tcPr>
            <w:cnfStyle w:val="001000000000"/>
            <w:tcW w:w="8048" w:type="dxa"/>
            <w:gridSpan w:val="2"/>
            <w:vAlign w:val="center"/>
          </w:tcPr>
          <w:p w:rsidR="00C310DF" w:rsidRPr="00BC7F3F" w:rsidRDefault="00C310DF" w:rsidP="00C310DF">
            <w:pPr>
              <w:jc w:val="right"/>
              <w:rPr>
                <w:rFonts w:ascii="Verdana" w:hAnsi="Verdana"/>
                <w:sz w:val="24"/>
                <w:szCs w:val="24"/>
                <w:lang w:val="es-CO"/>
              </w:rPr>
            </w:pPr>
            <w:r w:rsidRPr="00BC7F3F">
              <w:rPr>
                <w:rFonts w:ascii="Verdana" w:hAnsi="Verdana"/>
                <w:sz w:val="24"/>
                <w:szCs w:val="24"/>
                <w:lang w:val="es-CO"/>
              </w:rPr>
              <w:t xml:space="preserve">TOTAL </w:t>
            </w:r>
          </w:p>
        </w:tc>
        <w:tc>
          <w:tcPr>
            <w:tcW w:w="1191" w:type="dxa"/>
            <w:vAlign w:val="center"/>
          </w:tcPr>
          <w:p w:rsidR="00C310DF" w:rsidRPr="00BC7F3F" w:rsidRDefault="00C310DF" w:rsidP="001928B9">
            <w:pPr>
              <w:jc w:val="center"/>
              <w:cnfStyle w:val="000000100000"/>
              <w:rPr>
                <w:rFonts w:ascii="Verdana" w:hAnsi="Verdana"/>
                <w:b/>
                <w:color w:val="000000"/>
                <w:sz w:val="24"/>
                <w:szCs w:val="24"/>
                <w:lang w:val="es-CO"/>
              </w:rPr>
            </w:pPr>
            <w:r w:rsidRPr="00BC7F3F">
              <w:rPr>
                <w:rFonts w:ascii="Verdana" w:hAnsi="Verdana"/>
                <w:b/>
                <w:color w:val="000000"/>
                <w:sz w:val="24"/>
                <w:szCs w:val="24"/>
                <w:lang w:val="es-CO"/>
              </w:rPr>
              <w:t>22.547</w:t>
            </w:r>
          </w:p>
        </w:tc>
      </w:tr>
    </w:tbl>
    <w:p w:rsidR="00C310DF" w:rsidRPr="00BC7F3F" w:rsidRDefault="00C310DF" w:rsidP="001928B9">
      <w:pPr>
        <w:spacing w:after="0" w:line="240" w:lineRule="auto"/>
        <w:jc w:val="right"/>
        <w:rPr>
          <w:rFonts w:ascii="Verdana" w:hAnsi="Verdana" w:cs="Arial"/>
          <w:bCs/>
          <w:sz w:val="24"/>
          <w:szCs w:val="24"/>
          <w:shd w:val="clear" w:color="auto" w:fill="FFFFFF"/>
        </w:rPr>
      </w:pPr>
      <w:r w:rsidRPr="00BC7F3F">
        <w:rPr>
          <w:rFonts w:ascii="Verdana" w:hAnsi="Verdana" w:cs="Arial"/>
          <w:bCs/>
          <w:sz w:val="24"/>
          <w:szCs w:val="24"/>
          <w:shd w:val="clear" w:color="auto" w:fill="FFFFFF"/>
        </w:rPr>
        <w:t>Fuente:</w:t>
      </w:r>
      <w:r w:rsidRPr="00BC7F3F">
        <w:rPr>
          <w:rFonts w:ascii="Verdana" w:hAnsi="Verdana" w:cs="Arial"/>
          <w:b/>
          <w:bCs/>
          <w:sz w:val="24"/>
          <w:szCs w:val="24"/>
          <w:shd w:val="clear" w:color="auto" w:fill="FFFFFF"/>
        </w:rPr>
        <w:t xml:space="preserve"> </w:t>
      </w:r>
      <w:r w:rsidRPr="00BC7F3F">
        <w:rPr>
          <w:rFonts w:ascii="Verdana" w:hAnsi="Verdana" w:cs="Arial"/>
          <w:bCs/>
          <w:sz w:val="24"/>
          <w:szCs w:val="24"/>
          <w:shd w:val="clear" w:color="auto" w:fill="FFFFFF"/>
        </w:rPr>
        <w:t>Dirección de Archivo de los Derechos Humanos. 2014.</w:t>
      </w:r>
    </w:p>
    <w:p w:rsidR="00C310DF" w:rsidRPr="00BC7F3F" w:rsidRDefault="00C310DF" w:rsidP="00C310DF">
      <w:pPr>
        <w:spacing w:after="0" w:line="240" w:lineRule="auto"/>
        <w:jc w:val="both"/>
        <w:rPr>
          <w:rFonts w:ascii="Verdana" w:hAnsi="Verdana" w:cs="Arial"/>
          <w:bCs/>
          <w:sz w:val="24"/>
          <w:szCs w:val="24"/>
          <w:shd w:val="clear" w:color="auto" w:fill="FFFFFF"/>
        </w:rPr>
      </w:pPr>
    </w:p>
    <w:p w:rsidR="00C310DF" w:rsidRPr="00BC7F3F" w:rsidRDefault="00C310DF" w:rsidP="00C310DF">
      <w:pPr>
        <w:spacing w:after="0" w:line="240" w:lineRule="auto"/>
        <w:jc w:val="both"/>
        <w:rPr>
          <w:rFonts w:ascii="Verdana" w:hAnsi="Verdana"/>
          <w:sz w:val="24"/>
          <w:szCs w:val="24"/>
        </w:rPr>
      </w:pPr>
      <w:r w:rsidRPr="00BC7F3F">
        <w:rPr>
          <w:rFonts w:ascii="Verdana" w:hAnsi="Verdana"/>
          <w:sz w:val="24"/>
          <w:szCs w:val="24"/>
        </w:rPr>
        <w:t>Por otra parte, se elaboró la “</w:t>
      </w:r>
      <w:r w:rsidRPr="00BC7F3F">
        <w:rPr>
          <w:rFonts w:ascii="Verdana" w:hAnsi="Verdana"/>
          <w:i/>
          <w:sz w:val="24"/>
          <w:szCs w:val="24"/>
        </w:rPr>
        <w:t>Guía técnica para el acopio de expedientes judiciales de restitución de tierras</w:t>
      </w:r>
      <w:r w:rsidRPr="00BC7F3F">
        <w:rPr>
          <w:rFonts w:ascii="Verdana" w:hAnsi="Verdana"/>
          <w:sz w:val="24"/>
          <w:szCs w:val="24"/>
        </w:rPr>
        <w:t>”, la cual se socializó con representantes de jueces de restitución de tierras en el subcomité de la sala administrativa del Consejo Superior de la Judicatura y en la actualidad se usa como instrumento para la recopilación de archivos con base en las órdenes fijadas por medio de las sentencias de restitución de tierra.</w:t>
      </w:r>
    </w:p>
    <w:p w:rsidR="00C310DF" w:rsidRPr="00BC7F3F" w:rsidRDefault="00C310DF" w:rsidP="00C310DF">
      <w:pPr>
        <w:spacing w:after="0" w:line="240" w:lineRule="auto"/>
        <w:jc w:val="both"/>
        <w:rPr>
          <w:rFonts w:ascii="Verdana" w:hAnsi="Verdana"/>
          <w:sz w:val="24"/>
          <w:szCs w:val="24"/>
        </w:rPr>
      </w:pPr>
    </w:p>
    <w:p w:rsidR="00C310DF" w:rsidRPr="00BC7F3F" w:rsidRDefault="00C310DF" w:rsidP="00C310DF">
      <w:pPr>
        <w:spacing w:after="0" w:line="240" w:lineRule="auto"/>
        <w:jc w:val="both"/>
        <w:rPr>
          <w:rFonts w:ascii="Verdana" w:hAnsi="Verdana"/>
          <w:sz w:val="24"/>
          <w:szCs w:val="24"/>
        </w:rPr>
      </w:pPr>
      <w:r w:rsidRPr="00BC7F3F">
        <w:rPr>
          <w:rFonts w:ascii="Verdana" w:hAnsi="Verdana"/>
          <w:sz w:val="24"/>
          <w:szCs w:val="24"/>
        </w:rPr>
        <w:t>De igual manera, se elaboró la primera versión de la “</w:t>
      </w:r>
      <w:r w:rsidRPr="00BC7F3F">
        <w:rPr>
          <w:rFonts w:ascii="Verdana" w:hAnsi="Verdana"/>
          <w:i/>
          <w:sz w:val="24"/>
          <w:szCs w:val="24"/>
        </w:rPr>
        <w:t>Guía para la Protección de Datos Sensibles y Personales, Presentes en los Archivos de Fondos y Colecciones Documentales Acopiadas por la Dirección de Archivo de los Derechos Humanos</w:t>
      </w:r>
      <w:r w:rsidRPr="00BC7F3F">
        <w:rPr>
          <w:rFonts w:ascii="Verdana" w:hAnsi="Verdana"/>
          <w:sz w:val="24"/>
          <w:szCs w:val="24"/>
        </w:rPr>
        <w:t xml:space="preserve">”, con el fin de optimizar la prestación del servicio de información y documentación al responder a la demanda de los usuarios, protegiendo la identidad de las víctimas y evitando la revictimización. </w:t>
      </w:r>
    </w:p>
    <w:p w:rsidR="00C310DF" w:rsidRPr="00BC7F3F" w:rsidRDefault="00C310DF" w:rsidP="00C310DF">
      <w:pPr>
        <w:spacing w:after="0" w:line="240" w:lineRule="auto"/>
        <w:jc w:val="both"/>
        <w:rPr>
          <w:rFonts w:ascii="Verdana" w:hAnsi="Verdana"/>
          <w:sz w:val="24"/>
          <w:szCs w:val="24"/>
        </w:rPr>
      </w:pPr>
    </w:p>
    <w:p w:rsidR="00C310DF" w:rsidRPr="00BC7F3F" w:rsidRDefault="00C310DF" w:rsidP="00C310DF">
      <w:pPr>
        <w:spacing w:after="0" w:line="240" w:lineRule="auto"/>
        <w:jc w:val="both"/>
        <w:rPr>
          <w:rFonts w:ascii="Verdana" w:hAnsi="Verdana"/>
          <w:sz w:val="24"/>
          <w:szCs w:val="24"/>
        </w:rPr>
      </w:pPr>
      <w:r w:rsidRPr="00BC7F3F">
        <w:rPr>
          <w:rFonts w:ascii="Verdana" w:hAnsi="Verdana"/>
          <w:sz w:val="24"/>
          <w:szCs w:val="24"/>
        </w:rPr>
        <w:t>Se avanzó en la elaboración del Tesauro de Derechos Humanos con enfoque diferencial, herramienta esencial en el análisis y recuperación de los documentos del Archivo y Centro de Documentación. En el momento se tienen normalizados 423 términos relacionados con la afectación de los Derechos Humanos en las poblaciones caracterizadas, en razón de su edad, género, orientación sexual y situación de discapacidad. La normalización de términos a través del tesauro garantiza la efectividad en la búsqueda de la información solicitada por víctimas y ciudadanía en general.</w:t>
      </w:r>
    </w:p>
    <w:p w:rsidR="00C310DF" w:rsidRPr="00BC7F3F" w:rsidRDefault="00C310DF" w:rsidP="00C310DF">
      <w:pPr>
        <w:spacing w:after="0" w:line="240" w:lineRule="auto"/>
        <w:jc w:val="both"/>
        <w:rPr>
          <w:rFonts w:ascii="Verdana" w:hAnsi="Verdana"/>
          <w:bCs/>
          <w:sz w:val="24"/>
          <w:szCs w:val="24"/>
          <w:shd w:val="clear" w:color="auto" w:fill="FFFFFF"/>
        </w:rPr>
      </w:pPr>
    </w:p>
    <w:p w:rsidR="00C310DF" w:rsidRPr="00BC7F3F" w:rsidRDefault="00C310DF" w:rsidP="00C310DF">
      <w:pPr>
        <w:spacing w:after="0" w:line="240" w:lineRule="auto"/>
        <w:jc w:val="both"/>
        <w:rPr>
          <w:rFonts w:ascii="Verdana" w:hAnsi="Verdana"/>
          <w:sz w:val="24"/>
          <w:szCs w:val="24"/>
        </w:rPr>
      </w:pPr>
      <w:r w:rsidRPr="00BC7F3F">
        <w:rPr>
          <w:rFonts w:ascii="Verdana" w:hAnsi="Verdana"/>
          <w:sz w:val="24"/>
          <w:szCs w:val="24"/>
        </w:rPr>
        <w:t xml:space="preserve">Se ejecutó un proyecto que permitió la recuperación de la información contenida en los archivos generados por el Grupo de Memoria Histórica de la extinta CNRR, agrupados en 6.247 carpetas electrónicas, asociados a las investigaciones de “Casos Emblemáticos”, contenidos en 45 CD y 153 DVD. Como resultado de este proyecto el Archivo de DDHH incrementó su acervo documental con 41.986 registros de documentos textuales, audiovisuales y fotografías analizados y </w:t>
      </w:r>
      <w:r w:rsidRPr="00BC7F3F">
        <w:rPr>
          <w:rFonts w:ascii="Verdana" w:hAnsi="Verdana"/>
          <w:sz w:val="24"/>
          <w:szCs w:val="24"/>
        </w:rPr>
        <w:lastRenderedPageBreak/>
        <w:t xml:space="preserve">descritos a profundidad con descriptores temáticos que facilitan la recuperación y consulta de la información. </w:t>
      </w:r>
    </w:p>
    <w:p w:rsidR="00C310DF" w:rsidRPr="00BC7F3F" w:rsidRDefault="00C310DF" w:rsidP="00C310DF">
      <w:pPr>
        <w:spacing w:after="0" w:line="240" w:lineRule="auto"/>
        <w:jc w:val="both"/>
        <w:rPr>
          <w:rFonts w:ascii="Verdana" w:hAnsi="Verdana"/>
          <w:sz w:val="24"/>
          <w:szCs w:val="24"/>
        </w:rPr>
      </w:pPr>
    </w:p>
    <w:p w:rsidR="00C310DF" w:rsidRPr="00BC7F3F" w:rsidRDefault="00C310DF" w:rsidP="00C310DF">
      <w:pPr>
        <w:spacing w:after="0" w:line="240" w:lineRule="auto"/>
        <w:jc w:val="both"/>
        <w:rPr>
          <w:rFonts w:ascii="Verdana" w:hAnsi="Verdana"/>
          <w:sz w:val="24"/>
          <w:szCs w:val="24"/>
        </w:rPr>
      </w:pPr>
      <w:r w:rsidRPr="00BC7F3F">
        <w:rPr>
          <w:rFonts w:ascii="Verdana" w:hAnsi="Verdana"/>
          <w:sz w:val="24"/>
          <w:szCs w:val="24"/>
        </w:rPr>
        <w:t>De igual manera, se realizó el proceso de descripción normalizada de 998 registros de material bibliográfico de DDHH y MH,  con el fin de facilitar la recuperación de la información y el proceso de migración al software de código abierto Liblime Koha®</w:t>
      </w:r>
    </w:p>
    <w:p w:rsidR="00C310DF" w:rsidRPr="00BC7F3F" w:rsidRDefault="00C310DF" w:rsidP="00C310DF">
      <w:pPr>
        <w:spacing w:after="0" w:line="240" w:lineRule="auto"/>
        <w:jc w:val="both"/>
        <w:rPr>
          <w:rFonts w:ascii="Verdana" w:hAnsi="Verdana"/>
          <w:sz w:val="24"/>
          <w:szCs w:val="24"/>
        </w:rPr>
      </w:pPr>
    </w:p>
    <w:p w:rsidR="00C310DF" w:rsidRPr="00BC7F3F" w:rsidRDefault="00C310DF" w:rsidP="00C310DF">
      <w:pPr>
        <w:spacing w:after="0" w:line="240" w:lineRule="auto"/>
        <w:jc w:val="both"/>
        <w:rPr>
          <w:rFonts w:ascii="Verdana" w:hAnsi="Verdana"/>
          <w:b/>
          <w:bCs/>
          <w:sz w:val="24"/>
          <w:szCs w:val="24"/>
        </w:rPr>
      </w:pPr>
      <w:r w:rsidRPr="00BC7F3F">
        <w:rPr>
          <w:rFonts w:ascii="Verdana" w:hAnsi="Verdana"/>
          <w:sz w:val="24"/>
          <w:szCs w:val="24"/>
        </w:rPr>
        <w:t xml:space="preserve">En cuanto a la consulta de documentos del Archivo de DDHH y el Centro de Documentación del CNMH, durante el año 2014, la Dirección de Archivo de los Derechos Humanos atendió 624 consultas de diferentes usuarios externos e internos. Adicionalmente, se atendieron 65 estudiantes de la Universidad Pedagógica ofreciéndoles una visita guiada virtual para darles a conocer el Centro Nacional de Memoria Histórica y sus diferentes actividades. </w:t>
      </w:r>
    </w:p>
    <w:p w:rsidR="00C310DF" w:rsidRPr="00BC7F3F" w:rsidRDefault="00C310DF" w:rsidP="00C310DF">
      <w:pPr>
        <w:spacing w:after="0" w:line="240" w:lineRule="auto"/>
        <w:jc w:val="both"/>
        <w:rPr>
          <w:rFonts w:ascii="Verdana" w:hAnsi="Verdana"/>
          <w:sz w:val="24"/>
          <w:szCs w:val="24"/>
        </w:rPr>
      </w:pPr>
    </w:p>
    <w:p w:rsidR="00C310DF" w:rsidRPr="00BC7F3F" w:rsidRDefault="00C310DF" w:rsidP="00C310DF">
      <w:pPr>
        <w:spacing w:after="0" w:line="240" w:lineRule="auto"/>
        <w:jc w:val="both"/>
        <w:rPr>
          <w:rFonts w:ascii="Verdana" w:hAnsi="Verdana"/>
          <w:sz w:val="24"/>
          <w:szCs w:val="24"/>
        </w:rPr>
      </w:pPr>
      <w:r w:rsidRPr="00BC7F3F">
        <w:rPr>
          <w:rFonts w:ascii="Verdana" w:hAnsi="Verdana"/>
          <w:sz w:val="24"/>
          <w:szCs w:val="24"/>
        </w:rPr>
        <w:t xml:space="preserve">En la atención a las 624 consultas, el Centro de Documentación del CNMH brindó acceso a 16.965 documentos, distribuidos en 10.625 documentos de archivos, 3.050 publicaciones del CNMH, 1.607 documentos del Centro de Documentación y 1.683 artículos de prensa y revistas. </w:t>
      </w:r>
    </w:p>
    <w:p w:rsidR="00C310DF" w:rsidRPr="00BC7F3F" w:rsidRDefault="00C310DF" w:rsidP="00C310DF">
      <w:pPr>
        <w:spacing w:after="0" w:line="240" w:lineRule="auto"/>
        <w:jc w:val="both"/>
        <w:rPr>
          <w:rFonts w:ascii="Verdana" w:hAnsi="Verdana" w:cs="Arial"/>
          <w:bCs/>
          <w:sz w:val="24"/>
          <w:szCs w:val="24"/>
          <w:shd w:val="clear" w:color="auto" w:fill="FFFFFF"/>
        </w:rPr>
      </w:pPr>
    </w:p>
    <w:p w:rsidR="00C310DF" w:rsidRPr="001928B9" w:rsidRDefault="00C310DF" w:rsidP="001928B9">
      <w:pPr>
        <w:pStyle w:val="Subttulo"/>
        <w:numPr>
          <w:ilvl w:val="1"/>
          <w:numId w:val="60"/>
        </w:numPr>
        <w:ind w:left="788" w:hanging="788"/>
        <w:outlineLvl w:val="2"/>
        <w:rPr>
          <w:rFonts w:ascii="Verdana" w:eastAsia="Arial" w:hAnsi="Verdana"/>
          <w:b/>
          <w:color w:val="4F81BD" w:themeColor="accent1"/>
          <w:sz w:val="24"/>
          <w:szCs w:val="24"/>
          <w:lang w:val="es-CO"/>
        </w:rPr>
      </w:pPr>
      <w:bookmarkStart w:id="104" w:name="78490"/>
      <w:bookmarkStart w:id="105" w:name="_Toc411868579"/>
      <w:r w:rsidRPr="001928B9">
        <w:rPr>
          <w:rFonts w:ascii="Verdana" w:eastAsia="Arial" w:hAnsi="Verdana"/>
          <w:b/>
          <w:color w:val="4F81BD" w:themeColor="accent1"/>
          <w:sz w:val="24"/>
          <w:szCs w:val="24"/>
          <w:lang w:val="es-CO"/>
        </w:rPr>
        <w:t>Registro Especial de Archivos de Derechos Humanos</w:t>
      </w:r>
      <w:bookmarkEnd w:id="104"/>
      <w:r w:rsidRPr="001928B9">
        <w:rPr>
          <w:rFonts w:ascii="Verdana" w:eastAsia="Arial" w:hAnsi="Verdana"/>
          <w:b/>
          <w:color w:val="4F81BD" w:themeColor="accent1"/>
          <w:sz w:val="24"/>
          <w:szCs w:val="24"/>
          <w:lang w:val="es-CO"/>
        </w:rPr>
        <w:t xml:space="preserve"> y Memoria Histórica</w:t>
      </w:r>
      <w:bookmarkEnd w:id="105"/>
    </w:p>
    <w:p w:rsidR="00C310DF" w:rsidRPr="001928B9" w:rsidRDefault="00C310DF" w:rsidP="001928B9">
      <w:pPr>
        <w:spacing w:after="0" w:line="240" w:lineRule="auto"/>
        <w:ind w:left="788" w:hanging="788"/>
        <w:jc w:val="both"/>
        <w:rPr>
          <w:rFonts w:ascii="Verdana" w:hAnsi="Verdana" w:cs="Arial"/>
          <w:bCs/>
          <w:color w:val="4F81BD" w:themeColor="accent1"/>
          <w:sz w:val="24"/>
          <w:szCs w:val="24"/>
          <w:shd w:val="clear" w:color="auto" w:fill="FFFFFF"/>
        </w:rPr>
      </w:pPr>
    </w:p>
    <w:p w:rsidR="00C310DF" w:rsidRPr="001928B9" w:rsidRDefault="00C310DF" w:rsidP="001928B9">
      <w:pPr>
        <w:pStyle w:val="Subttulo"/>
        <w:numPr>
          <w:ilvl w:val="2"/>
          <w:numId w:val="1"/>
        </w:numPr>
        <w:tabs>
          <w:tab w:val="left" w:pos="851"/>
        </w:tabs>
        <w:ind w:left="851" w:hanging="851"/>
        <w:outlineLvl w:val="4"/>
        <w:rPr>
          <w:rFonts w:ascii="Verdana" w:eastAsia="Arial" w:hAnsi="Verdana"/>
          <w:b/>
          <w:color w:val="4F81BD" w:themeColor="accent1"/>
          <w:sz w:val="24"/>
          <w:szCs w:val="24"/>
          <w:lang w:val="es-CO"/>
        </w:rPr>
      </w:pPr>
      <w:r w:rsidRPr="001928B9">
        <w:rPr>
          <w:rFonts w:ascii="Verdana" w:eastAsia="Arial" w:hAnsi="Verdana"/>
          <w:b/>
          <w:color w:val="4F81BD" w:themeColor="accent1"/>
          <w:sz w:val="24"/>
          <w:szCs w:val="24"/>
          <w:lang w:val="es-CO"/>
        </w:rPr>
        <w:t>Guías de Identificación y Localización de Archivos de DDHH y Memoria Histórica</w:t>
      </w:r>
    </w:p>
    <w:p w:rsidR="00C310DF" w:rsidRPr="00BC7F3F" w:rsidRDefault="00C310DF" w:rsidP="00C310DF">
      <w:pPr>
        <w:spacing w:after="0" w:line="240" w:lineRule="auto"/>
        <w:jc w:val="both"/>
        <w:rPr>
          <w:rFonts w:ascii="Verdana" w:hAnsi="Verdana" w:cs="Arial"/>
          <w:sz w:val="24"/>
          <w:szCs w:val="24"/>
        </w:rPr>
      </w:pPr>
      <w:r w:rsidRPr="00BC7F3F">
        <w:rPr>
          <w:rFonts w:ascii="Verdana" w:hAnsi="Verdana" w:cs="Arial"/>
          <w:bCs/>
          <w:sz w:val="24"/>
          <w:szCs w:val="24"/>
          <w:shd w:val="clear" w:color="auto" w:fill="FFFFFF"/>
        </w:rPr>
        <w:t xml:space="preserve">Se elaboró la </w:t>
      </w:r>
      <w:r w:rsidRPr="00BC7F3F">
        <w:rPr>
          <w:rFonts w:ascii="Verdana" w:hAnsi="Verdana" w:cs="Arial"/>
          <w:bCs/>
          <w:i/>
          <w:sz w:val="24"/>
          <w:szCs w:val="24"/>
          <w:shd w:val="clear" w:color="auto" w:fill="FFFFFF"/>
        </w:rPr>
        <w:t>“Guía de comunidades afrodescendientes, palenqueras y raizales”,</w:t>
      </w:r>
      <w:r w:rsidRPr="00BC7F3F">
        <w:rPr>
          <w:rFonts w:ascii="Verdana" w:hAnsi="Verdana" w:cs="Arial"/>
          <w:bCs/>
          <w:sz w:val="24"/>
          <w:szCs w:val="24"/>
          <w:shd w:val="clear" w:color="auto" w:fill="FFFFFF"/>
        </w:rPr>
        <w:t xml:space="preserve"> de igual manera llevó a cabo el ajuste y revisión de la primera versión de las guías </w:t>
      </w:r>
      <w:r w:rsidRPr="00BC7F3F">
        <w:rPr>
          <w:rFonts w:ascii="Verdana" w:hAnsi="Verdana" w:cs="Arial"/>
          <w:sz w:val="24"/>
          <w:szCs w:val="24"/>
        </w:rPr>
        <w:t>de la Rama Ejecutiva a nivel nacional, de la Rama Judicial, y la de comunidades indígenas</w:t>
      </w:r>
      <w:r w:rsidRPr="00BC7F3F">
        <w:rPr>
          <w:rFonts w:ascii="Verdana" w:hAnsi="Verdana" w:cs="Arial"/>
          <w:bCs/>
          <w:sz w:val="24"/>
          <w:szCs w:val="24"/>
          <w:shd w:val="clear" w:color="auto" w:fill="FFFFFF"/>
        </w:rPr>
        <w:t>, Actualmente se está elaborando la “</w:t>
      </w:r>
      <w:r w:rsidRPr="00BC7F3F">
        <w:rPr>
          <w:rFonts w:ascii="Verdana" w:hAnsi="Verdana" w:cs="Arial"/>
          <w:bCs/>
          <w:i/>
          <w:sz w:val="24"/>
          <w:szCs w:val="24"/>
          <w:shd w:val="clear" w:color="auto" w:fill="FFFFFF"/>
        </w:rPr>
        <w:t>Guía de identificación y localización de archivos de DDHH de las organizaciones internacionales</w:t>
      </w:r>
      <w:r w:rsidRPr="00BC7F3F">
        <w:rPr>
          <w:rFonts w:ascii="Verdana" w:hAnsi="Verdana" w:cs="Arial"/>
          <w:bCs/>
          <w:sz w:val="24"/>
          <w:szCs w:val="24"/>
          <w:shd w:val="clear" w:color="auto" w:fill="FFFFFF"/>
        </w:rPr>
        <w:t>” y la “</w:t>
      </w:r>
      <w:r w:rsidRPr="00BC7F3F">
        <w:rPr>
          <w:rFonts w:ascii="Verdana" w:hAnsi="Verdana" w:cs="Arial"/>
          <w:bCs/>
          <w:i/>
          <w:sz w:val="24"/>
          <w:szCs w:val="24"/>
          <w:shd w:val="clear" w:color="auto" w:fill="FFFFFF"/>
        </w:rPr>
        <w:t>Guía Especial de la Rama Ejecutiva-Fuerzas Públicas</w:t>
      </w:r>
      <w:r w:rsidRPr="00BC7F3F">
        <w:rPr>
          <w:rFonts w:ascii="Verdana" w:hAnsi="Verdana" w:cs="Arial"/>
          <w:bCs/>
          <w:sz w:val="24"/>
          <w:szCs w:val="24"/>
          <w:shd w:val="clear" w:color="auto" w:fill="FFFFFF"/>
        </w:rPr>
        <w:t>”. Con ellas se complementa un insumo importante compuesto por once (11)</w:t>
      </w:r>
      <w:r w:rsidRPr="00BC7F3F">
        <w:rPr>
          <w:rStyle w:val="Refdenotaalpie"/>
          <w:rFonts w:ascii="Verdana" w:hAnsi="Verdana" w:cs="Arial"/>
          <w:bCs/>
          <w:sz w:val="24"/>
          <w:szCs w:val="24"/>
          <w:shd w:val="clear" w:color="auto" w:fill="FFFFFF"/>
        </w:rPr>
        <w:footnoteReference w:id="13"/>
      </w:r>
      <w:r w:rsidRPr="00BC7F3F">
        <w:rPr>
          <w:rFonts w:ascii="Verdana" w:hAnsi="Verdana" w:cs="Arial"/>
          <w:bCs/>
          <w:sz w:val="24"/>
          <w:szCs w:val="24"/>
          <w:shd w:val="clear" w:color="auto" w:fill="FFFFFF"/>
        </w:rPr>
        <w:t xml:space="preserve"> guías, que orientan el desarrollo del Registro Especial de Archivos de DDHH y memoria histórica (READH).</w:t>
      </w:r>
    </w:p>
    <w:p w:rsidR="00C310DF" w:rsidRPr="00BC7F3F" w:rsidRDefault="00C310DF" w:rsidP="00C310DF">
      <w:pPr>
        <w:spacing w:after="0" w:line="240" w:lineRule="auto"/>
        <w:jc w:val="both"/>
        <w:rPr>
          <w:rFonts w:ascii="Verdana" w:hAnsi="Verdana" w:cs="Arial"/>
          <w:bCs/>
          <w:sz w:val="24"/>
          <w:szCs w:val="24"/>
          <w:shd w:val="clear" w:color="auto" w:fill="FFFFFF"/>
        </w:rPr>
      </w:pPr>
    </w:p>
    <w:p w:rsidR="00C310DF" w:rsidRPr="00BC7F3F" w:rsidRDefault="00C310DF" w:rsidP="00C310DF">
      <w:pPr>
        <w:spacing w:after="0" w:line="240" w:lineRule="auto"/>
        <w:jc w:val="both"/>
        <w:rPr>
          <w:rFonts w:ascii="Verdana" w:hAnsi="Verdana" w:cs="Arial"/>
          <w:bCs/>
          <w:sz w:val="24"/>
          <w:szCs w:val="24"/>
          <w:shd w:val="clear" w:color="auto" w:fill="FFFFFF"/>
        </w:rPr>
      </w:pPr>
      <w:r w:rsidRPr="00BC7F3F">
        <w:rPr>
          <w:rFonts w:ascii="Verdana" w:hAnsi="Verdana" w:cs="Arial"/>
          <w:bCs/>
          <w:sz w:val="24"/>
          <w:szCs w:val="24"/>
          <w:shd w:val="clear" w:color="auto" w:fill="FFFFFF"/>
        </w:rPr>
        <w:t xml:space="preserve">Con el fin de implementar el Registro Especial de Archivos READH, se culminó el diseño de un instrumento de cargue de información, en relación con la localización e identificación de los archivos susceptibles de ser incluidos en el READH. </w:t>
      </w:r>
    </w:p>
    <w:p w:rsidR="00C310DF" w:rsidRPr="00BC7F3F" w:rsidRDefault="00C310DF" w:rsidP="00C310DF">
      <w:pPr>
        <w:spacing w:after="0" w:line="240" w:lineRule="auto"/>
        <w:jc w:val="both"/>
        <w:rPr>
          <w:rFonts w:ascii="Verdana" w:hAnsi="Verdana" w:cs="Arial"/>
          <w:bCs/>
          <w:sz w:val="24"/>
          <w:szCs w:val="24"/>
          <w:shd w:val="clear" w:color="auto" w:fill="FFFFFF"/>
        </w:rPr>
      </w:pPr>
    </w:p>
    <w:p w:rsidR="00C310DF" w:rsidRPr="00BC7F3F" w:rsidRDefault="00C310DF" w:rsidP="00C310DF">
      <w:pPr>
        <w:spacing w:after="0" w:line="240" w:lineRule="auto"/>
        <w:jc w:val="both"/>
        <w:rPr>
          <w:rFonts w:ascii="Verdana" w:hAnsi="Verdana"/>
          <w:bCs/>
          <w:i/>
          <w:kern w:val="28"/>
          <w:sz w:val="24"/>
          <w:szCs w:val="24"/>
        </w:rPr>
      </w:pPr>
      <w:r w:rsidRPr="00BC7F3F">
        <w:rPr>
          <w:rFonts w:ascii="Verdana" w:hAnsi="Verdana" w:cs="Arial"/>
          <w:bCs/>
          <w:sz w:val="24"/>
          <w:szCs w:val="24"/>
          <w:shd w:val="clear" w:color="auto" w:fill="FFFFFF"/>
        </w:rPr>
        <w:t xml:space="preserve">De igual manera se avanzó en la elaboración de la </w:t>
      </w:r>
      <w:r w:rsidRPr="00BC7F3F">
        <w:rPr>
          <w:rFonts w:ascii="Verdana" w:hAnsi="Verdana" w:cs="Arial"/>
          <w:bCs/>
          <w:i/>
          <w:sz w:val="24"/>
          <w:szCs w:val="24"/>
          <w:shd w:val="clear" w:color="auto" w:fill="FFFFFF"/>
        </w:rPr>
        <w:t>“</w:t>
      </w:r>
      <w:r w:rsidRPr="00BC7F3F">
        <w:rPr>
          <w:rFonts w:ascii="Verdana" w:hAnsi="Verdana"/>
          <w:bCs/>
          <w:i/>
          <w:kern w:val="28"/>
          <w:sz w:val="24"/>
          <w:szCs w:val="24"/>
        </w:rPr>
        <w:t xml:space="preserve">Metodología para el desarrollo del Registro Especial de Archivos READH”, </w:t>
      </w:r>
      <w:r w:rsidRPr="00BC7F3F">
        <w:rPr>
          <w:rFonts w:ascii="Verdana" w:hAnsi="Verdana"/>
          <w:bCs/>
          <w:kern w:val="28"/>
          <w:sz w:val="24"/>
          <w:szCs w:val="24"/>
        </w:rPr>
        <w:t>la cual contiene los pasos a seguir para adelantar el READH. Con este propósito se avanzó en la “</w:t>
      </w:r>
      <w:r w:rsidRPr="00BC7F3F">
        <w:rPr>
          <w:rFonts w:ascii="Verdana" w:hAnsi="Verdana"/>
          <w:i/>
          <w:sz w:val="24"/>
          <w:szCs w:val="24"/>
        </w:rPr>
        <w:t>G</w:t>
      </w:r>
      <w:r w:rsidRPr="00BC7F3F">
        <w:rPr>
          <w:rFonts w:ascii="Verdana" w:hAnsi="Verdana"/>
          <w:bCs/>
          <w:i/>
          <w:kern w:val="28"/>
          <w:sz w:val="24"/>
          <w:szCs w:val="24"/>
        </w:rPr>
        <w:t>uía de valoración documental para el registro especial y acopio de archivos sobre graves violaciones a los DDHH, infracciones al DIH memoria histórica y conflicto”.</w:t>
      </w:r>
    </w:p>
    <w:p w:rsidR="001928B9" w:rsidRDefault="001928B9" w:rsidP="001928B9">
      <w:pPr>
        <w:pStyle w:val="Subttulo"/>
        <w:numPr>
          <w:ilvl w:val="0"/>
          <w:numId w:val="0"/>
        </w:numPr>
        <w:outlineLvl w:val="4"/>
        <w:rPr>
          <w:rFonts w:ascii="Verdana" w:eastAsiaTheme="minorHAnsi" w:hAnsi="Verdana"/>
          <w:bCs/>
          <w:i/>
          <w:color w:val="auto"/>
          <w:spacing w:val="0"/>
          <w:kern w:val="28"/>
          <w:sz w:val="24"/>
          <w:szCs w:val="24"/>
          <w:lang w:val="es-CO" w:eastAsia="en-US"/>
        </w:rPr>
      </w:pPr>
    </w:p>
    <w:p w:rsidR="00C310DF" w:rsidRPr="001928B9" w:rsidRDefault="00C310DF" w:rsidP="001928B9">
      <w:pPr>
        <w:pStyle w:val="Subttulo"/>
        <w:numPr>
          <w:ilvl w:val="2"/>
          <w:numId w:val="1"/>
        </w:numPr>
        <w:tabs>
          <w:tab w:val="left" w:pos="851"/>
        </w:tabs>
        <w:ind w:left="851" w:hanging="851"/>
        <w:outlineLvl w:val="4"/>
        <w:rPr>
          <w:rFonts w:ascii="Verdana" w:eastAsia="Arial" w:hAnsi="Verdana"/>
          <w:b/>
          <w:color w:val="4F81BD" w:themeColor="accent1"/>
          <w:sz w:val="24"/>
          <w:szCs w:val="24"/>
          <w:lang w:val="es-CO"/>
        </w:rPr>
      </w:pPr>
      <w:r w:rsidRPr="001928B9">
        <w:rPr>
          <w:rFonts w:ascii="Verdana" w:eastAsia="Arial" w:hAnsi="Verdana"/>
          <w:b/>
          <w:color w:val="4F81BD" w:themeColor="accent1"/>
          <w:sz w:val="24"/>
          <w:szCs w:val="24"/>
          <w:lang w:val="es-CO"/>
        </w:rPr>
        <w:t>Línea Base para el Registro Especial de Archivos de DDHH y MH</w:t>
      </w:r>
    </w:p>
    <w:p w:rsidR="00C310DF" w:rsidRPr="00BC7F3F" w:rsidRDefault="00C310DF" w:rsidP="00C310DF">
      <w:pPr>
        <w:spacing w:after="0" w:line="240" w:lineRule="auto"/>
        <w:jc w:val="both"/>
        <w:rPr>
          <w:rFonts w:ascii="Verdana" w:hAnsi="Verdana" w:cs="Arial"/>
          <w:bCs/>
          <w:sz w:val="24"/>
          <w:szCs w:val="24"/>
          <w:shd w:val="clear" w:color="auto" w:fill="FFFFFF"/>
        </w:rPr>
      </w:pPr>
      <w:r w:rsidRPr="00BC7F3F">
        <w:rPr>
          <w:rFonts w:ascii="Verdana" w:hAnsi="Verdana"/>
          <w:bCs/>
          <w:kern w:val="28"/>
          <w:sz w:val="24"/>
          <w:szCs w:val="24"/>
        </w:rPr>
        <w:t xml:space="preserve">En la línea base se incluye el recuento de entidades del Estado, organizaciones sociales, personas naturales, grupos étnicos, organizaciones religiosas que puedan tener archivos relativos a la garantía, defensa o violación de los Derechos Humanos, así como la respuesta y atención de las entidades del Estado ante la vulneración de los Derechos humanos. </w:t>
      </w:r>
      <w:r w:rsidRPr="00BC7F3F">
        <w:rPr>
          <w:rFonts w:ascii="Verdana" w:hAnsi="Verdana" w:cs="Arial"/>
          <w:bCs/>
          <w:sz w:val="24"/>
          <w:szCs w:val="24"/>
          <w:shd w:val="clear" w:color="auto" w:fill="FFFFFF"/>
        </w:rPr>
        <w:t xml:space="preserve">La línea base del READH (p) se describe en el documento titulado </w:t>
      </w:r>
      <w:r w:rsidRPr="00BC7F3F">
        <w:rPr>
          <w:rFonts w:ascii="Verdana" w:hAnsi="Verdana" w:cs="Arial"/>
          <w:bCs/>
          <w:i/>
          <w:sz w:val="24"/>
          <w:szCs w:val="24"/>
          <w:shd w:val="clear" w:color="auto" w:fill="FFFFFF"/>
        </w:rPr>
        <w:t>“Criterios que sustentan la Línea Base del Registro Especial de Archivos de Derechos Humanos READH</w:t>
      </w:r>
      <w:r w:rsidRPr="00BC7F3F">
        <w:rPr>
          <w:rFonts w:ascii="Verdana" w:hAnsi="Verdana" w:cs="Arial"/>
          <w:bCs/>
          <w:sz w:val="24"/>
          <w:szCs w:val="24"/>
          <w:shd w:val="clear" w:color="auto" w:fill="FFFFFF"/>
        </w:rPr>
        <w:t>” y está conformada de la siguiente manera:</w:t>
      </w:r>
    </w:p>
    <w:p w:rsidR="00C310DF" w:rsidRPr="00BC7F3F" w:rsidRDefault="00C310DF" w:rsidP="00C310DF">
      <w:pPr>
        <w:spacing w:after="0" w:line="240" w:lineRule="auto"/>
        <w:jc w:val="both"/>
        <w:rPr>
          <w:rFonts w:ascii="Verdana" w:hAnsi="Verdana" w:cs="Arial"/>
          <w:bCs/>
          <w:sz w:val="24"/>
          <w:szCs w:val="24"/>
          <w:shd w:val="clear" w:color="auto" w:fill="FFFFFF"/>
        </w:rPr>
      </w:pPr>
    </w:p>
    <w:p w:rsidR="00C310DF" w:rsidRPr="001928B9" w:rsidRDefault="00C310DF" w:rsidP="001928B9">
      <w:pPr>
        <w:spacing w:after="0" w:line="240" w:lineRule="auto"/>
        <w:rPr>
          <w:rFonts w:ascii="Verdana" w:hAnsi="Verdana" w:cs="Arial"/>
          <w:color w:val="4F81BD" w:themeColor="accent1"/>
          <w:sz w:val="24"/>
          <w:szCs w:val="24"/>
        </w:rPr>
      </w:pPr>
      <w:r w:rsidRPr="001928B9">
        <w:rPr>
          <w:rFonts w:ascii="Verdana" w:hAnsi="Verdana" w:cs="Arial"/>
          <w:color w:val="4F81BD" w:themeColor="accent1"/>
          <w:sz w:val="24"/>
          <w:szCs w:val="24"/>
        </w:rPr>
        <w:t>Conformación de la Línea Base del READH (P)</w:t>
      </w:r>
    </w:p>
    <w:tbl>
      <w:tblPr>
        <w:tblStyle w:val="Tabladecuadrcula4-nfasis11"/>
        <w:tblW w:w="10060" w:type="dxa"/>
        <w:jc w:val="center"/>
        <w:tblLayout w:type="fixed"/>
        <w:tblLook w:val="04A0"/>
      </w:tblPr>
      <w:tblGrid>
        <w:gridCol w:w="1271"/>
        <w:gridCol w:w="3260"/>
        <w:gridCol w:w="1134"/>
        <w:gridCol w:w="1134"/>
        <w:gridCol w:w="1134"/>
        <w:gridCol w:w="1088"/>
        <w:gridCol w:w="1039"/>
      </w:tblGrid>
      <w:tr w:rsidR="00C310DF" w:rsidRPr="00710FD0" w:rsidTr="00C310DF">
        <w:trPr>
          <w:cnfStyle w:val="100000000000"/>
          <w:trHeight w:val="200"/>
          <w:tblHeader/>
          <w:jc w:val="center"/>
        </w:trPr>
        <w:tc>
          <w:tcPr>
            <w:cnfStyle w:val="001000000000"/>
            <w:tcW w:w="1271" w:type="dxa"/>
            <w:vAlign w:val="center"/>
            <w:hideMark/>
          </w:tcPr>
          <w:p w:rsidR="00C310DF" w:rsidRPr="00710FD0" w:rsidRDefault="00C310DF" w:rsidP="00C310DF">
            <w:pPr>
              <w:jc w:val="center"/>
              <w:rPr>
                <w:rFonts w:ascii="Verdana" w:hAnsi="Verdana" w:cs="Calibri"/>
                <w:b w:val="0"/>
                <w:bCs w:val="0"/>
                <w:lang w:val="es-CO" w:eastAsia="es-CO"/>
              </w:rPr>
            </w:pPr>
            <w:r w:rsidRPr="00710FD0">
              <w:rPr>
                <w:rFonts w:ascii="Verdana" w:hAnsi="Verdana" w:cs="Calibri"/>
                <w:b w:val="0"/>
                <w:bCs w:val="0"/>
                <w:lang w:val="es-CO" w:eastAsia="es-CO"/>
              </w:rPr>
              <w:t>Naturaleza jurídica</w:t>
            </w:r>
          </w:p>
        </w:tc>
        <w:tc>
          <w:tcPr>
            <w:tcW w:w="3260" w:type="dxa"/>
            <w:vAlign w:val="center"/>
            <w:hideMark/>
          </w:tcPr>
          <w:p w:rsidR="00C310DF" w:rsidRPr="00710FD0" w:rsidRDefault="00C310DF" w:rsidP="00C310DF">
            <w:pPr>
              <w:jc w:val="center"/>
              <w:cnfStyle w:val="100000000000"/>
              <w:rPr>
                <w:rFonts w:ascii="Verdana" w:hAnsi="Verdana" w:cs="Calibri"/>
                <w:b w:val="0"/>
                <w:bCs w:val="0"/>
                <w:lang w:val="es-CO" w:eastAsia="es-CO"/>
              </w:rPr>
            </w:pPr>
            <w:r w:rsidRPr="00710FD0">
              <w:rPr>
                <w:rFonts w:ascii="Verdana" w:hAnsi="Verdana" w:cs="Calibri"/>
                <w:b w:val="0"/>
                <w:bCs w:val="0"/>
                <w:lang w:val="es-CO" w:eastAsia="es-CO"/>
              </w:rPr>
              <w:t>Sector</w:t>
            </w:r>
          </w:p>
        </w:tc>
        <w:tc>
          <w:tcPr>
            <w:tcW w:w="1134" w:type="dxa"/>
            <w:vAlign w:val="center"/>
            <w:hideMark/>
          </w:tcPr>
          <w:p w:rsidR="00C310DF" w:rsidRPr="00710FD0" w:rsidRDefault="00C310DF" w:rsidP="00C310DF">
            <w:pPr>
              <w:jc w:val="center"/>
              <w:cnfStyle w:val="100000000000"/>
              <w:rPr>
                <w:rFonts w:ascii="Verdana" w:hAnsi="Verdana" w:cs="Calibri"/>
                <w:b w:val="0"/>
                <w:bCs w:val="0"/>
                <w:lang w:val="es-CO" w:eastAsia="es-CO"/>
              </w:rPr>
            </w:pPr>
            <w:r w:rsidRPr="00710FD0">
              <w:rPr>
                <w:rFonts w:ascii="Verdana" w:hAnsi="Verdana" w:cs="Calibri"/>
                <w:b w:val="0"/>
                <w:bCs w:val="0"/>
                <w:lang w:val="es-CO" w:eastAsia="es-CO"/>
              </w:rPr>
              <w:t>Universo</w:t>
            </w:r>
          </w:p>
        </w:tc>
        <w:tc>
          <w:tcPr>
            <w:tcW w:w="1134" w:type="dxa"/>
            <w:vAlign w:val="center"/>
            <w:hideMark/>
          </w:tcPr>
          <w:p w:rsidR="00C310DF" w:rsidRPr="00710FD0" w:rsidRDefault="00C310DF" w:rsidP="00C310DF">
            <w:pPr>
              <w:jc w:val="center"/>
              <w:cnfStyle w:val="100000000000"/>
              <w:rPr>
                <w:rFonts w:ascii="Verdana" w:hAnsi="Verdana" w:cs="Calibri"/>
                <w:b w:val="0"/>
                <w:bCs w:val="0"/>
                <w:lang w:val="es-CO" w:eastAsia="es-CO"/>
              </w:rPr>
            </w:pPr>
            <w:r w:rsidRPr="00710FD0">
              <w:rPr>
                <w:rFonts w:ascii="Verdana" w:hAnsi="Verdana" w:cs="Calibri"/>
                <w:b w:val="0"/>
                <w:bCs w:val="0"/>
                <w:lang w:val="es-CO" w:eastAsia="es-CO"/>
              </w:rPr>
              <w:t>Selección</w:t>
            </w:r>
          </w:p>
        </w:tc>
        <w:tc>
          <w:tcPr>
            <w:tcW w:w="1134" w:type="dxa"/>
            <w:vAlign w:val="center"/>
            <w:hideMark/>
          </w:tcPr>
          <w:p w:rsidR="00C310DF" w:rsidRPr="00710FD0" w:rsidRDefault="00C310DF" w:rsidP="00C310DF">
            <w:pPr>
              <w:jc w:val="center"/>
              <w:cnfStyle w:val="100000000000"/>
              <w:rPr>
                <w:rFonts w:ascii="Verdana" w:hAnsi="Verdana" w:cs="Calibri"/>
                <w:b w:val="0"/>
                <w:bCs w:val="0"/>
                <w:lang w:val="es-CO" w:eastAsia="es-CO"/>
              </w:rPr>
            </w:pPr>
            <w:r w:rsidRPr="00710FD0">
              <w:rPr>
                <w:rFonts w:ascii="Verdana" w:hAnsi="Verdana" w:cs="Calibri"/>
                <w:b w:val="0"/>
                <w:bCs w:val="0"/>
                <w:lang w:val="es-CO" w:eastAsia="es-CO"/>
              </w:rPr>
              <w:t>% Universo</w:t>
            </w:r>
          </w:p>
        </w:tc>
        <w:tc>
          <w:tcPr>
            <w:tcW w:w="1088" w:type="dxa"/>
            <w:vAlign w:val="center"/>
            <w:hideMark/>
          </w:tcPr>
          <w:p w:rsidR="00C310DF" w:rsidRPr="00710FD0" w:rsidRDefault="00C310DF" w:rsidP="00C310DF">
            <w:pPr>
              <w:jc w:val="center"/>
              <w:cnfStyle w:val="100000000000"/>
              <w:rPr>
                <w:rFonts w:ascii="Verdana" w:hAnsi="Verdana" w:cs="Calibri"/>
                <w:b w:val="0"/>
                <w:bCs w:val="0"/>
                <w:lang w:val="es-CO" w:eastAsia="es-CO"/>
              </w:rPr>
            </w:pPr>
            <w:r w:rsidRPr="00710FD0">
              <w:rPr>
                <w:rFonts w:ascii="Verdana" w:hAnsi="Verdana" w:cs="Calibri"/>
                <w:b w:val="0"/>
                <w:bCs w:val="0"/>
                <w:lang w:val="es-CO" w:eastAsia="es-CO"/>
              </w:rPr>
              <w:t>% Selección</w:t>
            </w:r>
          </w:p>
        </w:tc>
        <w:tc>
          <w:tcPr>
            <w:tcW w:w="1039" w:type="dxa"/>
            <w:vAlign w:val="center"/>
            <w:hideMark/>
          </w:tcPr>
          <w:p w:rsidR="00C310DF" w:rsidRPr="00710FD0" w:rsidRDefault="00C310DF" w:rsidP="00C310DF">
            <w:pPr>
              <w:jc w:val="center"/>
              <w:cnfStyle w:val="100000000000"/>
              <w:rPr>
                <w:rFonts w:ascii="Verdana" w:hAnsi="Verdana" w:cs="Calibri"/>
                <w:b w:val="0"/>
                <w:bCs w:val="0"/>
                <w:lang w:val="es-CO" w:eastAsia="es-CO"/>
              </w:rPr>
            </w:pPr>
            <w:r w:rsidRPr="00710FD0">
              <w:rPr>
                <w:rFonts w:ascii="Verdana" w:hAnsi="Verdana" w:cs="Calibri"/>
                <w:b w:val="0"/>
                <w:bCs w:val="0"/>
                <w:lang w:val="es-CO" w:eastAsia="es-CO"/>
              </w:rPr>
              <w:t>% Muestra</w:t>
            </w:r>
          </w:p>
        </w:tc>
      </w:tr>
      <w:tr w:rsidR="00C310DF" w:rsidRPr="00710FD0" w:rsidTr="00C310DF">
        <w:trPr>
          <w:cnfStyle w:val="000000100000"/>
          <w:trHeight w:val="190"/>
          <w:jc w:val="center"/>
        </w:trPr>
        <w:tc>
          <w:tcPr>
            <w:cnfStyle w:val="001000000000"/>
            <w:tcW w:w="1271" w:type="dxa"/>
            <w:vMerge w:val="restart"/>
            <w:shd w:val="clear" w:color="auto" w:fill="auto"/>
            <w:noWrap/>
            <w:vAlign w:val="center"/>
            <w:hideMark/>
          </w:tcPr>
          <w:p w:rsidR="00C310DF" w:rsidRPr="00710FD0" w:rsidRDefault="00C310DF" w:rsidP="00C310DF">
            <w:pPr>
              <w:jc w:val="center"/>
              <w:rPr>
                <w:rFonts w:ascii="Verdana" w:hAnsi="Verdana" w:cs="Calibri"/>
                <w:b w:val="0"/>
                <w:bCs w:val="0"/>
                <w:color w:val="000000"/>
                <w:lang w:val="es-CO" w:eastAsia="es-CO"/>
              </w:rPr>
            </w:pPr>
            <w:r w:rsidRPr="00710FD0">
              <w:rPr>
                <w:rFonts w:ascii="Verdana" w:hAnsi="Verdana" w:cs="Calibri"/>
                <w:b w:val="0"/>
                <w:bCs w:val="0"/>
                <w:color w:val="000000"/>
                <w:lang w:val="es-CO" w:eastAsia="es-CO"/>
              </w:rPr>
              <w:t>Pública</w:t>
            </w:r>
          </w:p>
        </w:tc>
        <w:tc>
          <w:tcPr>
            <w:tcW w:w="3260" w:type="dxa"/>
            <w:vAlign w:val="center"/>
            <w:hideMark/>
          </w:tcPr>
          <w:p w:rsidR="00C310DF" w:rsidRPr="00710FD0" w:rsidRDefault="00C310DF" w:rsidP="00C310DF">
            <w:pPr>
              <w:cnfStyle w:val="000000100000"/>
              <w:rPr>
                <w:rFonts w:ascii="Verdana" w:hAnsi="Verdana" w:cs="Calibri"/>
                <w:bCs/>
                <w:color w:val="000000"/>
                <w:lang w:val="es-CO" w:eastAsia="es-CO"/>
              </w:rPr>
            </w:pPr>
            <w:r w:rsidRPr="00710FD0">
              <w:rPr>
                <w:rFonts w:ascii="Verdana" w:hAnsi="Verdana" w:cs="Calibri"/>
                <w:bCs/>
                <w:color w:val="000000"/>
                <w:lang w:val="es-CO" w:eastAsia="es-CO"/>
              </w:rPr>
              <w:t>Rama ejecutiva nacional</w:t>
            </w:r>
          </w:p>
        </w:tc>
        <w:tc>
          <w:tcPr>
            <w:tcW w:w="1134" w:type="dxa"/>
            <w:noWrap/>
            <w:vAlign w:val="center"/>
            <w:hideMark/>
          </w:tcPr>
          <w:p w:rsidR="00C310DF" w:rsidRPr="00710FD0" w:rsidRDefault="00C310DF" w:rsidP="00C310DF">
            <w:pPr>
              <w:jc w:val="center"/>
              <w:cnfStyle w:val="000000100000"/>
              <w:rPr>
                <w:rFonts w:ascii="Verdana" w:hAnsi="Verdana" w:cs="Calibri"/>
                <w:color w:val="000000"/>
                <w:lang w:val="es-CO" w:eastAsia="es-CO"/>
              </w:rPr>
            </w:pPr>
            <w:r w:rsidRPr="00710FD0">
              <w:rPr>
                <w:rFonts w:ascii="Verdana" w:hAnsi="Verdana" w:cs="Calibri"/>
                <w:color w:val="000000"/>
                <w:lang w:val="es-CO" w:eastAsia="es-CO"/>
              </w:rPr>
              <w:t>1.639</w:t>
            </w:r>
          </w:p>
        </w:tc>
        <w:tc>
          <w:tcPr>
            <w:tcW w:w="1134" w:type="dxa"/>
            <w:noWrap/>
            <w:vAlign w:val="center"/>
            <w:hideMark/>
          </w:tcPr>
          <w:p w:rsidR="00C310DF" w:rsidRPr="00710FD0" w:rsidRDefault="00C310DF" w:rsidP="00C310DF">
            <w:pPr>
              <w:jc w:val="center"/>
              <w:cnfStyle w:val="000000100000"/>
              <w:rPr>
                <w:rFonts w:ascii="Verdana" w:hAnsi="Verdana" w:cs="Calibri"/>
                <w:color w:val="000000"/>
                <w:lang w:val="es-CO" w:eastAsia="es-CO"/>
              </w:rPr>
            </w:pPr>
            <w:r w:rsidRPr="00710FD0">
              <w:rPr>
                <w:rFonts w:ascii="Verdana" w:hAnsi="Verdana" w:cs="Calibri"/>
                <w:color w:val="000000"/>
                <w:lang w:val="es-CO" w:eastAsia="es-CO"/>
              </w:rPr>
              <w:t>123</w:t>
            </w:r>
          </w:p>
        </w:tc>
        <w:tc>
          <w:tcPr>
            <w:tcW w:w="1134" w:type="dxa"/>
            <w:noWrap/>
            <w:vAlign w:val="center"/>
            <w:hideMark/>
          </w:tcPr>
          <w:p w:rsidR="00C310DF" w:rsidRPr="00710FD0" w:rsidRDefault="00C310DF" w:rsidP="00C310DF">
            <w:pPr>
              <w:jc w:val="center"/>
              <w:cnfStyle w:val="000000100000"/>
              <w:rPr>
                <w:rFonts w:ascii="Verdana" w:hAnsi="Verdana" w:cs="Calibri"/>
                <w:color w:val="000000"/>
                <w:lang w:val="es-CO" w:eastAsia="es-CO"/>
              </w:rPr>
            </w:pPr>
            <w:r w:rsidRPr="00710FD0">
              <w:rPr>
                <w:rFonts w:ascii="Verdana" w:hAnsi="Verdana" w:cs="Calibri"/>
                <w:color w:val="000000"/>
                <w:lang w:val="es-CO" w:eastAsia="es-CO"/>
              </w:rPr>
              <w:t>3,43%</w:t>
            </w:r>
          </w:p>
        </w:tc>
        <w:tc>
          <w:tcPr>
            <w:tcW w:w="1088" w:type="dxa"/>
            <w:noWrap/>
            <w:vAlign w:val="center"/>
            <w:hideMark/>
          </w:tcPr>
          <w:p w:rsidR="00C310DF" w:rsidRPr="00710FD0" w:rsidRDefault="00C310DF" w:rsidP="00C310DF">
            <w:pPr>
              <w:jc w:val="center"/>
              <w:cnfStyle w:val="000000100000"/>
              <w:rPr>
                <w:rFonts w:ascii="Verdana" w:hAnsi="Verdana" w:cs="Calibri"/>
                <w:color w:val="000000"/>
                <w:lang w:val="es-CO" w:eastAsia="es-CO"/>
              </w:rPr>
            </w:pPr>
            <w:r w:rsidRPr="00710FD0">
              <w:rPr>
                <w:rFonts w:ascii="Verdana" w:hAnsi="Verdana" w:cs="Calibri"/>
                <w:color w:val="000000"/>
                <w:lang w:val="es-CO" w:eastAsia="es-CO"/>
              </w:rPr>
              <w:t>2,23%</w:t>
            </w:r>
          </w:p>
        </w:tc>
        <w:tc>
          <w:tcPr>
            <w:tcW w:w="1039" w:type="dxa"/>
            <w:noWrap/>
            <w:vAlign w:val="center"/>
            <w:hideMark/>
          </w:tcPr>
          <w:p w:rsidR="00C310DF" w:rsidRPr="00710FD0" w:rsidRDefault="00C310DF" w:rsidP="00C310DF">
            <w:pPr>
              <w:jc w:val="center"/>
              <w:cnfStyle w:val="000000100000"/>
              <w:rPr>
                <w:rFonts w:ascii="Verdana" w:hAnsi="Verdana" w:cs="Calibri"/>
                <w:color w:val="000000"/>
                <w:lang w:val="es-CO" w:eastAsia="es-CO"/>
              </w:rPr>
            </w:pPr>
            <w:r w:rsidRPr="00710FD0">
              <w:rPr>
                <w:rFonts w:ascii="Verdana" w:hAnsi="Verdana" w:cs="Calibri"/>
                <w:color w:val="000000"/>
                <w:lang w:val="es-CO" w:eastAsia="es-CO"/>
              </w:rPr>
              <w:t>7,50%</w:t>
            </w:r>
          </w:p>
        </w:tc>
      </w:tr>
      <w:tr w:rsidR="00C310DF" w:rsidRPr="00710FD0" w:rsidTr="00C310DF">
        <w:trPr>
          <w:trHeight w:val="190"/>
          <w:jc w:val="center"/>
        </w:trPr>
        <w:tc>
          <w:tcPr>
            <w:cnfStyle w:val="001000000000"/>
            <w:tcW w:w="1271" w:type="dxa"/>
            <w:vMerge/>
            <w:shd w:val="clear" w:color="auto" w:fill="auto"/>
            <w:vAlign w:val="center"/>
            <w:hideMark/>
          </w:tcPr>
          <w:p w:rsidR="00C310DF" w:rsidRPr="00710FD0" w:rsidRDefault="00C310DF" w:rsidP="00C310DF">
            <w:pPr>
              <w:rPr>
                <w:rFonts w:ascii="Verdana" w:hAnsi="Verdana" w:cs="Calibri"/>
                <w:b w:val="0"/>
                <w:bCs w:val="0"/>
                <w:color w:val="000000"/>
                <w:lang w:val="es-CO" w:eastAsia="es-CO"/>
              </w:rPr>
            </w:pPr>
          </w:p>
        </w:tc>
        <w:tc>
          <w:tcPr>
            <w:tcW w:w="3260" w:type="dxa"/>
            <w:vAlign w:val="center"/>
            <w:hideMark/>
          </w:tcPr>
          <w:p w:rsidR="00C310DF" w:rsidRPr="00710FD0" w:rsidRDefault="00C310DF" w:rsidP="00C310DF">
            <w:pPr>
              <w:cnfStyle w:val="000000000000"/>
              <w:rPr>
                <w:rFonts w:ascii="Verdana" w:hAnsi="Verdana" w:cs="Calibri"/>
                <w:bCs/>
                <w:color w:val="000000"/>
                <w:lang w:val="es-CO" w:eastAsia="es-CO"/>
              </w:rPr>
            </w:pPr>
            <w:r w:rsidRPr="00710FD0">
              <w:rPr>
                <w:rFonts w:ascii="Verdana" w:hAnsi="Verdana" w:cs="Calibri"/>
                <w:bCs/>
                <w:color w:val="000000"/>
                <w:lang w:val="es-CO" w:eastAsia="es-CO"/>
              </w:rPr>
              <w:t>Rama ejecutiva departamental</w:t>
            </w:r>
          </w:p>
        </w:tc>
        <w:tc>
          <w:tcPr>
            <w:tcW w:w="1134"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823</w:t>
            </w:r>
          </w:p>
        </w:tc>
        <w:tc>
          <w:tcPr>
            <w:tcW w:w="1134"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288</w:t>
            </w:r>
          </w:p>
        </w:tc>
        <w:tc>
          <w:tcPr>
            <w:tcW w:w="1134"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1,72%</w:t>
            </w:r>
          </w:p>
        </w:tc>
        <w:tc>
          <w:tcPr>
            <w:tcW w:w="1088"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5,23%</w:t>
            </w:r>
          </w:p>
        </w:tc>
        <w:tc>
          <w:tcPr>
            <w:tcW w:w="1039"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34,99%</w:t>
            </w:r>
          </w:p>
        </w:tc>
      </w:tr>
      <w:tr w:rsidR="00C310DF" w:rsidRPr="00710FD0" w:rsidTr="00C310DF">
        <w:trPr>
          <w:cnfStyle w:val="000000100000"/>
          <w:trHeight w:val="190"/>
          <w:jc w:val="center"/>
        </w:trPr>
        <w:tc>
          <w:tcPr>
            <w:cnfStyle w:val="001000000000"/>
            <w:tcW w:w="1271" w:type="dxa"/>
            <w:vMerge/>
            <w:shd w:val="clear" w:color="auto" w:fill="auto"/>
            <w:vAlign w:val="center"/>
            <w:hideMark/>
          </w:tcPr>
          <w:p w:rsidR="00C310DF" w:rsidRPr="00710FD0" w:rsidRDefault="00C310DF" w:rsidP="00C310DF">
            <w:pPr>
              <w:rPr>
                <w:rFonts w:ascii="Verdana" w:hAnsi="Verdana" w:cs="Calibri"/>
                <w:b w:val="0"/>
                <w:bCs w:val="0"/>
                <w:color w:val="000000"/>
                <w:lang w:val="es-CO" w:eastAsia="es-CO"/>
              </w:rPr>
            </w:pPr>
          </w:p>
        </w:tc>
        <w:tc>
          <w:tcPr>
            <w:tcW w:w="3260" w:type="dxa"/>
            <w:vAlign w:val="center"/>
            <w:hideMark/>
          </w:tcPr>
          <w:p w:rsidR="00C310DF" w:rsidRPr="00710FD0" w:rsidRDefault="00C310DF" w:rsidP="00C310DF">
            <w:pPr>
              <w:cnfStyle w:val="000000100000"/>
              <w:rPr>
                <w:rFonts w:ascii="Verdana" w:hAnsi="Verdana" w:cs="Calibri"/>
                <w:bCs/>
                <w:color w:val="000000"/>
                <w:lang w:val="es-CO" w:eastAsia="es-CO"/>
              </w:rPr>
            </w:pPr>
            <w:r w:rsidRPr="00710FD0">
              <w:rPr>
                <w:rFonts w:ascii="Verdana" w:hAnsi="Verdana" w:cs="Calibri"/>
                <w:bCs/>
                <w:color w:val="000000"/>
                <w:lang w:val="es-CO" w:eastAsia="es-CO"/>
              </w:rPr>
              <w:t>Rama ejecutiva municipal</w:t>
            </w:r>
          </w:p>
        </w:tc>
        <w:tc>
          <w:tcPr>
            <w:tcW w:w="1134" w:type="dxa"/>
            <w:noWrap/>
            <w:vAlign w:val="center"/>
            <w:hideMark/>
          </w:tcPr>
          <w:p w:rsidR="00C310DF" w:rsidRPr="00710FD0" w:rsidRDefault="00C310DF" w:rsidP="00C310DF">
            <w:pPr>
              <w:jc w:val="center"/>
              <w:cnfStyle w:val="000000100000"/>
              <w:rPr>
                <w:rFonts w:ascii="Verdana" w:hAnsi="Verdana" w:cs="Calibri"/>
                <w:color w:val="000000"/>
                <w:lang w:val="es-CO" w:eastAsia="es-CO"/>
              </w:rPr>
            </w:pPr>
            <w:r w:rsidRPr="00710FD0">
              <w:rPr>
                <w:rFonts w:ascii="Verdana" w:hAnsi="Verdana" w:cs="Calibri"/>
                <w:color w:val="000000"/>
                <w:lang w:val="es-CO" w:eastAsia="es-CO"/>
              </w:rPr>
              <w:t>19.441</w:t>
            </w:r>
          </w:p>
        </w:tc>
        <w:tc>
          <w:tcPr>
            <w:tcW w:w="1134" w:type="dxa"/>
            <w:noWrap/>
            <w:vAlign w:val="center"/>
            <w:hideMark/>
          </w:tcPr>
          <w:p w:rsidR="00C310DF" w:rsidRPr="00710FD0" w:rsidRDefault="00C310DF" w:rsidP="00C310DF">
            <w:pPr>
              <w:jc w:val="center"/>
              <w:cnfStyle w:val="000000100000"/>
              <w:rPr>
                <w:rFonts w:ascii="Verdana" w:hAnsi="Verdana" w:cs="Calibri"/>
                <w:color w:val="000000"/>
                <w:lang w:val="es-CO" w:eastAsia="es-CO"/>
              </w:rPr>
            </w:pPr>
            <w:r w:rsidRPr="00710FD0">
              <w:rPr>
                <w:rFonts w:ascii="Verdana" w:hAnsi="Verdana" w:cs="Calibri"/>
                <w:color w:val="000000"/>
                <w:lang w:val="es-CO" w:eastAsia="es-CO"/>
              </w:rPr>
              <w:t>288</w:t>
            </w:r>
          </w:p>
        </w:tc>
        <w:tc>
          <w:tcPr>
            <w:tcW w:w="1134" w:type="dxa"/>
            <w:noWrap/>
            <w:vAlign w:val="center"/>
            <w:hideMark/>
          </w:tcPr>
          <w:p w:rsidR="00C310DF" w:rsidRPr="00710FD0" w:rsidRDefault="00C310DF" w:rsidP="00C310DF">
            <w:pPr>
              <w:jc w:val="center"/>
              <w:cnfStyle w:val="000000100000"/>
              <w:rPr>
                <w:rFonts w:ascii="Verdana" w:hAnsi="Verdana" w:cs="Calibri"/>
                <w:color w:val="000000"/>
                <w:lang w:val="es-CO" w:eastAsia="es-CO"/>
              </w:rPr>
            </w:pPr>
            <w:r w:rsidRPr="00710FD0">
              <w:rPr>
                <w:rFonts w:ascii="Verdana" w:hAnsi="Verdana" w:cs="Calibri"/>
                <w:color w:val="000000"/>
                <w:lang w:val="es-CO" w:eastAsia="es-CO"/>
              </w:rPr>
              <w:t>40,73%</w:t>
            </w:r>
          </w:p>
        </w:tc>
        <w:tc>
          <w:tcPr>
            <w:tcW w:w="1088" w:type="dxa"/>
            <w:noWrap/>
            <w:vAlign w:val="center"/>
            <w:hideMark/>
          </w:tcPr>
          <w:p w:rsidR="00C310DF" w:rsidRPr="00710FD0" w:rsidRDefault="00C310DF" w:rsidP="00C310DF">
            <w:pPr>
              <w:jc w:val="center"/>
              <w:cnfStyle w:val="000000100000"/>
              <w:rPr>
                <w:rFonts w:ascii="Verdana" w:hAnsi="Verdana" w:cs="Calibri"/>
                <w:color w:val="000000"/>
                <w:lang w:val="es-CO" w:eastAsia="es-CO"/>
              </w:rPr>
            </w:pPr>
            <w:r w:rsidRPr="00710FD0">
              <w:rPr>
                <w:rFonts w:ascii="Verdana" w:hAnsi="Verdana" w:cs="Calibri"/>
                <w:color w:val="000000"/>
                <w:lang w:val="es-CO" w:eastAsia="es-CO"/>
              </w:rPr>
              <w:t>5,23%</w:t>
            </w:r>
          </w:p>
        </w:tc>
        <w:tc>
          <w:tcPr>
            <w:tcW w:w="1039" w:type="dxa"/>
            <w:noWrap/>
            <w:vAlign w:val="center"/>
            <w:hideMark/>
          </w:tcPr>
          <w:p w:rsidR="00C310DF" w:rsidRPr="00710FD0" w:rsidRDefault="00C310DF" w:rsidP="00C310DF">
            <w:pPr>
              <w:jc w:val="center"/>
              <w:cnfStyle w:val="000000100000"/>
              <w:rPr>
                <w:rFonts w:ascii="Verdana" w:hAnsi="Verdana" w:cs="Calibri"/>
                <w:color w:val="000000"/>
                <w:lang w:val="es-CO" w:eastAsia="es-CO"/>
              </w:rPr>
            </w:pPr>
            <w:r w:rsidRPr="00710FD0">
              <w:rPr>
                <w:rFonts w:ascii="Verdana" w:hAnsi="Verdana" w:cs="Calibri"/>
                <w:color w:val="000000"/>
                <w:lang w:val="es-CO" w:eastAsia="es-CO"/>
              </w:rPr>
              <w:t>1,48%</w:t>
            </w:r>
          </w:p>
        </w:tc>
      </w:tr>
      <w:tr w:rsidR="00C310DF" w:rsidRPr="00710FD0" w:rsidTr="00C310DF">
        <w:trPr>
          <w:trHeight w:val="190"/>
          <w:jc w:val="center"/>
        </w:trPr>
        <w:tc>
          <w:tcPr>
            <w:cnfStyle w:val="001000000000"/>
            <w:tcW w:w="1271" w:type="dxa"/>
            <w:vMerge/>
            <w:shd w:val="clear" w:color="auto" w:fill="auto"/>
            <w:vAlign w:val="center"/>
            <w:hideMark/>
          </w:tcPr>
          <w:p w:rsidR="00C310DF" w:rsidRPr="00710FD0" w:rsidRDefault="00C310DF" w:rsidP="00C310DF">
            <w:pPr>
              <w:rPr>
                <w:rFonts w:ascii="Verdana" w:hAnsi="Verdana" w:cs="Calibri"/>
                <w:b w:val="0"/>
                <w:bCs w:val="0"/>
                <w:color w:val="000000"/>
                <w:lang w:val="es-CO" w:eastAsia="es-CO"/>
              </w:rPr>
            </w:pPr>
          </w:p>
        </w:tc>
        <w:tc>
          <w:tcPr>
            <w:tcW w:w="3260" w:type="dxa"/>
            <w:vAlign w:val="center"/>
            <w:hideMark/>
          </w:tcPr>
          <w:p w:rsidR="00C310DF" w:rsidRPr="00710FD0" w:rsidRDefault="00C310DF" w:rsidP="00C310DF">
            <w:pPr>
              <w:cnfStyle w:val="000000000000"/>
              <w:rPr>
                <w:rFonts w:ascii="Verdana" w:hAnsi="Verdana" w:cs="Calibri"/>
                <w:bCs/>
                <w:color w:val="000000"/>
                <w:lang w:val="es-CO" w:eastAsia="es-CO"/>
              </w:rPr>
            </w:pPr>
            <w:r w:rsidRPr="00710FD0">
              <w:rPr>
                <w:rFonts w:ascii="Verdana" w:hAnsi="Verdana" w:cs="Calibri"/>
                <w:bCs/>
                <w:color w:val="000000"/>
                <w:lang w:val="es-CO" w:eastAsia="es-CO"/>
              </w:rPr>
              <w:t>Rama judicial</w:t>
            </w:r>
          </w:p>
        </w:tc>
        <w:tc>
          <w:tcPr>
            <w:tcW w:w="1134"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2.780</w:t>
            </w:r>
          </w:p>
        </w:tc>
        <w:tc>
          <w:tcPr>
            <w:tcW w:w="1134"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954</w:t>
            </w:r>
          </w:p>
        </w:tc>
        <w:tc>
          <w:tcPr>
            <w:tcW w:w="1134"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5,82%</w:t>
            </w:r>
          </w:p>
        </w:tc>
        <w:tc>
          <w:tcPr>
            <w:tcW w:w="1088"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17,33%</w:t>
            </w:r>
          </w:p>
        </w:tc>
        <w:tc>
          <w:tcPr>
            <w:tcW w:w="1039"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34,32%</w:t>
            </w:r>
          </w:p>
        </w:tc>
      </w:tr>
      <w:tr w:rsidR="00C310DF" w:rsidRPr="00710FD0" w:rsidTr="00C310DF">
        <w:trPr>
          <w:cnfStyle w:val="000000100000"/>
          <w:trHeight w:val="190"/>
          <w:jc w:val="center"/>
        </w:trPr>
        <w:tc>
          <w:tcPr>
            <w:cnfStyle w:val="001000000000"/>
            <w:tcW w:w="1271" w:type="dxa"/>
            <w:vMerge/>
            <w:shd w:val="clear" w:color="auto" w:fill="auto"/>
            <w:vAlign w:val="center"/>
            <w:hideMark/>
          </w:tcPr>
          <w:p w:rsidR="00C310DF" w:rsidRPr="00710FD0" w:rsidRDefault="00C310DF" w:rsidP="00C310DF">
            <w:pPr>
              <w:rPr>
                <w:rFonts w:ascii="Verdana" w:hAnsi="Verdana" w:cs="Calibri"/>
                <w:b w:val="0"/>
                <w:bCs w:val="0"/>
                <w:color w:val="000000"/>
                <w:lang w:val="es-CO" w:eastAsia="es-CO"/>
              </w:rPr>
            </w:pPr>
          </w:p>
        </w:tc>
        <w:tc>
          <w:tcPr>
            <w:tcW w:w="3260" w:type="dxa"/>
            <w:vAlign w:val="center"/>
            <w:hideMark/>
          </w:tcPr>
          <w:p w:rsidR="00C310DF" w:rsidRPr="00710FD0" w:rsidRDefault="00C310DF" w:rsidP="00C310DF">
            <w:pPr>
              <w:cnfStyle w:val="000000100000"/>
              <w:rPr>
                <w:rFonts w:ascii="Verdana" w:hAnsi="Verdana" w:cs="Calibri"/>
                <w:bCs/>
                <w:color w:val="000000"/>
                <w:lang w:val="es-CO" w:eastAsia="es-CO"/>
              </w:rPr>
            </w:pPr>
            <w:r w:rsidRPr="00710FD0">
              <w:rPr>
                <w:rFonts w:ascii="Verdana" w:hAnsi="Verdana" w:cs="Calibri"/>
                <w:bCs/>
                <w:color w:val="000000"/>
                <w:lang w:val="es-CO" w:eastAsia="es-CO"/>
              </w:rPr>
              <w:t>Rama legislativa</w:t>
            </w:r>
          </w:p>
        </w:tc>
        <w:tc>
          <w:tcPr>
            <w:tcW w:w="1134" w:type="dxa"/>
            <w:noWrap/>
            <w:vAlign w:val="center"/>
            <w:hideMark/>
          </w:tcPr>
          <w:p w:rsidR="00C310DF" w:rsidRPr="00710FD0" w:rsidRDefault="00C310DF" w:rsidP="00C310DF">
            <w:pPr>
              <w:jc w:val="center"/>
              <w:cnfStyle w:val="000000100000"/>
              <w:rPr>
                <w:rFonts w:ascii="Verdana" w:hAnsi="Verdana" w:cs="Calibri"/>
                <w:color w:val="000000"/>
                <w:lang w:val="es-CO" w:eastAsia="es-CO"/>
              </w:rPr>
            </w:pPr>
            <w:r w:rsidRPr="00710FD0">
              <w:rPr>
                <w:rFonts w:ascii="Verdana" w:hAnsi="Verdana" w:cs="Calibri"/>
                <w:color w:val="000000"/>
                <w:lang w:val="es-CO" w:eastAsia="es-CO"/>
              </w:rPr>
              <w:t>2</w:t>
            </w:r>
          </w:p>
        </w:tc>
        <w:tc>
          <w:tcPr>
            <w:tcW w:w="1134" w:type="dxa"/>
            <w:noWrap/>
            <w:vAlign w:val="center"/>
            <w:hideMark/>
          </w:tcPr>
          <w:p w:rsidR="00C310DF" w:rsidRPr="00710FD0" w:rsidRDefault="00C310DF" w:rsidP="00C310DF">
            <w:pPr>
              <w:jc w:val="center"/>
              <w:cnfStyle w:val="000000100000"/>
              <w:rPr>
                <w:rFonts w:ascii="Verdana" w:hAnsi="Verdana" w:cs="Calibri"/>
                <w:color w:val="000000"/>
                <w:lang w:val="es-CO" w:eastAsia="es-CO"/>
              </w:rPr>
            </w:pPr>
            <w:r w:rsidRPr="00710FD0">
              <w:rPr>
                <w:rFonts w:ascii="Verdana" w:hAnsi="Verdana" w:cs="Calibri"/>
                <w:color w:val="000000"/>
                <w:lang w:val="es-CO" w:eastAsia="es-CO"/>
              </w:rPr>
              <w:t>2</w:t>
            </w:r>
          </w:p>
        </w:tc>
        <w:tc>
          <w:tcPr>
            <w:tcW w:w="1134" w:type="dxa"/>
            <w:noWrap/>
            <w:vAlign w:val="center"/>
            <w:hideMark/>
          </w:tcPr>
          <w:p w:rsidR="00C310DF" w:rsidRPr="00710FD0" w:rsidRDefault="00C310DF" w:rsidP="00C310DF">
            <w:pPr>
              <w:jc w:val="center"/>
              <w:cnfStyle w:val="000000100000"/>
              <w:rPr>
                <w:rFonts w:ascii="Verdana" w:hAnsi="Verdana" w:cs="Calibri"/>
                <w:color w:val="000000"/>
                <w:lang w:val="es-CO" w:eastAsia="es-CO"/>
              </w:rPr>
            </w:pPr>
            <w:r w:rsidRPr="00710FD0">
              <w:rPr>
                <w:rFonts w:ascii="Verdana" w:hAnsi="Verdana" w:cs="Calibri"/>
                <w:color w:val="000000"/>
                <w:lang w:val="es-CO" w:eastAsia="es-CO"/>
              </w:rPr>
              <w:t>0,00%</w:t>
            </w:r>
          </w:p>
        </w:tc>
        <w:tc>
          <w:tcPr>
            <w:tcW w:w="1088" w:type="dxa"/>
            <w:noWrap/>
            <w:vAlign w:val="center"/>
            <w:hideMark/>
          </w:tcPr>
          <w:p w:rsidR="00C310DF" w:rsidRPr="00710FD0" w:rsidRDefault="00C310DF" w:rsidP="00C310DF">
            <w:pPr>
              <w:jc w:val="center"/>
              <w:cnfStyle w:val="000000100000"/>
              <w:rPr>
                <w:rFonts w:ascii="Verdana" w:hAnsi="Verdana" w:cs="Calibri"/>
                <w:color w:val="000000"/>
                <w:lang w:val="es-CO" w:eastAsia="es-CO"/>
              </w:rPr>
            </w:pPr>
            <w:r w:rsidRPr="00710FD0">
              <w:rPr>
                <w:rFonts w:ascii="Verdana" w:hAnsi="Verdana" w:cs="Calibri"/>
                <w:color w:val="000000"/>
                <w:lang w:val="es-CO" w:eastAsia="es-CO"/>
              </w:rPr>
              <w:t>0,04%</w:t>
            </w:r>
          </w:p>
        </w:tc>
        <w:tc>
          <w:tcPr>
            <w:tcW w:w="1039" w:type="dxa"/>
            <w:noWrap/>
            <w:vAlign w:val="center"/>
            <w:hideMark/>
          </w:tcPr>
          <w:p w:rsidR="00C310DF" w:rsidRPr="00710FD0" w:rsidRDefault="00C310DF" w:rsidP="00C310DF">
            <w:pPr>
              <w:jc w:val="center"/>
              <w:cnfStyle w:val="000000100000"/>
              <w:rPr>
                <w:rFonts w:ascii="Verdana" w:hAnsi="Verdana" w:cs="Calibri"/>
                <w:color w:val="000000"/>
                <w:lang w:val="es-CO" w:eastAsia="es-CO"/>
              </w:rPr>
            </w:pPr>
            <w:r w:rsidRPr="00710FD0">
              <w:rPr>
                <w:rFonts w:ascii="Verdana" w:hAnsi="Verdana" w:cs="Calibri"/>
                <w:color w:val="000000"/>
                <w:lang w:val="es-CO" w:eastAsia="es-CO"/>
              </w:rPr>
              <w:t>100,00%</w:t>
            </w:r>
          </w:p>
        </w:tc>
      </w:tr>
      <w:tr w:rsidR="00C310DF" w:rsidRPr="00710FD0" w:rsidTr="00C310DF">
        <w:trPr>
          <w:trHeight w:val="426"/>
          <w:jc w:val="center"/>
        </w:trPr>
        <w:tc>
          <w:tcPr>
            <w:cnfStyle w:val="001000000000"/>
            <w:tcW w:w="1271" w:type="dxa"/>
            <w:vMerge/>
            <w:shd w:val="clear" w:color="auto" w:fill="auto"/>
            <w:vAlign w:val="center"/>
            <w:hideMark/>
          </w:tcPr>
          <w:p w:rsidR="00C310DF" w:rsidRPr="00710FD0" w:rsidRDefault="00C310DF" w:rsidP="00C310DF">
            <w:pPr>
              <w:rPr>
                <w:rFonts w:ascii="Verdana" w:hAnsi="Verdana" w:cs="Calibri"/>
                <w:b w:val="0"/>
                <w:bCs w:val="0"/>
                <w:color w:val="000000"/>
                <w:lang w:val="es-CO" w:eastAsia="es-CO"/>
              </w:rPr>
            </w:pPr>
          </w:p>
        </w:tc>
        <w:tc>
          <w:tcPr>
            <w:tcW w:w="3260" w:type="dxa"/>
            <w:vAlign w:val="center"/>
            <w:hideMark/>
          </w:tcPr>
          <w:p w:rsidR="00C310DF" w:rsidRPr="00710FD0" w:rsidRDefault="00C310DF" w:rsidP="00C310DF">
            <w:pPr>
              <w:cnfStyle w:val="000000000000"/>
              <w:rPr>
                <w:rFonts w:ascii="Verdana" w:hAnsi="Verdana" w:cs="Calibri"/>
                <w:bCs/>
                <w:color w:val="000000"/>
                <w:lang w:val="es-CO" w:eastAsia="es-CO"/>
              </w:rPr>
            </w:pPr>
            <w:r w:rsidRPr="00710FD0">
              <w:rPr>
                <w:rFonts w:ascii="Verdana" w:hAnsi="Verdana" w:cs="Calibri"/>
                <w:bCs/>
                <w:color w:val="000000"/>
                <w:lang w:val="es-CO" w:eastAsia="es-CO"/>
              </w:rPr>
              <w:t>Organismos autónomos e independientes de Control</w:t>
            </w:r>
          </w:p>
        </w:tc>
        <w:tc>
          <w:tcPr>
            <w:tcW w:w="1134"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193</w:t>
            </w:r>
          </w:p>
        </w:tc>
        <w:tc>
          <w:tcPr>
            <w:tcW w:w="1134"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114</w:t>
            </w:r>
          </w:p>
        </w:tc>
        <w:tc>
          <w:tcPr>
            <w:tcW w:w="1134"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0,40%</w:t>
            </w:r>
          </w:p>
        </w:tc>
        <w:tc>
          <w:tcPr>
            <w:tcW w:w="1088"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2,07%</w:t>
            </w:r>
          </w:p>
        </w:tc>
        <w:tc>
          <w:tcPr>
            <w:tcW w:w="1039"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59,07%</w:t>
            </w:r>
          </w:p>
        </w:tc>
      </w:tr>
      <w:tr w:rsidR="00C310DF" w:rsidRPr="00710FD0" w:rsidTr="00C310DF">
        <w:trPr>
          <w:cnfStyle w:val="000000100000"/>
          <w:trHeight w:val="190"/>
          <w:jc w:val="center"/>
        </w:trPr>
        <w:tc>
          <w:tcPr>
            <w:cnfStyle w:val="001000000000"/>
            <w:tcW w:w="1271" w:type="dxa"/>
            <w:vMerge/>
            <w:shd w:val="clear" w:color="auto" w:fill="auto"/>
            <w:vAlign w:val="center"/>
            <w:hideMark/>
          </w:tcPr>
          <w:p w:rsidR="00C310DF" w:rsidRPr="00710FD0" w:rsidRDefault="00C310DF" w:rsidP="00C310DF">
            <w:pPr>
              <w:rPr>
                <w:rFonts w:ascii="Verdana" w:hAnsi="Verdana" w:cs="Calibri"/>
                <w:b w:val="0"/>
                <w:bCs w:val="0"/>
                <w:color w:val="000000"/>
                <w:lang w:val="es-CO" w:eastAsia="es-CO"/>
              </w:rPr>
            </w:pPr>
          </w:p>
        </w:tc>
        <w:tc>
          <w:tcPr>
            <w:tcW w:w="3260" w:type="dxa"/>
            <w:shd w:val="clear" w:color="auto" w:fill="4F81BD" w:themeFill="accent1"/>
            <w:noWrap/>
            <w:vAlign w:val="center"/>
            <w:hideMark/>
          </w:tcPr>
          <w:p w:rsidR="00C310DF" w:rsidRPr="00710FD0" w:rsidRDefault="00C310DF" w:rsidP="00C310DF">
            <w:pPr>
              <w:cnfStyle w:val="000000100000"/>
              <w:rPr>
                <w:rFonts w:ascii="Verdana" w:hAnsi="Verdana" w:cs="Calibri"/>
                <w:bCs/>
                <w:color w:val="FFFFFF" w:themeColor="background1"/>
                <w:lang w:val="es-CO" w:eastAsia="es-CO"/>
              </w:rPr>
            </w:pPr>
            <w:r w:rsidRPr="00710FD0">
              <w:rPr>
                <w:rFonts w:ascii="Verdana" w:hAnsi="Verdana" w:cs="Calibri"/>
                <w:bCs/>
                <w:color w:val="FFFFFF" w:themeColor="background1"/>
                <w:lang w:val="es-CO" w:eastAsia="es-CO"/>
              </w:rPr>
              <w:t>Naturaleza Pública</w:t>
            </w:r>
          </w:p>
        </w:tc>
        <w:tc>
          <w:tcPr>
            <w:tcW w:w="1134" w:type="dxa"/>
            <w:shd w:val="clear" w:color="auto" w:fill="4F81BD" w:themeFill="accent1"/>
            <w:noWrap/>
            <w:vAlign w:val="center"/>
            <w:hideMark/>
          </w:tcPr>
          <w:p w:rsidR="00C310DF" w:rsidRPr="00710FD0" w:rsidRDefault="00C310DF" w:rsidP="00C310DF">
            <w:pPr>
              <w:jc w:val="center"/>
              <w:cnfStyle w:val="000000100000"/>
              <w:rPr>
                <w:rFonts w:ascii="Verdana" w:hAnsi="Verdana" w:cs="Calibri"/>
                <w:bCs/>
                <w:color w:val="FFFFFF" w:themeColor="background1"/>
                <w:lang w:val="es-CO" w:eastAsia="es-CO"/>
              </w:rPr>
            </w:pPr>
            <w:r w:rsidRPr="00710FD0">
              <w:rPr>
                <w:rFonts w:ascii="Verdana" w:hAnsi="Verdana" w:cs="Calibri"/>
                <w:bCs/>
                <w:color w:val="FFFFFF" w:themeColor="background1"/>
                <w:lang w:val="es-CO" w:eastAsia="es-CO"/>
              </w:rPr>
              <w:t>24.878</w:t>
            </w:r>
          </w:p>
        </w:tc>
        <w:tc>
          <w:tcPr>
            <w:tcW w:w="1134" w:type="dxa"/>
            <w:shd w:val="clear" w:color="auto" w:fill="4F81BD" w:themeFill="accent1"/>
            <w:noWrap/>
            <w:vAlign w:val="center"/>
            <w:hideMark/>
          </w:tcPr>
          <w:p w:rsidR="00C310DF" w:rsidRPr="00710FD0" w:rsidRDefault="00C310DF" w:rsidP="00C310DF">
            <w:pPr>
              <w:jc w:val="center"/>
              <w:cnfStyle w:val="000000100000"/>
              <w:rPr>
                <w:rFonts w:ascii="Verdana" w:hAnsi="Verdana" w:cs="Calibri"/>
                <w:bCs/>
                <w:color w:val="FFFFFF" w:themeColor="background1"/>
                <w:lang w:val="es-CO" w:eastAsia="es-CO"/>
              </w:rPr>
            </w:pPr>
            <w:r w:rsidRPr="00710FD0">
              <w:rPr>
                <w:rFonts w:ascii="Verdana" w:hAnsi="Verdana" w:cs="Calibri"/>
                <w:bCs/>
                <w:color w:val="FFFFFF" w:themeColor="background1"/>
                <w:lang w:val="es-CO" w:eastAsia="es-CO"/>
              </w:rPr>
              <w:t>1.769</w:t>
            </w:r>
          </w:p>
        </w:tc>
        <w:tc>
          <w:tcPr>
            <w:tcW w:w="1134" w:type="dxa"/>
            <w:shd w:val="clear" w:color="auto" w:fill="4F81BD" w:themeFill="accent1"/>
            <w:noWrap/>
            <w:vAlign w:val="center"/>
            <w:hideMark/>
          </w:tcPr>
          <w:p w:rsidR="00C310DF" w:rsidRPr="00710FD0" w:rsidRDefault="00C310DF" w:rsidP="00C310DF">
            <w:pPr>
              <w:jc w:val="center"/>
              <w:cnfStyle w:val="000000100000"/>
              <w:rPr>
                <w:rFonts w:ascii="Verdana" w:hAnsi="Verdana" w:cs="Calibri"/>
                <w:bCs/>
                <w:color w:val="FFFFFF" w:themeColor="background1"/>
                <w:lang w:val="es-CO" w:eastAsia="es-CO"/>
              </w:rPr>
            </w:pPr>
            <w:r w:rsidRPr="00710FD0">
              <w:rPr>
                <w:rFonts w:ascii="Verdana" w:hAnsi="Verdana" w:cs="Calibri"/>
                <w:bCs/>
                <w:color w:val="FFFFFF" w:themeColor="background1"/>
                <w:lang w:val="es-CO" w:eastAsia="es-CO"/>
              </w:rPr>
              <w:t>52,13%</w:t>
            </w:r>
          </w:p>
        </w:tc>
        <w:tc>
          <w:tcPr>
            <w:tcW w:w="1088" w:type="dxa"/>
            <w:shd w:val="clear" w:color="auto" w:fill="4F81BD" w:themeFill="accent1"/>
            <w:noWrap/>
            <w:vAlign w:val="center"/>
            <w:hideMark/>
          </w:tcPr>
          <w:p w:rsidR="00C310DF" w:rsidRPr="00710FD0" w:rsidRDefault="00C310DF" w:rsidP="00C310DF">
            <w:pPr>
              <w:jc w:val="center"/>
              <w:cnfStyle w:val="000000100000"/>
              <w:rPr>
                <w:rFonts w:ascii="Verdana" w:hAnsi="Verdana" w:cs="Calibri"/>
                <w:bCs/>
                <w:color w:val="FFFFFF" w:themeColor="background1"/>
                <w:lang w:val="es-CO" w:eastAsia="es-CO"/>
              </w:rPr>
            </w:pPr>
            <w:r w:rsidRPr="00710FD0">
              <w:rPr>
                <w:rFonts w:ascii="Verdana" w:hAnsi="Verdana" w:cs="Calibri"/>
                <w:bCs/>
                <w:color w:val="FFFFFF" w:themeColor="background1"/>
                <w:lang w:val="es-CO" w:eastAsia="es-CO"/>
              </w:rPr>
              <w:t>32,14%</w:t>
            </w:r>
          </w:p>
        </w:tc>
        <w:tc>
          <w:tcPr>
            <w:tcW w:w="1039" w:type="dxa"/>
            <w:shd w:val="clear" w:color="auto" w:fill="4F81BD" w:themeFill="accent1"/>
            <w:noWrap/>
            <w:vAlign w:val="center"/>
            <w:hideMark/>
          </w:tcPr>
          <w:p w:rsidR="00C310DF" w:rsidRPr="00710FD0" w:rsidRDefault="00C310DF" w:rsidP="00C310DF">
            <w:pPr>
              <w:jc w:val="center"/>
              <w:cnfStyle w:val="000000100000"/>
              <w:rPr>
                <w:rFonts w:ascii="Verdana" w:hAnsi="Verdana" w:cs="Calibri"/>
                <w:bCs/>
                <w:color w:val="FFFFFF" w:themeColor="background1"/>
                <w:lang w:val="es-CO" w:eastAsia="es-CO"/>
              </w:rPr>
            </w:pPr>
            <w:r w:rsidRPr="00710FD0">
              <w:rPr>
                <w:rFonts w:ascii="Verdana" w:hAnsi="Verdana" w:cs="Calibri"/>
                <w:bCs/>
                <w:color w:val="FFFFFF" w:themeColor="background1"/>
                <w:lang w:val="es-CO" w:eastAsia="es-CO"/>
              </w:rPr>
              <w:t>7,11%</w:t>
            </w:r>
          </w:p>
        </w:tc>
      </w:tr>
      <w:tr w:rsidR="00C310DF" w:rsidRPr="00710FD0" w:rsidTr="00C310DF">
        <w:trPr>
          <w:trHeight w:val="313"/>
          <w:jc w:val="center"/>
        </w:trPr>
        <w:tc>
          <w:tcPr>
            <w:cnfStyle w:val="001000000000"/>
            <w:tcW w:w="1271" w:type="dxa"/>
            <w:vMerge w:val="restart"/>
            <w:noWrap/>
            <w:vAlign w:val="center"/>
            <w:hideMark/>
          </w:tcPr>
          <w:p w:rsidR="00C310DF" w:rsidRPr="00710FD0" w:rsidRDefault="00C310DF" w:rsidP="00C310DF">
            <w:pPr>
              <w:jc w:val="center"/>
              <w:rPr>
                <w:rFonts w:ascii="Verdana" w:hAnsi="Verdana" w:cs="Calibri"/>
                <w:b w:val="0"/>
                <w:bCs w:val="0"/>
                <w:color w:val="000000"/>
                <w:lang w:val="es-CO" w:eastAsia="es-CO"/>
              </w:rPr>
            </w:pPr>
            <w:r w:rsidRPr="00710FD0">
              <w:rPr>
                <w:rFonts w:ascii="Verdana" w:hAnsi="Verdana" w:cs="Calibri"/>
                <w:b w:val="0"/>
                <w:bCs w:val="0"/>
                <w:color w:val="000000"/>
                <w:lang w:val="es-CO" w:eastAsia="es-CO"/>
              </w:rPr>
              <w:lastRenderedPageBreak/>
              <w:t>Privada</w:t>
            </w:r>
          </w:p>
        </w:tc>
        <w:tc>
          <w:tcPr>
            <w:tcW w:w="3260" w:type="dxa"/>
            <w:vAlign w:val="center"/>
            <w:hideMark/>
          </w:tcPr>
          <w:p w:rsidR="00C310DF" w:rsidRPr="00710FD0" w:rsidRDefault="00C310DF" w:rsidP="00C310DF">
            <w:pPr>
              <w:cnfStyle w:val="000000000000"/>
              <w:rPr>
                <w:rFonts w:ascii="Verdana" w:hAnsi="Verdana" w:cs="Calibri"/>
                <w:bCs/>
                <w:color w:val="000000"/>
                <w:lang w:val="es-CO" w:eastAsia="es-CO"/>
              </w:rPr>
            </w:pPr>
            <w:r w:rsidRPr="00710FD0">
              <w:rPr>
                <w:rFonts w:ascii="Verdana" w:hAnsi="Verdana" w:cs="Calibri"/>
                <w:bCs/>
                <w:color w:val="000000"/>
                <w:lang w:val="es-CO" w:eastAsia="es-CO"/>
              </w:rPr>
              <w:t>Entidades sin ánimo de Lucro</w:t>
            </w:r>
          </w:p>
        </w:tc>
        <w:tc>
          <w:tcPr>
            <w:tcW w:w="1134"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3.097</w:t>
            </w:r>
          </w:p>
        </w:tc>
        <w:tc>
          <w:tcPr>
            <w:tcW w:w="1134"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2.704</w:t>
            </w:r>
          </w:p>
        </w:tc>
        <w:tc>
          <w:tcPr>
            <w:tcW w:w="1134"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6,49%</w:t>
            </w:r>
          </w:p>
        </w:tc>
        <w:tc>
          <w:tcPr>
            <w:tcW w:w="1088"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49,13%</w:t>
            </w:r>
          </w:p>
        </w:tc>
        <w:tc>
          <w:tcPr>
            <w:tcW w:w="1039"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87,31%</w:t>
            </w:r>
          </w:p>
        </w:tc>
      </w:tr>
      <w:tr w:rsidR="00C310DF" w:rsidRPr="00710FD0" w:rsidTr="00C310DF">
        <w:trPr>
          <w:cnfStyle w:val="000000100000"/>
          <w:trHeight w:val="274"/>
          <w:jc w:val="center"/>
        </w:trPr>
        <w:tc>
          <w:tcPr>
            <w:cnfStyle w:val="001000000000"/>
            <w:tcW w:w="1271" w:type="dxa"/>
            <w:vMerge/>
            <w:vAlign w:val="center"/>
            <w:hideMark/>
          </w:tcPr>
          <w:p w:rsidR="00C310DF" w:rsidRPr="00710FD0" w:rsidRDefault="00C310DF" w:rsidP="00C310DF">
            <w:pPr>
              <w:rPr>
                <w:rFonts w:ascii="Verdana" w:hAnsi="Verdana" w:cs="Calibri"/>
                <w:b w:val="0"/>
                <w:bCs w:val="0"/>
                <w:color w:val="000000"/>
                <w:lang w:val="es-CO" w:eastAsia="es-CO"/>
              </w:rPr>
            </w:pPr>
          </w:p>
        </w:tc>
        <w:tc>
          <w:tcPr>
            <w:tcW w:w="3260" w:type="dxa"/>
            <w:vAlign w:val="center"/>
            <w:hideMark/>
          </w:tcPr>
          <w:p w:rsidR="00C310DF" w:rsidRPr="00710FD0" w:rsidRDefault="00C310DF" w:rsidP="00C310DF">
            <w:pPr>
              <w:cnfStyle w:val="000000100000"/>
              <w:rPr>
                <w:rFonts w:ascii="Verdana" w:hAnsi="Verdana" w:cs="Calibri"/>
                <w:bCs/>
                <w:color w:val="000000"/>
                <w:lang w:val="es-CO" w:eastAsia="es-CO"/>
              </w:rPr>
            </w:pPr>
            <w:r w:rsidRPr="00710FD0">
              <w:rPr>
                <w:rFonts w:ascii="Verdana" w:hAnsi="Verdana" w:cs="Calibri"/>
                <w:bCs/>
                <w:color w:val="000000"/>
                <w:lang w:val="es-CO" w:eastAsia="es-CO"/>
              </w:rPr>
              <w:t>Entidades con ánimo de Lucro</w:t>
            </w:r>
          </w:p>
        </w:tc>
        <w:tc>
          <w:tcPr>
            <w:tcW w:w="1134" w:type="dxa"/>
            <w:noWrap/>
            <w:vAlign w:val="center"/>
            <w:hideMark/>
          </w:tcPr>
          <w:p w:rsidR="00C310DF" w:rsidRPr="00710FD0" w:rsidRDefault="00C310DF" w:rsidP="00C310DF">
            <w:pPr>
              <w:jc w:val="center"/>
              <w:cnfStyle w:val="000000100000"/>
              <w:rPr>
                <w:rFonts w:ascii="Verdana" w:hAnsi="Verdana" w:cs="Calibri"/>
                <w:color w:val="000000"/>
                <w:lang w:val="es-CO" w:eastAsia="es-CO"/>
              </w:rPr>
            </w:pPr>
            <w:r w:rsidRPr="00710FD0">
              <w:rPr>
                <w:rFonts w:ascii="Verdana" w:hAnsi="Verdana" w:cs="Calibri"/>
                <w:color w:val="000000"/>
                <w:lang w:val="es-CO" w:eastAsia="es-CO"/>
              </w:rPr>
              <w:t>10.414</w:t>
            </w:r>
          </w:p>
        </w:tc>
        <w:tc>
          <w:tcPr>
            <w:tcW w:w="1134" w:type="dxa"/>
            <w:noWrap/>
            <w:vAlign w:val="center"/>
            <w:hideMark/>
          </w:tcPr>
          <w:p w:rsidR="00C310DF" w:rsidRPr="00710FD0" w:rsidRDefault="00C310DF" w:rsidP="00C310DF">
            <w:pPr>
              <w:jc w:val="center"/>
              <w:cnfStyle w:val="000000100000"/>
              <w:rPr>
                <w:rFonts w:ascii="Verdana" w:hAnsi="Verdana" w:cs="Calibri"/>
                <w:color w:val="000000"/>
                <w:lang w:val="es-CO" w:eastAsia="es-CO"/>
              </w:rPr>
            </w:pPr>
            <w:r w:rsidRPr="00710FD0">
              <w:rPr>
                <w:rFonts w:ascii="Verdana" w:hAnsi="Verdana" w:cs="Calibri"/>
                <w:color w:val="000000"/>
                <w:lang w:val="es-CO" w:eastAsia="es-CO"/>
              </w:rPr>
              <w:t>160</w:t>
            </w:r>
          </w:p>
        </w:tc>
        <w:tc>
          <w:tcPr>
            <w:tcW w:w="1134" w:type="dxa"/>
            <w:noWrap/>
            <w:vAlign w:val="center"/>
            <w:hideMark/>
          </w:tcPr>
          <w:p w:rsidR="00C310DF" w:rsidRPr="00710FD0" w:rsidRDefault="00C310DF" w:rsidP="00C310DF">
            <w:pPr>
              <w:jc w:val="center"/>
              <w:cnfStyle w:val="000000100000"/>
              <w:rPr>
                <w:rFonts w:ascii="Verdana" w:hAnsi="Verdana" w:cs="Calibri"/>
                <w:color w:val="000000"/>
                <w:lang w:val="es-CO" w:eastAsia="es-CO"/>
              </w:rPr>
            </w:pPr>
            <w:r w:rsidRPr="00710FD0">
              <w:rPr>
                <w:rFonts w:ascii="Verdana" w:hAnsi="Verdana" w:cs="Calibri"/>
                <w:color w:val="000000"/>
                <w:lang w:val="es-CO" w:eastAsia="es-CO"/>
              </w:rPr>
              <w:t>21,82%</w:t>
            </w:r>
          </w:p>
        </w:tc>
        <w:tc>
          <w:tcPr>
            <w:tcW w:w="1088" w:type="dxa"/>
            <w:noWrap/>
            <w:vAlign w:val="center"/>
            <w:hideMark/>
          </w:tcPr>
          <w:p w:rsidR="00C310DF" w:rsidRPr="00710FD0" w:rsidRDefault="00C310DF" w:rsidP="00C310DF">
            <w:pPr>
              <w:jc w:val="center"/>
              <w:cnfStyle w:val="000000100000"/>
              <w:rPr>
                <w:rFonts w:ascii="Verdana" w:hAnsi="Verdana" w:cs="Calibri"/>
                <w:color w:val="000000"/>
                <w:lang w:val="es-CO" w:eastAsia="es-CO"/>
              </w:rPr>
            </w:pPr>
            <w:r w:rsidRPr="00710FD0">
              <w:rPr>
                <w:rFonts w:ascii="Verdana" w:hAnsi="Verdana" w:cs="Calibri"/>
                <w:color w:val="000000"/>
                <w:lang w:val="es-CO" w:eastAsia="es-CO"/>
              </w:rPr>
              <w:t>2,91%</w:t>
            </w:r>
          </w:p>
        </w:tc>
        <w:tc>
          <w:tcPr>
            <w:tcW w:w="1039" w:type="dxa"/>
            <w:noWrap/>
            <w:vAlign w:val="center"/>
            <w:hideMark/>
          </w:tcPr>
          <w:p w:rsidR="00C310DF" w:rsidRPr="00710FD0" w:rsidRDefault="00C310DF" w:rsidP="00C310DF">
            <w:pPr>
              <w:jc w:val="center"/>
              <w:cnfStyle w:val="000000100000"/>
              <w:rPr>
                <w:rFonts w:ascii="Verdana" w:hAnsi="Verdana" w:cs="Calibri"/>
                <w:color w:val="000000"/>
                <w:lang w:val="es-CO" w:eastAsia="es-CO"/>
              </w:rPr>
            </w:pPr>
            <w:r w:rsidRPr="00710FD0">
              <w:rPr>
                <w:rFonts w:ascii="Verdana" w:hAnsi="Verdana" w:cs="Calibri"/>
                <w:color w:val="000000"/>
                <w:lang w:val="es-CO" w:eastAsia="es-CO"/>
              </w:rPr>
              <w:t>1,54%</w:t>
            </w:r>
          </w:p>
        </w:tc>
      </w:tr>
      <w:tr w:rsidR="00C310DF" w:rsidRPr="00710FD0" w:rsidTr="00C310DF">
        <w:trPr>
          <w:trHeight w:val="293"/>
          <w:jc w:val="center"/>
        </w:trPr>
        <w:tc>
          <w:tcPr>
            <w:cnfStyle w:val="001000000000"/>
            <w:tcW w:w="1271" w:type="dxa"/>
            <w:vMerge/>
            <w:vAlign w:val="center"/>
            <w:hideMark/>
          </w:tcPr>
          <w:p w:rsidR="00C310DF" w:rsidRPr="00710FD0" w:rsidRDefault="00C310DF" w:rsidP="00C310DF">
            <w:pPr>
              <w:rPr>
                <w:rFonts w:ascii="Verdana" w:hAnsi="Verdana" w:cs="Calibri"/>
                <w:b w:val="0"/>
                <w:bCs w:val="0"/>
                <w:color w:val="000000"/>
                <w:lang w:val="es-CO" w:eastAsia="es-CO"/>
              </w:rPr>
            </w:pPr>
          </w:p>
        </w:tc>
        <w:tc>
          <w:tcPr>
            <w:tcW w:w="3260" w:type="dxa"/>
            <w:vAlign w:val="center"/>
            <w:hideMark/>
          </w:tcPr>
          <w:p w:rsidR="00C310DF" w:rsidRPr="00710FD0" w:rsidRDefault="00C310DF" w:rsidP="00C310DF">
            <w:pPr>
              <w:cnfStyle w:val="000000000000"/>
              <w:rPr>
                <w:rFonts w:ascii="Verdana" w:hAnsi="Verdana" w:cs="Calibri"/>
                <w:bCs/>
                <w:color w:val="000000"/>
                <w:lang w:val="es-CO" w:eastAsia="es-CO"/>
              </w:rPr>
            </w:pPr>
            <w:r w:rsidRPr="00710FD0">
              <w:rPr>
                <w:rFonts w:ascii="Verdana" w:hAnsi="Verdana" w:cs="Calibri"/>
                <w:bCs/>
                <w:color w:val="000000"/>
                <w:lang w:val="es-CO" w:eastAsia="es-CO"/>
              </w:rPr>
              <w:t>Personas Naturales</w:t>
            </w:r>
          </w:p>
        </w:tc>
        <w:tc>
          <w:tcPr>
            <w:tcW w:w="1134"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3.000</w:t>
            </w:r>
          </w:p>
        </w:tc>
        <w:tc>
          <w:tcPr>
            <w:tcW w:w="1134"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640</w:t>
            </w:r>
          </w:p>
        </w:tc>
        <w:tc>
          <w:tcPr>
            <w:tcW w:w="1134"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6,29%</w:t>
            </w:r>
          </w:p>
        </w:tc>
        <w:tc>
          <w:tcPr>
            <w:tcW w:w="1088"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11,63%</w:t>
            </w:r>
          </w:p>
        </w:tc>
        <w:tc>
          <w:tcPr>
            <w:tcW w:w="1039"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21,33%</w:t>
            </w:r>
          </w:p>
        </w:tc>
      </w:tr>
      <w:tr w:rsidR="00C310DF" w:rsidRPr="00710FD0" w:rsidTr="00C310DF">
        <w:trPr>
          <w:cnfStyle w:val="000000100000"/>
          <w:trHeight w:val="254"/>
          <w:jc w:val="center"/>
        </w:trPr>
        <w:tc>
          <w:tcPr>
            <w:cnfStyle w:val="001000000000"/>
            <w:tcW w:w="1271" w:type="dxa"/>
            <w:vMerge/>
            <w:vAlign w:val="center"/>
            <w:hideMark/>
          </w:tcPr>
          <w:p w:rsidR="00C310DF" w:rsidRPr="00710FD0" w:rsidRDefault="00C310DF" w:rsidP="00C310DF">
            <w:pPr>
              <w:rPr>
                <w:rFonts w:ascii="Verdana" w:hAnsi="Verdana" w:cs="Calibri"/>
                <w:b w:val="0"/>
                <w:bCs w:val="0"/>
                <w:color w:val="000000"/>
                <w:lang w:val="es-CO" w:eastAsia="es-CO"/>
              </w:rPr>
            </w:pPr>
          </w:p>
        </w:tc>
        <w:tc>
          <w:tcPr>
            <w:tcW w:w="3260" w:type="dxa"/>
            <w:shd w:val="clear" w:color="auto" w:fill="4F81BD" w:themeFill="accent1"/>
            <w:noWrap/>
            <w:vAlign w:val="center"/>
            <w:hideMark/>
          </w:tcPr>
          <w:p w:rsidR="00C310DF" w:rsidRPr="00710FD0" w:rsidRDefault="00C310DF" w:rsidP="00C310DF">
            <w:pPr>
              <w:cnfStyle w:val="000000100000"/>
              <w:rPr>
                <w:rFonts w:ascii="Verdana" w:hAnsi="Verdana" w:cs="Calibri"/>
                <w:bCs/>
                <w:color w:val="FFFFFF" w:themeColor="background1"/>
                <w:lang w:val="es-CO" w:eastAsia="es-CO"/>
              </w:rPr>
            </w:pPr>
            <w:r w:rsidRPr="00710FD0">
              <w:rPr>
                <w:rFonts w:ascii="Verdana" w:hAnsi="Verdana" w:cs="Calibri"/>
                <w:bCs/>
                <w:color w:val="FFFFFF" w:themeColor="background1"/>
                <w:lang w:val="es-CO" w:eastAsia="es-CO"/>
              </w:rPr>
              <w:t>Naturaleza Privada, Personas Naturales</w:t>
            </w:r>
          </w:p>
        </w:tc>
        <w:tc>
          <w:tcPr>
            <w:tcW w:w="1134" w:type="dxa"/>
            <w:shd w:val="clear" w:color="auto" w:fill="4F81BD" w:themeFill="accent1"/>
            <w:noWrap/>
            <w:vAlign w:val="center"/>
            <w:hideMark/>
          </w:tcPr>
          <w:p w:rsidR="00C310DF" w:rsidRPr="00710FD0" w:rsidRDefault="00C310DF" w:rsidP="00C310DF">
            <w:pPr>
              <w:jc w:val="center"/>
              <w:cnfStyle w:val="000000100000"/>
              <w:rPr>
                <w:rFonts w:ascii="Verdana" w:hAnsi="Verdana" w:cs="Calibri"/>
                <w:bCs/>
                <w:color w:val="FFFFFF" w:themeColor="background1"/>
                <w:lang w:val="es-CO" w:eastAsia="es-CO"/>
              </w:rPr>
            </w:pPr>
            <w:r w:rsidRPr="00710FD0">
              <w:rPr>
                <w:rFonts w:ascii="Verdana" w:hAnsi="Verdana" w:cs="Calibri"/>
                <w:bCs/>
                <w:color w:val="FFFFFF" w:themeColor="background1"/>
                <w:lang w:val="es-CO" w:eastAsia="es-CO"/>
              </w:rPr>
              <w:t>16.511</w:t>
            </w:r>
          </w:p>
        </w:tc>
        <w:tc>
          <w:tcPr>
            <w:tcW w:w="1134" w:type="dxa"/>
            <w:shd w:val="clear" w:color="auto" w:fill="4F81BD" w:themeFill="accent1"/>
            <w:noWrap/>
            <w:vAlign w:val="center"/>
            <w:hideMark/>
          </w:tcPr>
          <w:p w:rsidR="00C310DF" w:rsidRPr="00710FD0" w:rsidRDefault="00C310DF" w:rsidP="00C310DF">
            <w:pPr>
              <w:jc w:val="center"/>
              <w:cnfStyle w:val="000000100000"/>
              <w:rPr>
                <w:rFonts w:ascii="Verdana" w:hAnsi="Verdana" w:cs="Calibri"/>
                <w:bCs/>
                <w:color w:val="FFFFFF" w:themeColor="background1"/>
                <w:lang w:val="es-CO" w:eastAsia="es-CO"/>
              </w:rPr>
            </w:pPr>
            <w:r w:rsidRPr="00710FD0">
              <w:rPr>
                <w:rFonts w:ascii="Verdana" w:hAnsi="Verdana" w:cs="Calibri"/>
                <w:bCs/>
                <w:color w:val="FFFFFF" w:themeColor="background1"/>
                <w:lang w:val="es-CO" w:eastAsia="es-CO"/>
              </w:rPr>
              <w:t>3.504</w:t>
            </w:r>
          </w:p>
        </w:tc>
        <w:tc>
          <w:tcPr>
            <w:tcW w:w="1134" w:type="dxa"/>
            <w:shd w:val="clear" w:color="auto" w:fill="4F81BD" w:themeFill="accent1"/>
            <w:noWrap/>
            <w:vAlign w:val="center"/>
            <w:hideMark/>
          </w:tcPr>
          <w:p w:rsidR="00C310DF" w:rsidRPr="00710FD0" w:rsidRDefault="00C310DF" w:rsidP="00C310DF">
            <w:pPr>
              <w:jc w:val="center"/>
              <w:cnfStyle w:val="000000100000"/>
              <w:rPr>
                <w:rFonts w:ascii="Verdana" w:hAnsi="Verdana" w:cs="Calibri"/>
                <w:bCs/>
                <w:color w:val="FFFFFF" w:themeColor="background1"/>
                <w:lang w:val="es-CO" w:eastAsia="es-CO"/>
              </w:rPr>
            </w:pPr>
            <w:r w:rsidRPr="00710FD0">
              <w:rPr>
                <w:rFonts w:ascii="Verdana" w:hAnsi="Verdana" w:cs="Calibri"/>
                <w:bCs/>
                <w:color w:val="FFFFFF" w:themeColor="background1"/>
                <w:lang w:val="es-CO" w:eastAsia="es-CO"/>
              </w:rPr>
              <w:t>34,60%</w:t>
            </w:r>
          </w:p>
        </w:tc>
        <w:tc>
          <w:tcPr>
            <w:tcW w:w="1088" w:type="dxa"/>
            <w:shd w:val="clear" w:color="auto" w:fill="4F81BD" w:themeFill="accent1"/>
            <w:noWrap/>
            <w:vAlign w:val="center"/>
            <w:hideMark/>
          </w:tcPr>
          <w:p w:rsidR="00C310DF" w:rsidRPr="00710FD0" w:rsidRDefault="00C310DF" w:rsidP="00C310DF">
            <w:pPr>
              <w:jc w:val="center"/>
              <w:cnfStyle w:val="000000100000"/>
              <w:rPr>
                <w:rFonts w:ascii="Verdana" w:hAnsi="Verdana" w:cs="Calibri"/>
                <w:bCs/>
                <w:color w:val="FFFFFF" w:themeColor="background1"/>
                <w:lang w:val="es-CO" w:eastAsia="es-CO"/>
              </w:rPr>
            </w:pPr>
            <w:r w:rsidRPr="00710FD0">
              <w:rPr>
                <w:rFonts w:ascii="Verdana" w:hAnsi="Verdana" w:cs="Calibri"/>
                <w:bCs/>
                <w:color w:val="FFFFFF" w:themeColor="background1"/>
                <w:lang w:val="es-CO" w:eastAsia="es-CO"/>
              </w:rPr>
              <w:t>63,66%</w:t>
            </w:r>
          </w:p>
        </w:tc>
        <w:tc>
          <w:tcPr>
            <w:tcW w:w="1039" w:type="dxa"/>
            <w:shd w:val="clear" w:color="auto" w:fill="4F81BD" w:themeFill="accent1"/>
            <w:noWrap/>
            <w:vAlign w:val="center"/>
            <w:hideMark/>
          </w:tcPr>
          <w:p w:rsidR="00C310DF" w:rsidRPr="00710FD0" w:rsidRDefault="00C310DF" w:rsidP="00C310DF">
            <w:pPr>
              <w:jc w:val="center"/>
              <w:cnfStyle w:val="000000100000"/>
              <w:rPr>
                <w:rFonts w:ascii="Verdana" w:hAnsi="Verdana" w:cs="Calibri"/>
                <w:bCs/>
                <w:color w:val="FFFFFF" w:themeColor="background1"/>
                <w:lang w:val="es-CO" w:eastAsia="es-CO"/>
              </w:rPr>
            </w:pPr>
            <w:r w:rsidRPr="00710FD0">
              <w:rPr>
                <w:rFonts w:ascii="Verdana" w:hAnsi="Verdana" w:cs="Calibri"/>
                <w:bCs/>
                <w:color w:val="FFFFFF" w:themeColor="background1"/>
                <w:lang w:val="es-CO" w:eastAsia="es-CO"/>
              </w:rPr>
              <w:t>21,22%</w:t>
            </w:r>
          </w:p>
        </w:tc>
      </w:tr>
      <w:tr w:rsidR="00C310DF" w:rsidRPr="00710FD0" w:rsidTr="00C310DF">
        <w:trPr>
          <w:trHeight w:val="190"/>
          <w:jc w:val="center"/>
        </w:trPr>
        <w:tc>
          <w:tcPr>
            <w:cnfStyle w:val="001000000000"/>
            <w:tcW w:w="1271" w:type="dxa"/>
            <w:vMerge w:val="restart"/>
            <w:vAlign w:val="center"/>
            <w:hideMark/>
          </w:tcPr>
          <w:p w:rsidR="00C310DF" w:rsidRPr="00710FD0" w:rsidRDefault="00C310DF" w:rsidP="00C310DF">
            <w:pPr>
              <w:jc w:val="center"/>
              <w:rPr>
                <w:rFonts w:ascii="Verdana" w:hAnsi="Verdana" w:cs="Calibri"/>
                <w:b w:val="0"/>
                <w:bCs w:val="0"/>
                <w:color w:val="000000"/>
                <w:lang w:val="es-CO" w:eastAsia="es-CO"/>
              </w:rPr>
            </w:pPr>
            <w:r w:rsidRPr="00710FD0">
              <w:rPr>
                <w:rFonts w:ascii="Verdana" w:hAnsi="Verdana" w:cs="Calibri"/>
                <w:b w:val="0"/>
                <w:bCs w:val="0"/>
                <w:color w:val="000000"/>
                <w:lang w:val="es-CO" w:eastAsia="es-CO"/>
              </w:rPr>
              <w:t xml:space="preserve">Grupos </w:t>
            </w:r>
            <w:r w:rsidRPr="00710FD0">
              <w:rPr>
                <w:rFonts w:ascii="Verdana" w:hAnsi="Verdana" w:cs="Calibri"/>
                <w:b w:val="0"/>
                <w:bCs w:val="0"/>
                <w:color w:val="000000"/>
                <w:lang w:val="es-CO" w:eastAsia="es-CO"/>
              </w:rPr>
              <w:br/>
              <w:t>étnicos</w:t>
            </w:r>
          </w:p>
        </w:tc>
        <w:tc>
          <w:tcPr>
            <w:tcW w:w="3260" w:type="dxa"/>
            <w:vAlign w:val="center"/>
            <w:hideMark/>
          </w:tcPr>
          <w:p w:rsidR="00C310DF" w:rsidRPr="00710FD0" w:rsidRDefault="00C310DF" w:rsidP="00C310DF">
            <w:pPr>
              <w:cnfStyle w:val="000000000000"/>
              <w:rPr>
                <w:rFonts w:ascii="Verdana" w:hAnsi="Verdana" w:cs="Calibri"/>
                <w:bCs/>
                <w:color w:val="000000"/>
                <w:lang w:val="es-CO" w:eastAsia="es-CO"/>
              </w:rPr>
            </w:pPr>
            <w:r w:rsidRPr="00710FD0">
              <w:rPr>
                <w:rFonts w:ascii="Verdana" w:hAnsi="Verdana" w:cs="Calibri"/>
                <w:bCs/>
                <w:color w:val="000000"/>
                <w:lang w:val="es-CO" w:eastAsia="es-CO"/>
              </w:rPr>
              <w:t>Indígenas</w:t>
            </w:r>
          </w:p>
        </w:tc>
        <w:tc>
          <w:tcPr>
            <w:tcW w:w="1134"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4.289</w:t>
            </w:r>
          </w:p>
        </w:tc>
        <w:tc>
          <w:tcPr>
            <w:tcW w:w="1134"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103</w:t>
            </w:r>
          </w:p>
        </w:tc>
        <w:tc>
          <w:tcPr>
            <w:tcW w:w="1134"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8,99%</w:t>
            </w:r>
          </w:p>
        </w:tc>
        <w:tc>
          <w:tcPr>
            <w:tcW w:w="1088"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1,87%</w:t>
            </w:r>
          </w:p>
        </w:tc>
        <w:tc>
          <w:tcPr>
            <w:tcW w:w="1039"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2,40%</w:t>
            </w:r>
          </w:p>
        </w:tc>
      </w:tr>
      <w:tr w:rsidR="00C310DF" w:rsidRPr="00710FD0" w:rsidTr="00C310DF">
        <w:trPr>
          <w:cnfStyle w:val="000000100000"/>
          <w:trHeight w:val="190"/>
          <w:jc w:val="center"/>
        </w:trPr>
        <w:tc>
          <w:tcPr>
            <w:cnfStyle w:val="001000000000"/>
            <w:tcW w:w="1271" w:type="dxa"/>
            <w:vMerge/>
            <w:vAlign w:val="center"/>
            <w:hideMark/>
          </w:tcPr>
          <w:p w:rsidR="00C310DF" w:rsidRPr="00710FD0" w:rsidRDefault="00C310DF" w:rsidP="00C310DF">
            <w:pPr>
              <w:rPr>
                <w:rFonts w:ascii="Verdana" w:hAnsi="Verdana" w:cs="Calibri"/>
                <w:b w:val="0"/>
                <w:bCs w:val="0"/>
                <w:color w:val="000000"/>
                <w:lang w:val="es-CO" w:eastAsia="es-CO"/>
              </w:rPr>
            </w:pPr>
          </w:p>
        </w:tc>
        <w:tc>
          <w:tcPr>
            <w:tcW w:w="3260" w:type="dxa"/>
            <w:vAlign w:val="center"/>
            <w:hideMark/>
          </w:tcPr>
          <w:p w:rsidR="00C310DF" w:rsidRPr="00710FD0" w:rsidRDefault="00C310DF" w:rsidP="00C310DF">
            <w:pPr>
              <w:cnfStyle w:val="000000100000"/>
              <w:rPr>
                <w:rFonts w:ascii="Verdana" w:hAnsi="Verdana" w:cs="Calibri"/>
                <w:bCs/>
                <w:color w:val="000000"/>
                <w:lang w:val="es-CO" w:eastAsia="es-CO"/>
              </w:rPr>
            </w:pPr>
            <w:r w:rsidRPr="00710FD0">
              <w:rPr>
                <w:rFonts w:ascii="Verdana" w:hAnsi="Verdana" w:cs="Calibri"/>
                <w:bCs/>
                <w:color w:val="000000"/>
                <w:lang w:val="es-CO" w:eastAsia="es-CO"/>
              </w:rPr>
              <w:t>Afrodescendientes, Raizales, Palenques</w:t>
            </w:r>
          </w:p>
        </w:tc>
        <w:tc>
          <w:tcPr>
            <w:tcW w:w="1134" w:type="dxa"/>
            <w:noWrap/>
            <w:vAlign w:val="center"/>
            <w:hideMark/>
          </w:tcPr>
          <w:p w:rsidR="00C310DF" w:rsidRPr="00710FD0" w:rsidRDefault="00C310DF" w:rsidP="00C310DF">
            <w:pPr>
              <w:jc w:val="center"/>
              <w:cnfStyle w:val="000000100000"/>
              <w:rPr>
                <w:rFonts w:ascii="Verdana" w:hAnsi="Verdana" w:cs="Calibri"/>
                <w:color w:val="000000"/>
                <w:lang w:val="es-CO" w:eastAsia="es-CO"/>
              </w:rPr>
            </w:pPr>
            <w:r w:rsidRPr="00710FD0">
              <w:rPr>
                <w:rFonts w:ascii="Verdana" w:hAnsi="Verdana" w:cs="Calibri"/>
                <w:color w:val="000000"/>
                <w:lang w:val="es-CO" w:eastAsia="es-CO"/>
              </w:rPr>
              <w:t>2048</w:t>
            </w:r>
          </w:p>
        </w:tc>
        <w:tc>
          <w:tcPr>
            <w:tcW w:w="1134" w:type="dxa"/>
            <w:noWrap/>
            <w:vAlign w:val="center"/>
            <w:hideMark/>
          </w:tcPr>
          <w:p w:rsidR="00C310DF" w:rsidRPr="00710FD0" w:rsidRDefault="00C310DF" w:rsidP="00C310DF">
            <w:pPr>
              <w:jc w:val="center"/>
              <w:cnfStyle w:val="000000100000"/>
              <w:rPr>
                <w:rFonts w:ascii="Verdana" w:hAnsi="Verdana" w:cs="Calibri"/>
                <w:color w:val="000000"/>
                <w:lang w:val="es-CO" w:eastAsia="es-CO"/>
              </w:rPr>
            </w:pPr>
            <w:r w:rsidRPr="00710FD0">
              <w:rPr>
                <w:rFonts w:ascii="Verdana" w:hAnsi="Verdana" w:cs="Calibri"/>
                <w:color w:val="000000"/>
                <w:lang w:val="es-CO" w:eastAsia="es-CO"/>
              </w:rPr>
              <w:t>128</w:t>
            </w:r>
          </w:p>
        </w:tc>
        <w:tc>
          <w:tcPr>
            <w:tcW w:w="1134" w:type="dxa"/>
            <w:noWrap/>
            <w:vAlign w:val="center"/>
            <w:hideMark/>
          </w:tcPr>
          <w:p w:rsidR="00C310DF" w:rsidRPr="00710FD0" w:rsidRDefault="00C310DF" w:rsidP="00C310DF">
            <w:pPr>
              <w:jc w:val="center"/>
              <w:cnfStyle w:val="000000100000"/>
              <w:rPr>
                <w:rFonts w:ascii="Verdana" w:hAnsi="Verdana" w:cs="Calibri"/>
                <w:color w:val="000000"/>
                <w:lang w:val="es-CO" w:eastAsia="es-CO"/>
              </w:rPr>
            </w:pPr>
            <w:r w:rsidRPr="00710FD0">
              <w:rPr>
                <w:rFonts w:ascii="Verdana" w:hAnsi="Verdana" w:cs="Calibri"/>
                <w:color w:val="000000"/>
                <w:lang w:val="es-CO" w:eastAsia="es-CO"/>
              </w:rPr>
              <w:t>4,29%</w:t>
            </w:r>
          </w:p>
        </w:tc>
        <w:tc>
          <w:tcPr>
            <w:tcW w:w="1088" w:type="dxa"/>
            <w:noWrap/>
            <w:vAlign w:val="center"/>
            <w:hideMark/>
          </w:tcPr>
          <w:p w:rsidR="00C310DF" w:rsidRPr="00710FD0" w:rsidRDefault="00C310DF" w:rsidP="00C310DF">
            <w:pPr>
              <w:jc w:val="center"/>
              <w:cnfStyle w:val="000000100000"/>
              <w:rPr>
                <w:rFonts w:ascii="Verdana" w:hAnsi="Verdana" w:cs="Calibri"/>
                <w:color w:val="000000"/>
                <w:lang w:val="es-CO" w:eastAsia="es-CO"/>
              </w:rPr>
            </w:pPr>
            <w:r w:rsidRPr="00710FD0">
              <w:rPr>
                <w:rFonts w:ascii="Verdana" w:hAnsi="Verdana" w:cs="Calibri"/>
                <w:color w:val="000000"/>
                <w:lang w:val="es-CO" w:eastAsia="es-CO"/>
              </w:rPr>
              <w:t>2,33%</w:t>
            </w:r>
          </w:p>
        </w:tc>
        <w:tc>
          <w:tcPr>
            <w:tcW w:w="1039" w:type="dxa"/>
            <w:noWrap/>
            <w:vAlign w:val="center"/>
            <w:hideMark/>
          </w:tcPr>
          <w:p w:rsidR="00C310DF" w:rsidRPr="00710FD0" w:rsidRDefault="00C310DF" w:rsidP="00C310DF">
            <w:pPr>
              <w:jc w:val="center"/>
              <w:cnfStyle w:val="000000100000"/>
              <w:rPr>
                <w:rFonts w:ascii="Verdana" w:hAnsi="Verdana" w:cs="Calibri"/>
                <w:color w:val="000000"/>
                <w:lang w:val="es-CO" w:eastAsia="es-CO"/>
              </w:rPr>
            </w:pPr>
            <w:r w:rsidRPr="00710FD0">
              <w:rPr>
                <w:rFonts w:ascii="Verdana" w:hAnsi="Verdana" w:cs="Calibri"/>
                <w:color w:val="000000"/>
                <w:lang w:val="es-CO" w:eastAsia="es-CO"/>
              </w:rPr>
              <w:t>6,25%</w:t>
            </w:r>
          </w:p>
        </w:tc>
      </w:tr>
      <w:tr w:rsidR="00C310DF" w:rsidRPr="00710FD0" w:rsidTr="00C310DF">
        <w:trPr>
          <w:trHeight w:val="190"/>
          <w:jc w:val="center"/>
        </w:trPr>
        <w:tc>
          <w:tcPr>
            <w:cnfStyle w:val="001000000000"/>
            <w:tcW w:w="1271" w:type="dxa"/>
            <w:vMerge/>
            <w:vAlign w:val="center"/>
            <w:hideMark/>
          </w:tcPr>
          <w:p w:rsidR="00C310DF" w:rsidRPr="00710FD0" w:rsidRDefault="00C310DF" w:rsidP="00C310DF">
            <w:pPr>
              <w:rPr>
                <w:rFonts w:ascii="Verdana" w:hAnsi="Verdana" w:cs="Calibri"/>
                <w:b w:val="0"/>
                <w:bCs w:val="0"/>
                <w:color w:val="000000"/>
                <w:lang w:val="es-CO" w:eastAsia="es-CO"/>
              </w:rPr>
            </w:pPr>
          </w:p>
        </w:tc>
        <w:tc>
          <w:tcPr>
            <w:tcW w:w="3260" w:type="dxa"/>
            <w:vAlign w:val="center"/>
            <w:hideMark/>
          </w:tcPr>
          <w:p w:rsidR="00C310DF" w:rsidRPr="00710FD0" w:rsidRDefault="00C310DF" w:rsidP="00C310DF">
            <w:pPr>
              <w:cnfStyle w:val="000000000000"/>
              <w:rPr>
                <w:rFonts w:ascii="Verdana" w:hAnsi="Verdana" w:cs="Calibri"/>
                <w:bCs/>
                <w:color w:val="000000"/>
                <w:lang w:val="es-CO" w:eastAsia="es-CO"/>
              </w:rPr>
            </w:pPr>
            <w:r w:rsidRPr="00710FD0">
              <w:rPr>
                <w:rFonts w:ascii="Verdana" w:hAnsi="Verdana" w:cs="Calibri"/>
                <w:bCs/>
                <w:color w:val="000000"/>
                <w:lang w:val="es-CO" w:eastAsia="es-CO"/>
              </w:rPr>
              <w:t>Rrom</w:t>
            </w:r>
          </w:p>
        </w:tc>
        <w:tc>
          <w:tcPr>
            <w:tcW w:w="1134"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 0</w:t>
            </w:r>
          </w:p>
        </w:tc>
        <w:tc>
          <w:tcPr>
            <w:tcW w:w="1134"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 0</w:t>
            </w:r>
          </w:p>
        </w:tc>
        <w:tc>
          <w:tcPr>
            <w:tcW w:w="1134"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0% </w:t>
            </w:r>
          </w:p>
        </w:tc>
        <w:tc>
          <w:tcPr>
            <w:tcW w:w="1088"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0%</w:t>
            </w:r>
          </w:p>
        </w:tc>
        <w:tc>
          <w:tcPr>
            <w:tcW w:w="1039" w:type="dxa"/>
            <w:noWrap/>
            <w:vAlign w:val="center"/>
            <w:hideMark/>
          </w:tcPr>
          <w:p w:rsidR="00C310DF" w:rsidRPr="00710FD0" w:rsidRDefault="00C310DF" w:rsidP="00C310DF">
            <w:pPr>
              <w:jc w:val="center"/>
              <w:cnfStyle w:val="000000000000"/>
              <w:rPr>
                <w:rFonts w:ascii="Verdana" w:hAnsi="Verdana" w:cs="Calibri"/>
                <w:color w:val="000000"/>
                <w:lang w:val="es-CO" w:eastAsia="es-CO"/>
              </w:rPr>
            </w:pPr>
            <w:r w:rsidRPr="00710FD0">
              <w:rPr>
                <w:rFonts w:ascii="Verdana" w:hAnsi="Verdana" w:cs="Calibri"/>
                <w:color w:val="000000"/>
                <w:lang w:val="es-CO" w:eastAsia="es-CO"/>
              </w:rPr>
              <w:t>0,00%</w:t>
            </w:r>
          </w:p>
        </w:tc>
      </w:tr>
      <w:tr w:rsidR="00C310DF" w:rsidRPr="00710FD0" w:rsidTr="00C310DF">
        <w:trPr>
          <w:cnfStyle w:val="000000100000"/>
          <w:trHeight w:val="237"/>
          <w:jc w:val="center"/>
        </w:trPr>
        <w:tc>
          <w:tcPr>
            <w:cnfStyle w:val="001000000000"/>
            <w:tcW w:w="1271" w:type="dxa"/>
            <w:vMerge/>
            <w:vAlign w:val="center"/>
            <w:hideMark/>
          </w:tcPr>
          <w:p w:rsidR="00C310DF" w:rsidRPr="00710FD0" w:rsidRDefault="00C310DF" w:rsidP="00C310DF">
            <w:pPr>
              <w:rPr>
                <w:rFonts w:ascii="Verdana" w:hAnsi="Verdana" w:cs="Calibri"/>
                <w:b w:val="0"/>
                <w:bCs w:val="0"/>
                <w:color w:val="000000"/>
                <w:lang w:val="es-CO" w:eastAsia="es-CO"/>
              </w:rPr>
            </w:pPr>
          </w:p>
        </w:tc>
        <w:tc>
          <w:tcPr>
            <w:tcW w:w="3260" w:type="dxa"/>
            <w:shd w:val="clear" w:color="auto" w:fill="4F81BD" w:themeFill="accent1"/>
            <w:noWrap/>
            <w:vAlign w:val="center"/>
            <w:hideMark/>
          </w:tcPr>
          <w:p w:rsidR="00C310DF" w:rsidRPr="00710FD0" w:rsidRDefault="00C310DF" w:rsidP="00C310DF">
            <w:pPr>
              <w:cnfStyle w:val="000000100000"/>
              <w:rPr>
                <w:rFonts w:ascii="Verdana" w:hAnsi="Verdana" w:cs="Calibri"/>
                <w:bCs/>
                <w:color w:val="FFFFFF" w:themeColor="background1"/>
                <w:lang w:val="es-CO" w:eastAsia="es-CO"/>
              </w:rPr>
            </w:pPr>
            <w:r w:rsidRPr="00710FD0">
              <w:rPr>
                <w:rFonts w:ascii="Verdana" w:hAnsi="Verdana" w:cs="Calibri"/>
                <w:bCs/>
                <w:color w:val="FFFFFF" w:themeColor="background1"/>
                <w:lang w:val="es-CO" w:eastAsia="es-CO"/>
              </w:rPr>
              <w:t>Grupos Étnicos</w:t>
            </w:r>
          </w:p>
        </w:tc>
        <w:tc>
          <w:tcPr>
            <w:tcW w:w="1134" w:type="dxa"/>
            <w:shd w:val="clear" w:color="auto" w:fill="4F81BD" w:themeFill="accent1"/>
            <w:noWrap/>
            <w:vAlign w:val="center"/>
            <w:hideMark/>
          </w:tcPr>
          <w:p w:rsidR="00C310DF" w:rsidRPr="00710FD0" w:rsidRDefault="00C310DF" w:rsidP="00C310DF">
            <w:pPr>
              <w:jc w:val="center"/>
              <w:cnfStyle w:val="000000100000"/>
              <w:rPr>
                <w:rFonts w:ascii="Verdana" w:hAnsi="Verdana" w:cs="Calibri"/>
                <w:bCs/>
                <w:color w:val="FFFFFF" w:themeColor="background1"/>
                <w:lang w:val="es-CO" w:eastAsia="es-CO"/>
              </w:rPr>
            </w:pPr>
            <w:r w:rsidRPr="00710FD0">
              <w:rPr>
                <w:rFonts w:ascii="Verdana" w:hAnsi="Verdana" w:cs="Calibri"/>
                <w:bCs/>
                <w:color w:val="FFFFFF" w:themeColor="background1"/>
                <w:lang w:val="es-CO" w:eastAsia="es-CO"/>
              </w:rPr>
              <w:t>6.337</w:t>
            </w:r>
          </w:p>
        </w:tc>
        <w:tc>
          <w:tcPr>
            <w:tcW w:w="1134" w:type="dxa"/>
            <w:shd w:val="clear" w:color="auto" w:fill="4F81BD" w:themeFill="accent1"/>
            <w:noWrap/>
            <w:vAlign w:val="center"/>
            <w:hideMark/>
          </w:tcPr>
          <w:p w:rsidR="00C310DF" w:rsidRPr="00710FD0" w:rsidRDefault="00C310DF" w:rsidP="00C310DF">
            <w:pPr>
              <w:jc w:val="center"/>
              <w:cnfStyle w:val="000000100000"/>
              <w:rPr>
                <w:rFonts w:ascii="Verdana" w:hAnsi="Verdana" w:cs="Calibri"/>
                <w:bCs/>
                <w:color w:val="FFFFFF" w:themeColor="background1"/>
                <w:lang w:val="es-CO" w:eastAsia="es-CO"/>
              </w:rPr>
            </w:pPr>
            <w:r w:rsidRPr="00710FD0">
              <w:rPr>
                <w:rFonts w:ascii="Verdana" w:hAnsi="Verdana" w:cs="Calibri"/>
                <w:bCs/>
                <w:color w:val="FFFFFF" w:themeColor="background1"/>
                <w:lang w:val="es-CO" w:eastAsia="es-CO"/>
              </w:rPr>
              <w:t>231</w:t>
            </w:r>
          </w:p>
        </w:tc>
        <w:tc>
          <w:tcPr>
            <w:tcW w:w="1134" w:type="dxa"/>
            <w:shd w:val="clear" w:color="auto" w:fill="4F81BD" w:themeFill="accent1"/>
            <w:noWrap/>
            <w:vAlign w:val="center"/>
            <w:hideMark/>
          </w:tcPr>
          <w:p w:rsidR="00C310DF" w:rsidRPr="00710FD0" w:rsidRDefault="00C310DF" w:rsidP="00C310DF">
            <w:pPr>
              <w:jc w:val="center"/>
              <w:cnfStyle w:val="000000100000"/>
              <w:rPr>
                <w:rFonts w:ascii="Verdana" w:hAnsi="Verdana" w:cs="Calibri"/>
                <w:bCs/>
                <w:color w:val="FFFFFF" w:themeColor="background1"/>
                <w:lang w:val="es-CO" w:eastAsia="es-CO"/>
              </w:rPr>
            </w:pPr>
            <w:r w:rsidRPr="00710FD0">
              <w:rPr>
                <w:rFonts w:ascii="Verdana" w:hAnsi="Verdana" w:cs="Calibri"/>
                <w:bCs/>
                <w:color w:val="FFFFFF" w:themeColor="background1"/>
                <w:lang w:val="es-CO" w:eastAsia="es-CO"/>
              </w:rPr>
              <w:t>13,28%</w:t>
            </w:r>
          </w:p>
        </w:tc>
        <w:tc>
          <w:tcPr>
            <w:tcW w:w="1088" w:type="dxa"/>
            <w:shd w:val="clear" w:color="auto" w:fill="4F81BD" w:themeFill="accent1"/>
            <w:noWrap/>
            <w:vAlign w:val="center"/>
            <w:hideMark/>
          </w:tcPr>
          <w:p w:rsidR="00C310DF" w:rsidRPr="00710FD0" w:rsidRDefault="00C310DF" w:rsidP="00C310DF">
            <w:pPr>
              <w:jc w:val="center"/>
              <w:cnfStyle w:val="000000100000"/>
              <w:rPr>
                <w:rFonts w:ascii="Verdana" w:hAnsi="Verdana" w:cs="Calibri"/>
                <w:bCs/>
                <w:color w:val="FFFFFF" w:themeColor="background1"/>
                <w:lang w:val="es-CO" w:eastAsia="es-CO"/>
              </w:rPr>
            </w:pPr>
            <w:r w:rsidRPr="00710FD0">
              <w:rPr>
                <w:rFonts w:ascii="Verdana" w:hAnsi="Verdana" w:cs="Calibri"/>
                <w:bCs/>
                <w:color w:val="FFFFFF" w:themeColor="background1"/>
                <w:lang w:val="es-CO" w:eastAsia="es-CO"/>
              </w:rPr>
              <w:t>4,20%</w:t>
            </w:r>
          </w:p>
        </w:tc>
        <w:tc>
          <w:tcPr>
            <w:tcW w:w="1039" w:type="dxa"/>
            <w:shd w:val="clear" w:color="auto" w:fill="4F81BD" w:themeFill="accent1"/>
            <w:noWrap/>
            <w:vAlign w:val="center"/>
            <w:hideMark/>
          </w:tcPr>
          <w:p w:rsidR="00C310DF" w:rsidRPr="00710FD0" w:rsidRDefault="00C310DF" w:rsidP="00C310DF">
            <w:pPr>
              <w:jc w:val="center"/>
              <w:cnfStyle w:val="000000100000"/>
              <w:rPr>
                <w:rFonts w:ascii="Verdana" w:hAnsi="Verdana" w:cs="Calibri"/>
                <w:bCs/>
                <w:color w:val="FFFFFF" w:themeColor="background1"/>
                <w:lang w:val="es-CO" w:eastAsia="es-CO"/>
              </w:rPr>
            </w:pPr>
            <w:r w:rsidRPr="00710FD0">
              <w:rPr>
                <w:rFonts w:ascii="Verdana" w:hAnsi="Verdana" w:cs="Calibri"/>
                <w:bCs/>
                <w:color w:val="FFFFFF" w:themeColor="background1"/>
                <w:lang w:val="es-CO" w:eastAsia="es-CO"/>
              </w:rPr>
              <w:t>3,65%</w:t>
            </w:r>
          </w:p>
        </w:tc>
      </w:tr>
      <w:tr w:rsidR="00C310DF" w:rsidRPr="00710FD0" w:rsidTr="00C310DF">
        <w:trPr>
          <w:trHeight w:val="268"/>
          <w:jc w:val="center"/>
        </w:trPr>
        <w:tc>
          <w:tcPr>
            <w:cnfStyle w:val="001000000000"/>
            <w:tcW w:w="4531" w:type="dxa"/>
            <w:gridSpan w:val="2"/>
            <w:vAlign w:val="center"/>
            <w:hideMark/>
          </w:tcPr>
          <w:p w:rsidR="00C310DF" w:rsidRPr="00710FD0" w:rsidRDefault="00C310DF" w:rsidP="00C310DF">
            <w:pPr>
              <w:jc w:val="center"/>
              <w:rPr>
                <w:rFonts w:ascii="Verdana" w:hAnsi="Verdana" w:cs="Calibri"/>
                <w:b w:val="0"/>
                <w:bCs w:val="0"/>
                <w:color w:val="000000"/>
                <w:lang w:val="es-CO" w:eastAsia="es-CO"/>
              </w:rPr>
            </w:pPr>
            <w:r w:rsidRPr="00710FD0">
              <w:rPr>
                <w:rFonts w:ascii="Verdana" w:hAnsi="Verdana" w:cs="Calibri"/>
                <w:b w:val="0"/>
                <w:bCs w:val="0"/>
                <w:color w:val="000000"/>
                <w:lang w:val="es-CO" w:eastAsia="es-CO"/>
              </w:rPr>
              <w:t>Total  General</w:t>
            </w:r>
          </w:p>
        </w:tc>
        <w:tc>
          <w:tcPr>
            <w:tcW w:w="1134" w:type="dxa"/>
            <w:noWrap/>
            <w:vAlign w:val="center"/>
            <w:hideMark/>
          </w:tcPr>
          <w:p w:rsidR="00C310DF" w:rsidRPr="00710FD0" w:rsidRDefault="00C310DF" w:rsidP="00C310DF">
            <w:pPr>
              <w:jc w:val="center"/>
              <w:cnfStyle w:val="000000000000"/>
              <w:rPr>
                <w:rFonts w:ascii="Verdana" w:hAnsi="Verdana" w:cs="Calibri"/>
                <w:bCs/>
                <w:color w:val="000000"/>
                <w:lang w:val="es-CO" w:eastAsia="es-CO"/>
              </w:rPr>
            </w:pPr>
            <w:r w:rsidRPr="00710FD0">
              <w:rPr>
                <w:rFonts w:ascii="Verdana" w:hAnsi="Verdana" w:cs="Calibri"/>
                <w:bCs/>
                <w:color w:val="000000"/>
                <w:lang w:val="es-CO" w:eastAsia="es-CO"/>
              </w:rPr>
              <w:t>47.726</w:t>
            </w:r>
          </w:p>
        </w:tc>
        <w:tc>
          <w:tcPr>
            <w:tcW w:w="1134" w:type="dxa"/>
            <w:noWrap/>
            <w:vAlign w:val="center"/>
            <w:hideMark/>
          </w:tcPr>
          <w:p w:rsidR="00C310DF" w:rsidRPr="00710FD0" w:rsidRDefault="00C310DF" w:rsidP="00C310DF">
            <w:pPr>
              <w:jc w:val="center"/>
              <w:cnfStyle w:val="000000000000"/>
              <w:rPr>
                <w:rFonts w:ascii="Verdana" w:hAnsi="Verdana" w:cs="Calibri"/>
                <w:bCs/>
                <w:color w:val="000000"/>
                <w:lang w:val="es-CO" w:eastAsia="es-CO"/>
              </w:rPr>
            </w:pPr>
            <w:r w:rsidRPr="00710FD0">
              <w:rPr>
                <w:rFonts w:ascii="Verdana" w:hAnsi="Verdana" w:cs="Calibri"/>
                <w:bCs/>
                <w:color w:val="000000"/>
                <w:lang w:val="es-CO" w:eastAsia="es-CO"/>
              </w:rPr>
              <w:t>5.504</w:t>
            </w:r>
          </w:p>
        </w:tc>
        <w:tc>
          <w:tcPr>
            <w:tcW w:w="1134" w:type="dxa"/>
            <w:noWrap/>
            <w:vAlign w:val="center"/>
            <w:hideMark/>
          </w:tcPr>
          <w:p w:rsidR="00C310DF" w:rsidRPr="00710FD0" w:rsidRDefault="00C310DF" w:rsidP="00C310DF">
            <w:pPr>
              <w:jc w:val="center"/>
              <w:cnfStyle w:val="000000000000"/>
              <w:rPr>
                <w:rFonts w:ascii="Verdana" w:hAnsi="Verdana" w:cs="Calibri"/>
                <w:bCs/>
                <w:color w:val="000000"/>
                <w:lang w:val="es-CO" w:eastAsia="es-CO"/>
              </w:rPr>
            </w:pPr>
            <w:r w:rsidRPr="00710FD0">
              <w:rPr>
                <w:rFonts w:ascii="Verdana" w:hAnsi="Verdana" w:cs="Calibri"/>
                <w:bCs/>
                <w:color w:val="000000"/>
                <w:lang w:val="es-CO" w:eastAsia="es-CO"/>
              </w:rPr>
              <w:t>100,00%</w:t>
            </w:r>
          </w:p>
        </w:tc>
        <w:tc>
          <w:tcPr>
            <w:tcW w:w="1088" w:type="dxa"/>
            <w:noWrap/>
            <w:vAlign w:val="center"/>
            <w:hideMark/>
          </w:tcPr>
          <w:p w:rsidR="00C310DF" w:rsidRPr="00710FD0" w:rsidRDefault="00C310DF" w:rsidP="00C310DF">
            <w:pPr>
              <w:jc w:val="center"/>
              <w:cnfStyle w:val="000000000000"/>
              <w:rPr>
                <w:rFonts w:ascii="Verdana" w:hAnsi="Verdana" w:cs="Calibri"/>
                <w:bCs/>
                <w:color w:val="000000"/>
                <w:lang w:val="es-CO" w:eastAsia="es-CO"/>
              </w:rPr>
            </w:pPr>
            <w:r w:rsidRPr="00710FD0">
              <w:rPr>
                <w:rFonts w:ascii="Verdana" w:hAnsi="Verdana" w:cs="Calibri"/>
                <w:bCs/>
                <w:color w:val="000000"/>
                <w:lang w:val="es-CO" w:eastAsia="es-CO"/>
              </w:rPr>
              <w:t>100,00%</w:t>
            </w:r>
          </w:p>
        </w:tc>
        <w:tc>
          <w:tcPr>
            <w:tcW w:w="1039" w:type="dxa"/>
            <w:noWrap/>
            <w:vAlign w:val="center"/>
            <w:hideMark/>
          </w:tcPr>
          <w:p w:rsidR="00C310DF" w:rsidRPr="00710FD0" w:rsidRDefault="00C310DF" w:rsidP="00C310DF">
            <w:pPr>
              <w:jc w:val="center"/>
              <w:cnfStyle w:val="000000000000"/>
              <w:rPr>
                <w:rFonts w:ascii="Verdana" w:hAnsi="Verdana" w:cs="Calibri"/>
                <w:bCs/>
                <w:color w:val="000000"/>
                <w:lang w:val="es-CO" w:eastAsia="es-CO"/>
              </w:rPr>
            </w:pPr>
            <w:r w:rsidRPr="00710FD0">
              <w:rPr>
                <w:rFonts w:ascii="Verdana" w:hAnsi="Verdana" w:cs="Calibri"/>
                <w:bCs/>
                <w:color w:val="000000"/>
                <w:lang w:val="es-CO" w:eastAsia="es-CO"/>
              </w:rPr>
              <w:t>11,53%</w:t>
            </w:r>
          </w:p>
        </w:tc>
      </w:tr>
    </w:tbl>
    <w:p w:rsidR="001928B9" w:rsidRDefault="00C310DF" w:rsidP="001928B9">
      <w:pPr>
        <w:jc w:val="right"/>
        <w:rPr>
          <w:rFonts w:ascii="Verdana" w:hAnsi="Verdana" w:cs="Arial"/>
          <w:bCs/>
          <w:sz w:val="24"/>
          <w:szCs w:val="24"/>
          <w:shd w:val="clear" w:color="auto" w:fill="FFFFFF"/>
        </w:rPr>
      </w:pPr>
      <w:r w:rsidRPr="00BC7F3F">
        <w:rPr>
          <w:rFonts w:ascii="Verdana" w:hAnsi="Verdana" w:cs="Arial"/>
          <w:bCs/>
          <w:sz w:val="24"/>
          <w:szCs w:val="24"/>
          <w:shd w:val="clear" w:color="auto" w:fill="FFFFFF"/>
        </w:rPr>
        <w:t>Fuente: Dirección de Archivo de los Derechos Humanos. 2014</w:t>
      </w:r>
    </w:p>
    <w:p w:rsidR="00C310DF" w:rsidRPr="00BC7F3F" w:rsidRDefault="00C310DF" w:rsidP="001928B9">
      <w:pPr>
        <w:jc w:val="right"/>
        <w:rPr>
          <w:rFonts w:ascii="Verdana" w:hAnsi="Verdana" w:cs="Arial"/>
          <w:bCs/>
          <w:sz w:val="24"/>
          <w:szCs w:val="24"/>
          <w:shd w:val="clear" w:color="auto" w:fill="FFFFFF"/>
        </w:rPr>
      </w:pPr>
    </w:p>
    <w:p w:rsidR="00C310DF" w:rsidRPr="001928B9" w:rsidRDefault="00C310DF" w:rsidP="001928B9">
      <w:pPr>
        <w:pStyle w:val="Subttulo"/>
        <w:numPr>
          <w:ilvl w:val="2"/>
          <w:numId w:val="1"/>
        </w:numPr>
        <w:tabs>
          <w:tab w:val="left" w:pos="851"/>
        </w:tabs>
        <w:ind w:left="851" w:hanging="851"/>
        <w:outlineLvl w:val="4"/>
        <w:rPr>
          <w:rFonts w:ascii="Verdana" w:eastAsia="Arial" w:hAnsi="Verdana"/>
          <w:b/>
          <w:color w:val="4F81BD" w:themeColor="accent1"/>
          <w:sz w:val="24"/>
          <w:szCs w:val="24"/>
          <w:lang w:val="es-CO"/>
        </w:rPr>
      </w:pPr>
      <w:r w:rsidRPr="001928B9">
        <w:rPr>
          <w:rFonts w:ascii="Verdana" w:eastAsia="Arial" w:hAnsi="Verdana"/>
          <w:b/>
          <w:color w:val="4F81BD" w:themeColor="accent1"/>
          <w:sz w:val="24"/>
          <w:szCs w:val="24"/>
          <w:lang w:val="es-CO"/>
        </w:rPr>
        <w:t>Caracterización de Archivos de Derechos Humanos y Memoria Histórica</w:t>
      </w:r>
    </w:p>
    <w:p w:rsidR="00C310DF" w:rsidRPr="00BC7F3F" w:rsidRDefault="00C310DF" w:rsidP="00C310DF">
      <w:pPr>
        <w:spacing w:after="0" w:line="240" w:lineRule="auto"/>
        <w:jc w:val="both"/>
        <w:rPr>
          <w:rFonts w:ascii="Verdana" w:hAnsi="Verdana" w:cs="Arial"/>
          <w:bCs/>
          <w:sz w:val="24"/>
          <w:szCs w:val="24"/>
          <w:shd w:val="clear" w:color="auto" w:fill="FFFFFF"/>
        </w:rPr>
      </w:pPr>
      <w:r w:rsidRPr="00BC7F3F">
        <w:rPr>
          <w:rFonts w:ascii="Verdana" w:hAnsi="Verdana" w:cs="Arial"/>
          <w:bCs/>
          <w:sz w:val="24"/>
          <w:szCs w:val="24"/>
          <w:shd w:val="clear" w:color="auto" w:fill="FFFFFF"/>
        </w:rPr>
        <w:t>Durante el año 2014 se avanzó en la primera etapa del Registro Especial correspondiente a doce (12) archivos de DDHH y MH, consistente en la identificación y caracterización de los mismos. A continuación se mencionan los archivos de DDHH y Memoria Histórica identificados y caracterizados:</w:t>
      </w:r>
    </w:p>
    <w:p w:rsidR="00C310DF" w:rsidRPr="00BC7F3F" w:rsidRDefault="00C310DF" w:rsidP="00C310DF">
      <w:pPr>
        <w:spacing w:after="0" w:line="240" w:lineRule="auto"/>
        <w:jc w:val="both"/>
        <w:rPr>
          <w:rFonts w:ascii="Verdana" w:hAnsi="Verdana" w:cs="Arial"/>
          <w:bCs/>
          <w:sz w:val="24"/>
          <w:szCs w:val="24"/>
          <w:shd w:val="clear" w:color="auto" w:fill="FFFFFF"/>
        </w:rPr>
      </w:pPr>
    </w:p>
    <w:p w:rsidR="00C310DF" w:rsidRPr="00BC7F3F" w:rsidRDefault="00C310DF" w:rsidP="00582BDE">
      <w:pPr>
        <w:pStyle w:val="Prrafodelista"/>
        <w:numPr>
          <w:ilvl w:val="0"/>
          <w:numId w:val="138"/>
        </w:numPr>
        <w:spacing w:after="0" w:line="240" w:lineRule="auto"/>
        <w:ind w:hanging="315"/>
        <w:contextualSpacing w:val="0"/>
        <w:jc w:val="both"/>
        <w:rPr>
          <w:rFonts w:ascii="Verdana" w:eastAsia="Arial" w:hAnsi="Verdana"/>
          <w:sz w:val="24"/>
          <w:szCs w:val="24"/>
        </w:rPr>
      </w:pPr>
      <w:r w:rsidRPr="00BC7F3F">
        <w:rPr>
          <w:rFonts w:ascii="Verdana" w:eastAsia="Arial" w:hAnsi="Verdana"/>
          <w:sz w:val="24"/>
          <w:szCs w:val="24"/>
        </w:rPr>
        <w:t>Fondo personal líder campesino Jesús María Pérez</w:t>
      </w:r>
    </w:p>
    <w:p w:rsidR="00C310DF" w:rsidRPr="00BC7F3F" w:rsidRDefault="00C310DF" w:rsidP="00582BDE">
      <w:pPr>
        <w:pStyle w:val="Prrafodelista"/>
        <w:numPr>
          <w:ilvl w:val="0"/>
          <w:numId w:val="138"/>
        </w:numPr>
        <w:spacing w:after="0" w:line="240" w:lineRule="auto"/>
        <w:ind w:hanging="315"/>
        <w:contextualSpacing w:val="0"/>
        <w:jc w:val="both"/>
        <w:rPr>
          <w:rFonts w:ascii="Verdana" w:eastAsia="Arial" w:hAnsi="Verdana"/>
          <w:sz w:val="24"/>
          <w:szCs w:val="24"/>
        </w:rPr>
      </w:pPr>
      <w:r w:rsidRPr="00BC7F3F">
        <w:rPr>
          <w:rFonts w:ascii="Verdana" w:eastAsia="Arial" w:hAnsi="Verdana"/>
          <w:sz w:val="24"/>
          <w:szCs w:val="24"/>
        </w:rPr>
        <w:t>Colección Museo del Caquetá</w:t>
      </w:r>
    </w:p>
    <w:p w:rsidR="00C310DF" w:rsidRPr="00BC7F3F" w:rsidRDefault="00C310DF" w:rsidP="00582BDE">
      <w:pPr>
        <w:pStyle w:val="Prrafodelista"/>
        <w:numPr>
          <w:ilvl w:val="0"/>
          <w:numId w:val="138"/>
        </w:numPr>
        <w:spacing w:after="0" w:line="240" w:lineRule="auto"/>
        <w:ind w:hanging="315"/>
        <w:contextualSpacing w:val="0"/>
        <w:jc w:val="both"/>
        <w:rPr>
          <w:rFonts w:ascii="Verdana" w:eastAsia="Arial" w:hAnsi="Verdana"/>
          <w:sz w:val="24"/>
          <w:szCs w:val="24"/>
        </w:rPr>
      </w:pPr>
      <w:r w:rsidRPr="00BC7F3F">
        <w:rPr>
          <w:rFonts w:ascii="Verdana" w:eastAsia="Arial" w:hAnsi="Verdana"/>
          <w:sz w:val="24"/>
          <w:szCs w:val="24"/>
        </w:rPr>
        <w:t xml:space="preserve">Fondo Asociación de Familiares de las Víctimas de los hechos violentos de Trujillo - AFAVIT </w:t>
      </w:r>
    </w:p>
    <w:p w:rsidR="00C310DF" w:rsidRPr="00BC7F3F" w:rsidRDefault="00C310DF" w:rsidP="00582BDE">
      <w:pPr>
        <w:pStyle w:val="Prrafodelista"/>
        <w:numPr>
          <w:ilvl w:val="0"/>
          <w:numId w:val="138"/>
        </w:numPr>
        <w:spacing w:after="0" w:line="240" w:lineRule="auto"/>
        <w:ind w:hanging="315"/>
        <w:contextualSpacing w:val="0"/>
        <w:jc w:val="both"/>
        <w:rPr>
          <w:rFonts w:ascii="Verdana" w:eastAsia="Arial" w:hAnsi="Verdana"/>
          <w:sz w:val="24"/>
          <w:szCs w:val="24"/>
        </w:rPr>
      </w:pPr>
      <w:r w:rsidRPr="00BC7F3F">
        <w:rPr>
          <w:rFonts w:ascii="Verdana" w:eastAsia="Arial" w:hAnsi="Verdana"/>
          <w:sz w:val="24"/>
          <w:szCs w:val="24"/>
        </w:rPr>
        <w:t xml:space="preserve">Fondo personal líder campesino Esteban Ruiz </w:t>
      </w:r>
    </w:p>
    <w:p w:rsidR="00C310DF" w:rsidRPr="00BC7F3F" w:rsidRDefault="00C310DF" w:rsidP="00582BDE">
      <w:pPr>
        <w:pStyle w:val="Prrafodelista"/>
        <w:numPr>
          <w:ilvl w:val="0"/>
          <w:numId w:val="138"/>
        </w:numPr>
        <w:spacing w:after="0" w:line="240" w:lineRule="auto"/>
        <w:ind w:hanging="315"/>
        <w:contextualSpacing w:val="0"/>
        <w:jc w:val="both"/>
        <w:rPr>
          <w:rFonts w:ascii="Verdana" w:eastAsia="Arial" w:hAnsi="Verdana"/>
          <w:sz w:val="24"/>
          <w:szCs w:val="24"/>
        </w:rPr>
      </w:pPr>
      <w:r w:rsidRPr="00BC7F3F">
        <w:rPr>
          <w:rFonts w:ascii="Verdana" w:eastAsia="Arial" w:hAnsi="Verdana"/>
          <w:sz w:val="24"/>
          <w:szCs w:val="24"/>
        </w:rPr>
        <w:t xml:space="preserve">Fondo personal Gabriel Jaime Santamaría </w:t>
      </w:r>
    </w:p>
    <w:p w:rsidR="00C310DF" w:rsidRPr="00BC7F3F" w:rsidRDefault="00C310DF" w:rsidP="00582BDE">
      <w:pPr>
        <w:pStyle w:val="Prrafodelista"/>
        <w:numPr>
          <w:ilvl w:val="0"/>
          <w:numId w:val="138"/>
        </w:numPr>
        <w:spacing w:after="0" w:line="240" w:lineRule="auto"/>
        <w:ind w:hanging="315"/>
        <w:contextualSpacing w:val="0"/>
        <w:jc w:val="both"/>
        <w:rPr>
          <w:rFonts w:ascii="Verdana" w:eastAsia="Arial" w:hAnsi="Verdana"/>
          <w:sz w:val="24"/>
          <w:szCs w:val="24"/>
        </w:rPr>
      </w:pPr>
      <w:r w:rsidRPr="00BC7F3F">
        <w:rPr>
          <w:rFonts w:ascii="Verdana" w:eastAsia="Arial" w:hAnsi="Verdana"/>
          <w:sz w:val="24"/>
          <w:szCs w:val="24"/>
        </w:rPr>
        <w:t>Fondo Centro Nacional de Memoria Histórica-CNMH</w:t>
      </w:r>
    </w:p>
    <w:p w:rsidR="00C310DF" w:rsidRPr="00BC7F3F" w:rsidRDefault="00C310DF" w:rsidP="00582BDE">
      <w:pPr>
        <w:pStyle w:val="Prrafodelista"/>
        <w:numPr>
          <w:ilvl w:val="0"/>
          <w:numId w:val="138"/>
        </w:numPr>
        <w:spacing w:after="0" w:line="240" w:lineRule="auto"/>
        <w:ind w:hanging="315"/>
        <w:contextualSpacing w:val="0"/>
        <w:jc w:val="both"/>
        <w:rPr>
          <w:rFonts w:ascii="Verdana" w:eastAsia="Arial" w:hAnsi="Verdana"/>
          <w:sz w:val="24"/>
          <w:szCs w:val="24"/>
        </w:rPr>
      </w:pPr>
      <w:r w:rsidRPr="00BC7F3F">
        <w:rPr>
          <w:rFonts w:ascii="Verdana" w:eastAsia="Arial" w:hAnsi="Verdana"/>
          <w:sz w:val="24"/>
          <w:szCs w:val="24"/>
        </w:rPr>
        <w:t xml:space="preserve">Fondo Corte Suprema de Justicia / Subfondo Juzgado Primero Civil del Circuito Especializado en Restitución de Tierra de Guadalajara de Buga </w:t>
      </w:r>
    </w:p>
    <w:p w:rsidR="00C310DF" w:rsidRPr="00BC7F3F" w:rsidRDefault="00C310DF" w:rsidP="00582BDE">
      <w:pPr>
        <w:pStyle w:val="Prrafodelista"/>
        <w:numPr>
          <w:ilvl w:val="0"/>
          <w:numId w:val="138"/>
        </w:numPr>
        <w:spacing w:after="0" w:line="240" w:lineRule="auto"/>
        <w:ind w:hanging="315"/>
        <w:contextualSpacing w:val="0"/>
        <w:jc w:val="both"/>
        <w:rPr>
          <w:rFonts w:ascii="Verdana" w:eastAsia="Arial" w:hAnsi="Verdana"/>
          <w:sz w:val="24"/>
          <w:szCs w:val="24"/>
        </w:rPr>
      </w:pPr>
      <w:r w:rsidRPr="00BC7F3F">
        <w:rPr>
          <w:rFonts w:ascii="Verdana" w:eastAsia="Arial" w:hAnsi="Verdana"/>
          <w:sz w:val="24"/>
          <w:szCs w:val="24"/>
        </w:rPr>
        <w:t xml:space="preserve">Fondo Colectivo Comunicaciones Montes de María línea 21 </w:t>
      </w:r>
    </w:p>
    <w:p w:rsidR="00C310DF" w:rsidRPr="00BC7F3F" w:rsidRDefault="00C310DF" w:rsidP="00582BDE">
      <w:pPr>
        <w:pStyle w:val="Prrafodelista"/>
        <w:numPr>
          <w:ilvl w:val="0"/>
          <w:numId w:val="138"/>
        </w:numPr>
        <w:spacing w:after="0" w:line="240" w:lineRule="auto"/>
        <w:ind w:hanging="315"/>
        <w:contextualSpacing w:val="0"/>
        <w:jc w:val="both"/>
        <w:rPr>
          <w:rFonts w:ascii="Verdana" w:eastAsia="Arial" w:hAnsi="Verdana"/>
          <w:sz w:val="24"/>
          <w:szCs w:val="24"/>
        </w:rPr>
      </w:pPr>
      <w:r w:rsidRPr="00BC7F3F">
        <w:rPr>
          <w:rFonts w:ascii="Verdana" w:eastAsia="Arial" w:hAnsi="Verdana"/>
          <w:sz w:val="24"/>
          <w:szCs w:val="24"/>
        </w:rPr>
        <w:t xml:space="preserve">Fondo personal líder campesino José Rivera  </w:t>
      </w:r>
    </w:p>
    <w:p w:rsidR="00C310DF" w:rsidRPr="00BC7F3F" w:rsidRDefault="00C310DF" w:rsidP="00582BDE">
      <w:pPr>
        <w:pStyle w:val="Prrafodelista"/>
        <w:numPr>
          <w:ilvl w:val="0"/>
          <w:numId w:val="138"/>
        </w:numPr>
        <w:spacing w:after="0" w:line="240" w:lineRule="auto"/>
        <w:ind w:hanging="315"/>
        <w:contextualSpacing w:val="0"/>
        <w:jc w:val="both"/>
        <w:rPr>
          <w:rFonts w:ascii="Verdana" w:eastAsia="Arial" w:hAnsi="Verdana"/>
          <w:sz w:val="24"/>
          <w:szCs w:val="24"/>
        </w:rPr>
      </w:pPr>
      <w:r w:rsidRPr="00BC7F3F">
        <w:rPr>
          <w:rFonts w:ascii="Verdana" w:eastAsia="Arial" w:hAnsi="Verdana"/>
          <w:sz w:val="24"/>
          <w:szCs w:val="24"/>
        </w:rPr>
        <w:t xml:space="preserve">Fondo Asociación de Trabajadores Campesinos del Carare -ATCC </w:t>
      </w:r>
    </w:p>
    <w:p w:rsidR="00C310DF" w:rsidRPr="00BC7F3F" w:rsidRDefault="00C310DF" w:rsidP="00582BDE">
      <w:pPr>
        <w:pStyle w:val="Prrafodelista"/>
        <w:numPr>
          <w:ilvl w:val="0"/>
          <w:numId w:val="138"/>
        </w:numPr>
        <w:spacing w:after="0" w:line="240" w:lineRule="auto"/>
        <w:ind w:hanging="315"/>
        <w:contextualSpacing w:val="0"/>
        <w:jc w:val="both"/>
        <w:rPr>
          <w:rFonts w:ascii="Verdana" w:eastAsia="Arial" w:hAnsi="Verdana"/>
          <w:sz w:val="24"/>
          <w:szCs w:val="24"/>
        </w:rPr>
      </w:pPr>
      <w:r w:rsidRPr="00BC7F3F">
        <w:rPr>
          <w:rFonts w:ascii="Verdana" w:eastAsia="Arial" w:hAnsi="Verdana"/>
          <w:sz w:val="24"/>
          <w:szCs w:val="24"/>
        </w:rPr>
        <w:t>Fondo líderes campesinos de la Asociación Nacional de Usuarios Campesinos-ANUC, Sincelejo</w:t>
      </w:r>
    </w:p>
    <w:p w:rsidR="00C310DF" w:rsidRPr="00BC7F3F" w:rsidRDefault="00C310DF" w:rsidP="00582BDE">
      <w:pPr>
        <w:pStyle w:val="Prrafodelista"/>
        <w:numPr>
          <w:ilvl w:val="0"/>
          <w:numId w:val="138"/>
        </w:numPr>
        <w:spacing w:after="0" w:line="240" w:lineRule="auto"/>
        <w:ind w:hanging="315"/>
        <w:contextualSpacing w:val="0"/>
        <w:jc w:val="both"/>
        <w:rPr>
          <w:rFonts w:ascii="Verdana" w:eastAsia="Arial" w:hAnsi="Verdana"/>
          <w:sz w:val="24"/>
          <w:szCs w:val="24"/>
        </w:rPr>
      </w:pPr>
      <w:r w:rsidRPr="00BC7F3F">
        <w:rPr>
          <w:rFonts w:ascii="Verdana" w:eastAsia="Arial" w:hAnsi="Verdana"/>
          <w:sz w:val="24"/>
          <w:szCs w:val="24"/>
        </w:rPr>
        <w:lastRenderedPageBreak/>
        <w:t>Fondo Fundación Cultura y Democracia –FUCUDE</w:t>
      </w:r>
    </w:p>
    <w:p w:rsidR="00C310DF" w:rsidRPr="00BC7F3F" w:rsidRDefault="00C310DF" w:rsidP="00C310DF">
      <w:pPr>
        <w:spacing w:after="0" w:line="240" w:lineRule="auto"/>
        <w:jc w:val="both"/>
        <w:rPr>
          <w:rFonts w:ascii="Verdana" w:hAnsi="Verdana" w:cs="Arial"/>
          <w:bCs/>
          <w:sz w:val="24"/>
          <w:szCs w:val="24"/>
          <w:shd w:val="clear" w:color="auto" w:fill="FFFFFF"/>
        </w:rPr>
      </w:pPr>
    </w:p>
    <w:p w:rsidR="00C310DF" w:rsidRPr="00710FD0" w:rsidRDefault="00C310DF" w:rsidP="00710FD0">
      <w:pPr>
        <w:pStyle w:val="Subttulo"/>
        <w:numPr>
          <w:ilvl w:val="3"/>
          <w:numId w:val="1"/>
        </w:numPr>
        <w:tabs>
          <w:tab w:val="left" w:pos="851"/>
        </w:tabs>
        <w:ind w:left="1134" w:hanging="1134"/>
        <w:outlineLvl w:val="4"/>
        <w:rPr>
          <w:rFonts w:ascii="Verdana" w:eastAsia="Arial" w:hAnsi="Verdana"/>
          <w:b/>
          <w:color w:val="4F81BD" w:themeColor="accent1"/>
          <w:sz w:val="24"/>
          <w:szCs w:val="24"/>
          <w:lang w:val="es-CO"/>
        </w:rPr>
      </w:pPr>
      <w:r w:rsidRPr="00710FD0">
        <w:rPr>
          <w:rFonts w:ascii="Verdana" w:eastAsia="Arial" w:hAnsi="Verdana"/>
          <w:b/>
          <w:color w:val="4F81BD" w:themeColor="accent1"/>
          <w:sz w:val="24"/>
          <w:szCs w:val="24"/>
          <w:lang w:val="es-CO"/>
        </w:rPr>
        <w:t>Inventario de organizaciones, entidades o personas con archivos de DDHH y MH</w:t>
      </w:r>
    </w:p>
    <w:p w:rsidR="00C310DF" w:rsidRPr="00BC7F3F" w:rsidRDefault="00C310DF" w:rsidP="00C310DF">
      <w:pPr>
        <w:spacing w:after="0" w:line="240" w:lineRule="auto"/>
        <w:jc w:val="both"/>
        <w:rPr>
          <w:rFonts w:ascii="Verdana" w:hAnsi="Verdana"/>
          <w:sz w:val="24"/>
          <w:szCs w:val="24"/>
          <w:lang w:eastAsia="es-CO"/>
        </w:rPr>
      </w:pPr>
      <w:r w:rsidRPr="00BC7F3F">
        <w:rPr>
          <w:rFonts w:ascii="Verdana" w:hAnsi="Verdana"/>
          <w:sz w:val="24"/>
          <w:szCs w:val="24"/>
          <w:lang w:eastAsia="es-CO"/>
        </w:rPr>
        <w:t>Al momento se han incluido en este inventario 251 entidades comprendidas por los siguientes sectores:</w:t>
      </w:r>
    </w:p>
    <w:p w:rsidR="00C310DF" w:rsidRPr="00BC7F3F" w:rsidRDefault="00C310DF" w:rsidP="00C310DF">
      <w:pPr>
        <w:spacing w:after="0" w:line="240" w:lineRule="auto"/>
        <w:jc w:val="both"/>
        <w:rPr>
          <w:rFonts w:ascii="Verdana" w:hAnsi="Verdana"/>
          <w:sz w:val="24"/>
          <w:szCs w:val="24"/>
          <w:lang w:eastAsia="es-CO"/>
        </w:rPr>
      </w:pPr>
    </w:p>
    <w:p w:rsidR="00C310DF" w:rsidRDefault="00C310DF" w:rsidP="00C310DF">
      <w:pPr>
        <w:spacing w:after="0" w:line="240" w:lineRule="auto"/>
        <w:ind w:left="425" w:hanging="357"/>
        <w:jc w:val="center"/>
        <w:rPr>
          <w:rFonts w:ascii="Verdana" w:hAnsi="Verdana"/>
          <w:color w:val="4F81BD" w:themeColor="accent1"/>
          <w:sz w:val="24"/>
          <w:szCs w:val="24"/>
          <w:lang w:eastAsia="es-CO"/>
        </w:rPr>
      </w:pPr>
      <w:r w:rsidRPr="00710FD0">
        <w:rPr>
          <w:rFonts w:ascii="Verdana" w:hAnsi="Verdana"/>
          <w:color w:val="4F81BD" w:themeColor="accent1"/>
          <w:sz w:val="24"/>
          <w:szCs w:val="24"/>
          <w:lang w:eastAsia="es-CO"/>
        </w:rPr>
        <w:t>Inventario de Entidades, organizaciones o personas con archivos de DDHH y MH</w:t>
      </w:r>
    </w:p>
    <w:p w:rsidR="00710FD0" w:rsidRPr="00710FD0" w:rsidRDefault="00710FD0" w:rsidP="00C310DF">
      <w:pPr>
        <w:spacing w:after="0" w:line="240" w:lineRule="auto"/>
        <w:ind w:left="425" w:hanging="357"/>
        <w:jc w:val="center"/>
        <w:rPr>
          <w:rFonts w:ascii="Verdana" w:hAnsi="Verdana"/>
          <w:color w:val="4F81BD" w:themeColor="accent1"/>
          <w:sz w:val="24"/>
          <w:szCs w:val="24"/>
          <w:lang w:eastAsia="es-CO"/>
        </w:rPr>
      </w:pPr>
    </w:p>
    <w:tbl>
      <w:tblPr>
        <w:tblStyle w:val="Tabladecuadrcula4-nfasis11"/>
        <w:tblW w:w="5000" w:type="pct"/>
        <w:jc w:val="center"/>
        <w:tblLook w:val="04A0"/>
      </w:tblPr>
      <w:tblGrid>
        <w:gridCol w:w="1128"/>
        <w:gridCol w:w="2990"/>
        <w:gridCol w:w="2227"/>
        <w:gridCol w:w="1465"/>
        <w:gridCol w:w="1563"/>
        <w:gridCol w:w="869"/>
      </w:tblGrid>
      <w:tr w:rsidR="00C310DF" w:rsidRPr="00710FD0" w:rsidTr="00710FD0">
        <w:trPr>
          <w:cnfStyle w:val="100000000000"/>
          <w:trHeight w:val="165"/>
          <w:tblHeader/>
          <w:jc w:val="center"/>
        </w:trPr>
        <w:tc>
          <w:tcPr>
            <w:cnfStyle w:val="001000000000"/>
            <w:tcW w:w="551" w:type="pct"/>
            <w:vMerge w:val="restart"/>
            <w:vAlign w:val="center"/>
          </w:tcPr>
          <w:p w:rsidR="00C310DF" w:rsidRPr="00710FD0" w:rsidRDefault="00C310DF" w:rsidP="00C310DF">
            <w:pPr>
              <w:contextualSpacing/>
              <w:jc w:val="center"/>
              <w:rPr>
                <w:rFonts w:ascii="Verdana" w:hAnsi="Verdana"/>
                <w:b w:val="0"/>
                <w:bCs w:val="0"/>
                <w:lang w:val="es-CO" w:eastAsia="es-CO"/>
              </w:rPr>
            </w:pPr>
            <w:r w:rsidRPr="00710FD0">
              <w:rPr>
                <w:rFonts w:ascii="Verdana" w:hAnsi="Verdana"/>
                <w:b w:val="0"/>
                <w:bCs w:val="0"/>
                <w:lang w:val="es-CO" w:eastAsia="es-CO"/>
              </w:rPr>
              <w:t>Sector</w:t>
            </w:r>
          </w:p>
        </w:tc>
        <w:tc>
          <w:tcPr>
            <w:tcW w:w="1460" w:type="pct"/>
            <w:vMerge w:val="restart"/>
            <w:vAlign w:val="center"/>
            <w:hideMark/>
          </w:tcPr>
          <w:p w:rsidR="00C310DF" w:rsidRPr="00710FD0" w:rsidRDefault="00C310DF" w:rsidP="00C310DF">
            <w:pPr>
              <w:contextualSpacing/>
              <w:jc w:val="center"/>
              <w:cnfStyle w:val="100000000000"/>
              <w:rPr>
                <w:rFonts w:ascii="Verdana" w:hAnsi="Verdana"/>
                <w:b w:val="0"/>
                <w:lang w:val="es-CO" w:eastAsia="es-CO"/>
              </w:rPr>
            </w:pPr>
            <w:r w:rsidRPr="00710FD0">
              <w:rPr>
                <w:rFonts w:ascii="Verdana" w:hAnsi="Verdana"/>
                <w:b w:val="0"/>
                <w:bCs w:val="0"/>
                <w:lang w:val="es-CO" w:eastAsia="es-CO"/>
              </w:rPr>
              <w:t>Sub-Sector</w:t>
            </w:r>
          </w:p>
        </w:tc>
        <w:tc>
          <w:tcPr>
            <w:tcW w:w="1087" w:type="pct"/>
            <w:vMerge w:val="restart"/>
            <w:vAlign w:val="center"/>
            <w:hideMark/>
          </w:tcPr>
          <w:p w:rsidR="00C310DF" w:rsidRPr="00710FD0" w:rsidRDefault="00C310DF" w:rsidP="00C310DF">
            <w:pPr>
              <w:contextualSpacing/>
              <w:jc w:val="center"/>
              <w:cnfStyle w:val="100000000000"/>
              <w:rPr>
                <w:rFonts w:ascii="Verdana" w:hAnsi="Verdana"/>
                <w:b w:val="0"/>
                <w:lang w:val="es-CO" w:eastAsia="es-CO"/>
              </w:rPr>
            </w:pPr>
            <w:r w:rsidRPr="00710FD0">
              <w:rPr>
                <w:rFonts w:ascii="Verdana" w:hAnsi="Verdana"/>
                <w:b w:val="0"/>
                <w:bCs w:val="0"/>
                <w:lang w:val="es-CO" w:eastAsia="es-CO"/>
              </w:rPr>
              <w:t>Tipo de entidad</w:t>
            </w:r>
          </w:p>
        </w:tc>
        <w:tc>
          <w:tcPr>
            <w:tcW w:w="1902" w:type="pct"/>
            <w:gridSpan w:val="3"/>
            <w:vAlign w:val="center"/>
            <w:hideMark/>
          </w:tcPr>
          <w:p w:rsidR="00C310DF" w:rsidRPr="00710FD0" w:rsidRDefault="00C310DF" w:rsidP="00C310DF">
            <w:pPr>
              <w:contextualSpacing/>
              <w:jc w:val="center"/>
              <w:cnfStyle w:val="100000000000"/>
              <w:rPr>
                <w:rFonts w:ascii="Verdana" w:hAnsi="Verdana"/>
                <w:b w:val="0"/>
                <w:lang w:val="es-CO" w:eastAsia="es-CO"/>
              </w:rPr>
            </w:pPr>
            <w:r w:rsidRPr="00710FD0">
              <w:rPr>
                <w:rFonts w:ascii="Verdana" w:hAnsi="Verdana"/>
                <w:b w:val="0"/>
                <w:bCs w:val="0"/>
                <w:lang w:val="es-CO" w:eastAsia="es-CO"/>
              </w:rPr>
              <w:t>Cantidad</w:t>
            </w:r>
          </w:p>
        </w:tc>
      </w:tr>
      <w:tr w:rsidR="00C310DF" w:rsidRPr="00710FD0" w:rsidTr="00710FD0">
        <w:trPr>
          <w:cnfStyle w:val="000000100000"/>
          <w:trHeight w:val="165"/>
          <w:jc w:val="center"/>
        </w:trPr>
        <w:tc>
          <w:tcPr>
            <w:cnfStyle w:val="001000000000"/>
            <w:tcW w:w="551" w:type="pct"/>
            <w:vMerge/>
            <w:vAlign w:val="center"/>
          </w:tcPr>
          <w:p w:rsidR="00C310DF" w:rsidRPr="00710FD0" w:rsidRDefault="00C310DF" w:rsidP="00C310DF">
            <w:pPr>
              <w:contextualSpacing/>
              <w:rPr>
                <w:rFonts w:ascii="Verdana" w:hAnsi="Verdana"/>
                <w:b w:val="0"/>
                <w:lang w:val="es-CO" w:eastAsia="es-CO"/>
              </w:rPr>
            </w:pPr>
          </w:p>
        </w:tc>
        <w:tc>
          <w:tcPr>
            <w:tcW w:w="1460" w:type="pct"/>
            <w:vMerge/>
            <w:vAlign w:val="center"/>
            <w:hideMark/>
          </w:tcPr>
          <w:p w:rsidR="00C310DF" w:rsidRPr="00710FD0" w:rsidRDefault="00C310DF" w:rsidP="00C310DF">
            <w:pPr>
              <w:contextualSpacing/>
              <w:cnfStyle w:val="000000100000"/>
              <w:rPr>
                <w:rFonts w:ascii="Verdana" w:hAnsi="Verdana"/>
                <w:lang w:val="es-CO" w:eastAsia="es-CO"/>
              </w:rPr>
            </w:pPr>
          </w:p>
        </w:tc>
        <w:tc>
          <w:tcPr>
            <w:tcW w:w="1087" w:type="pct"/>
            <w:vMerge/>
            <w:vAlign w:val="center"/>
            <w:hideMark/>
          </w:tcPr>
          <w:p w:rsidR="00C310DF" w:rsidRPr="00710FD0" w:rsidRDefault="00C310DF" w:rsidP="00C310DF">
            <w:pPr>
              <w:contextualSpacing/>
              <w:cnfStyle w:val="000000100000"/>
              <w:rPr>
                <w:rFonts w:ascii="Verdana" w:hAnsi="Verdana"/>
                <w:lang w:val="es-CO" w:eastAsia="es-CO"/>
              </w:rPr>
            </w:pPr>
          </w:p>
        </w:tc>
        <w:tc>
          <w:tcPr>
            <w:tcW w:w="715" w:type="pct"/>
            <w:vAlign w:val="center"/>
            <w:hideMark/>
          </w:tcPr>
          <w:p w:rsidR="00C310DF" w:rsidRPr="00710FD0" w:rsidRDefault="00C310DF" w:rsidP="00C310DF">
            <w:pPr>
              <w:contextualSpacing/>
              <w:jc w:val="center"/>
              <w:cnfStyle w:val="000000100000"/>
              <w:rPr>
                <w:rFonts w:ascii="Verdana" w:hAnsi="Verdana"/>
                <w:lang w:val="es-CO" w:eastAsia="es-CO"/>
              </w:rPr>
            </w:pPr>
            <w:r w:rsidRPr="00710FD0">
              <w:rPr>
                <w:rFonts w:ascii="Verdana" w:hAnsi="Verdana"/>
                <w:bCs/>
                <w:color w:val="000000"/>
                <w:lang w:val="es-CO" w:eastAsia="es-CO"/>
              </w:rPr>
              <w:t>Completo</w:t>
            </w:r>
          </w:p>
        </w:tc>
        <w:tc>
          <w:tcPr>
            <w:tcW w:w="763" w:type="pct"/>
            <w:vAlign w:val="center"/>
            <w:hideMark/>
          </w:tcPr>
          <w:p w:rsidR="00C310DF" w:rsidRPr="00710FD0" w:rsidRDefault="00C310DF" w:rsidP="00C310DF">
            <w:pPr>
              <w:contextualSpacing/>
              <w:jc w:val="center"/>
              <w:cnfStyle w:val="000000100000"/>
              <w:rPr>
                <w:rFonts w:ascii="Verdana" w:hAnsi="Verdana"/>
                <w:lang w:val="es-CO" w:eastAsia="es-CO"/>
              </w:rPr>
            </w:pPr>
            <w:r w:rsidRPr="00710FD0">
              <w:rPr>
                <w:rFonts w:ascii="Verdana" w:hAnsi="Verdana"/>
                <w:bCs/>
                <w:color w:val="000000"/>
                <w:lang w:val="es-CO" w:eastAsia="es-CO"/>
              </w:rPr>
              <w:t>Incompleto</w:t>
            </w:r>
          </w:p>
        </w:tc>
        <w:tc>
          <w:tcPr>
            <w:tcW w:w="424" w:type="pct"/>
            <w:vAlign w:val="center"/>
            <w:hideMark/>
          </w:tcPr>
          <w:p w:rsidR="00C310DF" w:rsidRPr="00710FD0" w:rsidRDefault="00C310DF" w:rsidP="00C310DF">
            <w:pPr>
              <w:contextualSpacing/>
              <w:jc w:val="center"/>
              <w:cnfStyle w:val="000000100000"/>
              <w:rPr>
                <w:rFonts w:ascii="Verdana" w:hAnsi="Verdana"/>
                <w:lang w:val="es-CO" w:eastAsia="es-CO"/>
              </w:rPr>
            </w:pPr>
            <w:r w:rsidRPr="00710FD0">
              <w:rPr>
                <w:rFonts w:ascii="Verdana" w:hAnsi="Verdana"/>
                <w:bCs/>
                <w:color w:val="000000"/>
                <w:lang w:val="es-CO" w:eastAsia="es-CO"/>
              </w:rPr>
              <w:t>Total</w:t>
            </w:r>
          </w:p>
        </w:tc>
      </w:tr>
      <w:tr w:rsidR="00C310DF" w:rsidRPr="00710FD0" w:rsidTr="00710FD0">
        <w:trPr>
          <w:trHeight w:val="192"/>
          <w:jc w:val="center"/>
        </w:trPr>
        <w:tc>
          <w:tcPr>
            <w:cnfStyle w:val="001000000000"/>
            <w:tcW w:w="551" w:type="pct"/>
            <w:vAlign w:val="center"/>
          </w:tcPr>
          <w:p w:rsidR="00C310DF" w:rsidRPr="00710FD0" w:rsidRDefault="00C310DF" w:rsidP="00C310DF">
            <w:pPr>
              <w:contextualSpacing/>
              <w:rPr>
                <w:rFonts w:ascii="Verdana" w:hAnsi="Verdana"/>
                <w:b w:val="0"/>
                <w:color w:val="000000"/>
                <w:lang w:val="es-CO" w:eastAsia="es-CO"/>
              </w:rPr>
            </w:pPr>
            <w:r w:rsidRPr="00710FD0">
              <w:rPr>
                <w:rFonts w:ascii="Verdana" w:hAnsi="Verdana"/>
                <w:b w:val="0"/>
                <w:color w:val="000000"/>
                <w:lang w:val="es-CO" w:eastAsia="es-CO"/>
              </w:rPr>
              <w:t>Público</w:t>
            </w:r>
          </w:p>
        </w:tc>
        <w:tc>
          <w:tcPr>
            <w:tcW w:w="1460" w:type="pct"/>
            <w:vAlign w:val="center"/>
            <w:hideMark/>
          </w:tcPr>
          <w:p w:rsidR="00C310DF" w:rsidRPr="00710FD0" w:rsidRDefault="00C310DF" w:rsidP="00C310DF">
            <w:pPr>
              <w:contextualSpacing/>
              <w:cnfStyle w:val="000000000000"/>
              <w:rPr>
                <w:rFonts w:ascii="Verdana" w:hAnsi="Verdana"/>
                <w:lang w:val="es-CO" w:eastAsia="es-CO"/>
              </w:rPr>
            </w:pPr>
            <w:r w:rsidRPr="00710FD0">
              <w:rPr>
                <w:rFonts w:ascii="Verdana" w:hAnsi="Verdana"/>
                <w:color w:val="000000"/>
                <w:lang w:val="es-CO" w:eastAsia="es-CO"/>
              </w:rPr>
              <w:t>Rama Ejecutiva  Municipal</w:t>
            </w:r>
          </w:p>
        </w:tc>
        <w:tc>
          <w:tcPr>
            <w:tcW w:w="1087" w:type="pct"/>
            <w:vAlign w:val="center"/>
            <w:hideMark/>
          </w:tcPr>
          <w:p w:rsidR="00C310DF" w:rsidRPr="00710FD0" w:rsidRDefault="00C310DF" w:rsidP="00C310DF">
            <w:pPr>
              <w:contextualSpacing/>
              <w:cnfStyle w:val="000000000000"/>
              <w:rPr>
                <w:rFonts w:ascii="Verdana" w:hAnsi="Verdana"/>
                <w:lang w:val="es-CO" w:eastAsia="es-CO"/>
              </w:rPr>
            </w:pPr>
            <w:r w:rsidRPr="00710FD0">
              <w:rPr>
                <w:rFonts w:ascii="Verdana" w:hAnsi="Verdana"/>
                <w:color w:val="000000"/>
                <w:lang w:val="es-CO" w:eastAsia="es-CO"/>
              </w:rPr>
              <w:t>Todos los sectores</w:t>
            </w:r>
          </w:p>
        </w:tc>
        <w:tc>
          <w:tcPr>
            <w:tcW w:w="715" w:type="pct"/>
            <w:vAlign w:val="center"/>
          </w:tcPr>
          <w:p w:rsidR="00C310DF" w:rsidRPr="00710FD0" w:rsidRDefault="00C310DF" w:rsidP="00C310DF">
            <w:pPr>
              <w:contextualSpacing/>
              <w:jc w:val="center"/>
              <w:cnfStyle w:val="000000000000"/>
              <w:rPr>
                <w:rFonts w:ascii="Verdana" w:hAnsi="Verdana"/>
                <w:lang w:val="es-CO" w:eastAsia="es-CO"/>
              </w:rPr>
            </w:pPr>
            <w:r w:rsidRPr="00710FD0">
              <w:rPr>
                <w:rFonts w:ascii="Verdana" w:hAnsi="Verdana"/>
                <w:lang w:val="es-CO" w:eastAsia="es-CO"/>
              </w:rPr>
              <w:t>48</w:t>
            </w:r>
          </w:p>
        </w:tc>
        <w:tc>
          <w:tcPr>
            <w:tcW w:w="763" w:type="pct"/>
            <w:vAlign w:val="center"/>
          </w:tcPr>
          <w:p w:rsidR="00C310DF" w:rsidRPr="00710FD0" w:rsidRDefault="00C310DF" w:rsidP="00C310DF">
            <w:pPr>
              <w:contextualSpacing/>
              <w:jc w:val="center"/>
              <w:cnfStyle w:val="000000000000"/>
              <w:rPr>
                <w:rFonts w:ascii="Verdana" w:hAnsi="Verdana"/>
                <w:lang w:val="es-CO" w:eastAsia="es-CO"/>
              </w:rPr>
            </w:pPr>
            <w:r w:rsidRPr="00710FD0">
              <w:rPr>
                <w:rFonts w:ascii="Verdana" w:hAnsi="Verdana"/>
                <w:lang w:val="es-CO" w:eastAsia="es-CO"/>
              </w:rPr>
              <w:t>--</w:t>
            </w:r>
          </w:p>
        </w:tc>
        <w:tc>
          <w:tcPr>
            <w:tcW w:w="424" w:type="pct"/>
            <w:vAlign w:val="center"/>
          </w:tcPr>
          <w:p w:rsidR="00C310DF" w:rsidRPr="00710FD0" w:rsidRDefault="00C310DF" w:rsidP="00C310DF">
            <w:pPr>
              <w:contextualSpacing/>
              <w:jc w:val="center"/>
              <w:cnfStyle w:val="000000000000"/>
              <w:rPr>
                <w:rFonts w:ascii="Verdana" w:hAnsi="Verdana"/>
                <w:lang w:val="es-CO" w:eastAsia="es-CO"/>
              </w:rPr>
            </w:pPr>
            <w:r w:rsidRPr="00710FD0">
              <w:rPr>
                <w:rFonts w:ascii="Verdana" w:hAnsi="Verdana"/>
                <w:lang w:val="es-CO" w:eastAsia="es-CO"/>
              </w:rPr>
              <w:t>48</w:t>
            </w:r>
          </w:p>
        </w:tc>
      </w:tr>
      <w:tr w:rsidR="00C310DF" w:rsidRPr="00710FD0" w:rsidTr="00710FD0">
        <w:trPr>
          <w:cnfStyle w:val="000000100000"/>
          <w:trHeight w:val="192"/>
          <w:jc w:val="center"/>
        </w:trPr>
        <w:tc>
          <w:tcPr>
            <w:cnfStyle w:val="001000000000"/>
            <w:tcW w:w="551" w:type="pct"/>
            <w:vAlign w:val="center"/>
          </w:tcPr>
          <w:p w:rsidR="00C310DF" w:rsidRPr="00710FD0" w:rsidRDefault="00C310DF" w:rsidP="00C310DF">
            <w:pPr>
              <w:contextualSpacing/>
              <w:rPr>
                <w:rFonts w:ascii="Verdana" w:hAnsi="Verdana"/>
                <w:b w:val="0"/>
                <w:color w:val="000000"/>
                <w:lang w:val="es-CO" w:eastAsia="es-CO"/>
              </w:rPr>
            </w:pPr>
            <w:r w:rsidRPr="00710FD0">
              <w:rPr>
                <w:rFonts w:ascii="Verdana" w:hAnsi="Verdana"/>
                <w:b w:val="0"/>
                <w:color w:val="000000"/>
                <w:lang w:val="es-CO" w:eastAsia="es-CO"/>
              </w:rPr>
              <w:t>Público</w:t>
            </w:r>
          </w:p>
        </w:tc>
        <w:tc>
          <w:tcPr>
            <w:tcW w:w="1460" w:type="pct"/>
            <w:vAlign w:val="center"/>
          </w:tcPr>
          <w:p w:rsidR="00C310DF" w:rsidRPr="00710FD0" w:rsidRDefault="00C310DF" w:rsidP="00C310DF">
            <w:pPr>
              <w:contextualSpacing/>
              <w:cnfStyle w:val="000000100000"/>
              <w:rPr>
                <w:rFonts w:ascii="Verdana" w:hAnsi="Verdana"/>
                <w:color w:val="000000"/>
                <w:lang w:val="es-CO" w:eastAsia="es-CO"/>
              </w:rPr>
            </w:pPr>
            <w:r w:rsidRPr="00710FD0">
              <w:rPr>
                <w:rFonts w:ascii="Verdana" w:hAnsi="Verdana"/>
                <w:color w:val="000000"/>
                <w:lang w:val="es-CO" w:eastAsia="es-CO"/>
              </w:rPr>
              <w:t>Rama Ejecutiva Departamental</w:t>
            </w:r>
          </w:p>
        </w:tc>
        <w:tc>
          <w:tcPr>
            <w:tcW w:w="1087" w:type="pct"/>
            <w:vAlign w:val="center"/>
          </w:tcPr>
          <w:p w:rsidR="00C310DF" w:rsidRPr="00710FD0" w:rsidRDefault="00C310DF" w:rsidP="00C310DF">
            <w:pPr>
              <w:contextualSpacing/>
              <w:cnfStyle w:val="000000100000"/>
              <w:rPr>
                <w:rFonts w:ascii="Verdana" w:hAnsi="Verdana"/>
                <w:color w:val="000000"/>
                <w:lang w:val="es-CO" w:eastAsia="es-CO"/>
              </w:rPr>
            </w:pPr>
            <w:r w:rsidRPr="00710FD0">
              <w:rPr>
                <w:rFonts w:ascii="Verdana" w:hAnsi="Verdana"/>
                <w:color w:val="000000"/>
                <w:lang w:val="es-CO" w:eastAsia="es-CO"/>
              </w:rPr>
              <w:t>Diferentes sectores</w:t>
            </w:r>
          </w:p>
        </w:tc>
        <w:tc>
          <w:tcPr>
            <w:tcW w:w="715" w:type="pct"/>
            <w:vAlign w:val="center"/>
          </w:tcPr>
          <w:p w:rsidR="00C310DF" w:rsidRPr="00710FD0" w:rsidRDefault="00C310DF" w:rsidP="00C310DF">
            <w:pPr>
              <w:contextualSpacing/>
              <w:jc w:val="center"/>
              <w:cnfStyle w:val="000000100000"/>
              <w:rPr>
                <w:rFonts w:ascii="Verdana" w:hAnsi="Verdana"/>
                <w:lang w:val="es-CO" w:eastAsia="es-CO"/>
              </w:rPr>
            </w:pPr>
            <w:r w:rsidRPr="00710FD0">
              <w:rPr>
                <w:rFonts w:ascii="Verdana" w:hAnsi="Verdana"/>
                <w:lang w:val="es-CO" w:eastAsia="es-CO"/>
              </w:rPr>
              <w:t>4</w:t>
            </w:r>
          </w:p>
        </w:tc>
        <w:tc>
          <w:tcPr>
            <w:tcW w:w="763" w:type="pct"/>
            <w:vAlign w:val="center"/>
          </w:tcPr>
          <w:p w:rsidR="00C310DF" w:rsidRPr="00710FD0" w:rsidRDefault="00C310DF" w:rsidP="00C310DF">
            <w:pPr>
              <w:contextualSpacing/>
              <w:jc w:val="center"/>
              <w:cnfStyle w:val="000000100000"/>
              <w:rPr>
                <w:rFonts w:ascii="Verdana" w:hAnsi="Verdana"/>
                <w:lang w:val="es-CO" w:eastAsia="es-CO"/>
              </w:rPr>
            </w:pPr>
            <w:r w:rsidRPr="00710FD0">
              <w:rPr>
                <w:rFonts w:ascii="Verdana" w:hAnsi="Verdana"/>
                <w:lang w:val="es-CO" w:eastAsia="es-CO"/>
              </w:rPr>
              <w:t>19</w:t>
            </w:r>
          </w:p>
        </w:tc>
        <w:tc>
          <w:tcPr>
            <w:tcW w:w="424" w:type="pct"/>
            <w:vAlign w:val="center"/>
          </w:tcPr>
          <w:p w:rsidR="00C310DF" w:rsidRPr="00710FD0" w:rsidRDefault="00C310DF" w:rsidP="00C310DF">
            <w:pPr>
              <w:contextualSpacing/>
              <w:jc w:val="center"/>
              <w:cnfStyle w:val="000000100000"/>
              <w:rPr>
                <w:rFonts w:ascii="Verdana" w:hAnsi="Verdana"/>
                <w:lang w:val="es-CO" w:eastAsia="es-CO"/>
              </w:rPr>
            </w:pPr>
            <w:r w:rsidRPr="00710FD0">
              <w:rPr>
                <w:rFonts w:ascii="Verdana" w:hAnsi="Verdana"/>
                <w:lang w:val="es-CO" w:eastAsia="es-CO"/>
              </w:rPr>
              <w:t>23</w:t>
            </w:r>
          </w:p>
        </w:tc>
      </w:tr>
      <w:tr w:rsidR="00C310DF" w:rsidRPr="00710FD0" w:rsidTr="00710FD0">
        <w:trPr>
          <w:trHeight w:val="192"/>
          <w:jc w:val="center"/>
        </w:trPr>
        <w:tc>
          <w:tcPr>
            <w:cnfStyle w:val="001000000000"/>
            <w:tcW w:w="551" w:type="pct"/>
            <w:vAlign w:val="center"/>
          </w:tcPr>
          <w:p w:rsidR="00C310DF" w:rsidRPr="00710FD0" w:rsidRDefault="00C310DF" w:rsidP="00C310DF">
            <w:pPr>
              <w:contextualSpacing/>
              <w:jc w:val="both"/>
              <w:rPr>
                <w:rFonts w:ascii="Verdana" w:hAnsi="Verdana"/>
                <w:b w:val="0"/>
                <w:color w:val="000000"/>
                <w:lang w:val="es-CO" w:eastAsia="es-CO"/>
              </w:rPr>
            </w:pPr>
            <w:r w:rsidRPr="00710FD0">
              <w:rPr>
                <w:rFonts w:ascii="Verdana" w:hAnsi="Verdana"/>
                <w:b w:val="0"/>
                <w:color w:val="000000"/>
                <w:lang w:val="es-CO" w:eastAsia="es-CO"/>
              </w:rPr>
              <w:t>Público</w:t>
            </w:r>
          </w:p>
        </w:tc>
        <w:tc>
          <w:tcPr>
            <w:tcW w:w="1460" w:type="pct"/>
            <w:vAlign w:val="center"/>
            <w:hideMark/>
          </w:tcPr>
          <w:p w:rsidR="00C310DF" w:rsidRPr="00710FD0" w:rsidRDefault="00C310DF" w:rsidP="00C310DF">
            <w:pPr>
              <w:contextualSpacing/>
              <w:jc w:val="both"/>
              <w:cnfStyle w:val="000000000000"/>
              <w:rPr>
                <w:rFonts w:ascii="Verdana" w:hAnsi="Verdana"/>
                <w:lang w:val="es-CO" w:eastAsia="es-CO"/>
              </w:rPr>
            </w:pPr>
            <w:r w:rsidRPr="00710FD0">
              <w:rPr>
                <w:rFonts w:ascii="Verdana" w:hAnsi="Verdana"/>
                <w:color w:val="000000"/>
                <w:lang w:val="es-CO" w:eastAsia="es-CO"/>
              </w:rPr>
              <w:t>Rama Judicial</w:t>
            </w:r>
          </w:p>
        </w:tc>
        <w:tc>
          <w:tcPr>
            <w:tcW w:w="1087" w:type="pct"/>
            <w:vAlign w:val="center"/>
            <w:hideMark/>
          </w:tcPr>
          <w:p w:rsidR="00C310DF" w:rsidRPr="00710FD0" w:rsidRDefault="00C310DF" w:rsidP="00C310DF">
            <w:pPr>
              <w:contextualSpacing/>
              <w:cnfStyle w:val="000000000000"/>
              <w:rPr>
                <w:rFonts w:ascii="Verdana" w:hAnsi="Verdana"/>
                <w:lang w:val="es-CO" w:eastAsia="es-CO"/>
              </w:rPr>
            </w:pPr>
            <w:r w:rsidRPr="00710FD0">
              <w:rPr>
                <w:rFonts w:ascii="Verdana" w:hAnsi="Verdana"/>
                <w:color w:val="000000"/>
                <w:lang w:val="es-CO" w:eastAsia="es-CO"/>
              </w:rPr>
              <w:t>Tribunales y Juzgados</w:t>
            </w:r>
          </w:p>
        </w:tc>
        <w:tc>
          <w:tcPr>
            <w:tcW w:w="715" w:type="pct"/>
            <w:vAlign w:val="center"/>
          </w:tcPr>
          <w:p w:rsidR="00C310DF" w:rsidRPr="00710FD0" w:rsidRDefault="00C310DF" w:rsidP="00C310DF">
            <w:pPr>
              <w:contextualSpacing/>
              <w:jc w:val="center"/>
              <w:cnfStyle w:val="000000000000"/>
              <w:rPr>
                <w:rFonts w:ascii="Verdana" w:hAnsi="Verdana"/>
                <w:lang w:val="es-CO" w:eastAsia="es-CO"/>
              </w:rPr>
            </w:pPr>
            <w:r w:rsidRPr="00710FD0">
              <w:rPr>
                <w:rFonts w:ascii="Verdana" w:hAnsi="Verdana"/>
                <w:lang w:val="es-CO" w:eastAsia="es-CO"/>
              </w:rPr>
              <w:t>23</w:t>
            </w:r>
          </w:p>
        </w:tc>
        <w:tc>
          <w:tcPr>
            <w:tcW w:w="763" w:type="pct"/>
            <w:vAlign w:val="center"/>
          </w:tcPr>
          <w:p w:rsidR="00C310DF" w:rsidRPr="00710FD0" w:rsidRDefault="00C310DF" w:rsidP="00C310DF">
            <w:pPr>
              <w:contextualSpacing/>
              <w:jc w:val="center"/>
              <w:cnfStyle w:val="000000000000"/>
              <w:rPr>
                <w:rFonts w:ascii="Verdana" w:hAnsi="Verdana"/>
                <w:lang w:val="es-CO" w:eastAsia="es-CO"/>
              </w:rPr>
            </w:pPr>
            <w:r w:rsidRPr="00710FD0">
              <w:rPr>
                <w:rFonts w:ascii="Verdana" w:hAnsi="Verdana"/>
                <w:lang w:val="es-CO" w:eastAsia="es-CO"/>
              </w:rPr>
              <w:t>79</w:t>
            </w:r>
          </w:p>
        </w:tc>
        <w:tc>
          <w:tcPr>
            <w:tcW w:w="424" w:type="pct"/>
            <w:vAlign w:val="center"/>
          </w:tcPr>
          <w:p w:rsidR="00C310DF" w:rsidRPr="00710FD0" w:rsidRDefault="00C310DF" w:rsidP="00C310DF">
            <w:pPr>
              <w:contextualSpacing/>
              <w:jc w:val="center"/>
              <w:cnfStyle w:val="000000000000"/>
              <w:rPr>
                <w:rFonts w:ascii="Verdana" w:hAnsi="Verdana"/>
                <w:lang w:val="es-CO" w:eastAsia="es-CO"/>
              </w:rPr>
            </w:pPr>
            <w:r w:rsidRPr="00710FD0">
              <w:rPr>
                <w:rFonts w:ascii="Verdana" w:hAnsi="Verdana"/>
                <w:lang w:val="es-CO" w:eastAsia="es-CO"/>
              </w:rPr>
              <w:t>102</w:t>
            </w:r>
          </w:p>
        </w:tc>
      </w:tr>
      <w:tr w:rsidR="00C310DF" w:rsidRPr="00710FD0" w:rsidTr="00710FD0">
        <w:trPr>
          <w:cnfStyle w:val="000000100000"/>
          <w:trHeight w:val="371"/>
          <w:jc w:val="center"/>
        </w:trPr>
        <w:tc>
          <w:tcPr>
            <w:cnfStyle w:val="001000000000"/>
            <w:tcW w:w="551" w:type="pct"/>
            <w:vAlign w:val="center"/>
          </w:tcPr>
          <w:p w:rsidR="00C310DF" w:rsidRPr="00710FD0" w:rsidRDefault="00C310DF" w:rsidP="00C310DF">
            <w:pPr>
              <w:contextualSpacing/>
              <w:jc w:val="both"/>
              <w:rPr>
                <w:rFonts w:ascii="Verdana" w:hAnsi="Verdana"/>
                <w:b w:val="0"/>
                <w:color w:val="000000"/>
                <w:lang w:val="es-CO" w:eastAsia="es-CO"/>
              </w:rPr>
            </w:pPr>
            <w:r w:rsidRPr="00710FD0">
              <w:rPr>
                <w:rFonts w:ascii="Verdana" w:hAnsi="Verdana"/>
                <w:b w:val="0"/>
                <w:color w:val="000000"/>
                <w:lang w:val="es-CO" w:eastAsia="es-CO"/>
              </w:rPr>
              <w:t>Público</w:t>
            </w:r>
          </w:p>
        </w:tc>
        <w:tc>
          <w:tcPr>
            <w:tcW w:w="1460" w:type="pct"/>
            <w:vAlign w:val="center"/>
          </w:tcPr>
          <w:p w:rsidR="00C310DF" w:rsidRPr="00710FD0" w:rsidRDefault="00C310DF" w:rsidP="00C310DF">
            <w:pPr>
              <w:contextualSpacing/>
              <w:cnfStyle w:val="000000100000"/>
              <w:rPr>
                <w:rFonts w:ascii="Verdana" w:hAnsi="Verdana"/>
                <w:color w:val="000000"/>
                <w:lang w:val="es-CO" w:eastAsia="es-CO"/>
              </w:rPr>
            </w:pPr>
            <w:r w:rsidRPr="00710FD0">
              <w:rPr>
                <w:rFonts w:ascii="Verdana" w:hAnsi="Verdana"/>
                <w:color w:val="000000"/>
                <w:lang w:val="es-CO" w:eastAsia="es-CO"/>
              </w:rPr>
              <w:t>Organismos Autónomos e Independientes</w:t>
            </w:r>
          </w:p>
        </w:tc>
        <w:tc>
          <w:tcPr>
            <w:tcW w:w="1087" w:type="pct"/>
            <w:vAlign w:val="center"/>
          </w:tcPr>
          <w:p w:rsidR="00C310DF" w:rsidRPr="00710FD0" w:rsidRDefault="00C310DF" w:rsidP="00C310DF">
            <w:pPr>
              <w:contextualSpacing/>
              <w:cnfStyle w:val="000000100000"/>
              <w:rPr>
                <w:rFonts w:ascii="Verdana" w:hAnsi="Verdana"/>
                <w:color w:val="000000"/>
                <w:lang w:val="es-CO" w:eastAsia="es-CO"/>
              </w:rPr>
            </w:pPr>
            <w:r w:rsidRPr="00710FD0">
              <w:rPr>
                <w:rFonts w:ascii="Verdana" w:hAnsi="Verdana"/>
                <w:color w:val="000000"/>
                <w:lang w:val="es-CO" w:eastAsia="es-CO"/>
              </w:rPr>
              <w:t>Defensoría del Pueblo</w:t>
            </w:r>
          </w:p>
        </w:tc>
        <w:tc>
          <w:tcPr>
            <w:tcW w:w="715" w:type="pct"/>
            <w:vAlign w:val="center"/>
          </w:tcPr>
          <w:p w:rsidR="00C310DF" w:rsidRPr="00710FD0" w:rsidRDefault="00C310DF" w:rsidP="00C310DF">
            <w:pPr>
              <w:contextualSpacing/>
              <w:jc w:val="center"/>
              <w:cnfStyle w:val="000000100000"/>
              <w:rPr>
                <w:rFonts w:ascii="Verdana" w:hAnsi="Verdana"/>
                <w:lang w:val="es-CO" w:eastAsia="es-CO"/>
              </w:rPr>
            </w:pPr>
            <w:r w:rsidRPr="00710FD0">
              <w:rPr>
                <w:rFonts w:ascii="Verdana" w:hAnsi="Verdana"/>
                <w:lang w:val="es-CO" w:eastAsia="es-CO"/>
              </w:rPr>
              <w:t>6</w:t>
            </w:r>
          </w:p>
        </w:tc>
        <w:tc>
          <w:tcPr>
            <w:tcW w:w="763" w:type="pct"/>
            <w:vAlign w:val="center"/>
          </w:tcPr>
          <w:p w:rsidR="00C310DF" w:rsidRPr="00710FD0" w:rsidRDefault="00C310DF" w:rsidP="00C310DF">
            <w:pPr>
              <w:contextualSpacing/>
              <w:jc w:val="center"/>
              <w:cnfStyle w:val="000000100000"/>
              <w:rPr>
                <w:rFonts w:ascii="Verdana" w:hAnsi="Verdana"/>
                <w:lang w:val="es-CO" w:eastAsia="es-CO"/>
              </w:rPr>
            </w:pPr>
            <w:r w:rsidRPr="00710FD0">
              <w:rPr>
                <w:rFonts w:ascii="Verdana" w:hAnsi="Verdana"/>
                <w:lang w:val="es-CO" w:eastAsia="es-CO"/>
              </w:rPr>
              <w:t>9</w:t>
            </w:r>
          </w:p>
        </w:tc>
        <w:tc>
          <w:tcPr>
            <w:tcW w:w="424" w:type="pct"/>
            <w:vAlign w:val="center"/>
          </w:tcPr>
          <w:p w:rsidR="00C310DF" w:rsidRPr="00710FD0" w:rsidRDefault="00C310DF" w:rsidP="00C310DF">
            <w:pPr>
              <w:contextualSpacing/>
              <w:jc w:val="center"/>
              <w:cnfStyle w:val="000000100000"/>
              <w:rPr>
                <w:rFonts w:ascii="Verdana" w:hAnsi="Verdana"/>
                <w:lang w:val="es-CO" w:eastAsia="es-CO"/>
              </w:rPr>
            </w:pPr>
            <w:r w:rsidRPr="00710FD0">
              <w:rPr>
                <w:rFonts w:ascii="Verdana" w:hAnsi="Verdana"/>
                <w:lang w:val="es-CO" w:eastAsia="es-CO"/>
              </w:rPr>
              <w:t>15</w:t>
            </w:r>
          </w:p>
        </w:tc>
      </w:tr>
      <w:tr w:rsidR="00C310DF" w:rsidRPr="00710FD0" w:rsidTr="00710FD0">
        <w:trPr>
          <w:trHeight w:val="478"/>
          <w:jc w:val="center"/>
        </w:trPr>
        <w:tc>
          <w:tcPr>
            <w:cnfStyle w:val="001000000000"/>
            <w:tcW w:w="551" w:type="pct"/>
            <w:vAlign w:val="center"/>
          </w:tcPr>
          <w:p w:rsidR="00C310DF" w:rsidRPr="00710FD0" w:rsidRDefault="00C310DF" w:rsidP="00C310DF">
            <w:pPr>
              <w:contextualSpacing/>
              <w:jc w:val="both"/>
              <w:rPr>
                <w:rFonts w:ascii="Verdana" w:hAnsi="Verdana"/>
                <w:b w:val="0"/>
                <w:color w:val="000000"/>
                <w:lang w:val="es-CO" w:eastAsia="es-CO"/>
              </w:rPr>
            </w:pPr>
            <w:r w:rsidRPr="00710FD0">
              <w:rPr>
                <w:rFonts w:ascii="Verdana" w:hAnsi="Verdana"/>
                <w:b w:val="0"/>
                <w:color w:val="000000"/>
                <w:lang w:val="es-CO" w:eastAsia="es-CO"/>
              </w:rPr>
              <w:t>Privada</w:t>
            </w:r>
          </w:p>
        </w:tc>
        <w:tc>
          <w:tcPr>
            <w:tcW w:w="1460" w:type="pct"/>
            <w:vAlign w:val="center"/>
            <w:hideMark/>
          </w:tcPr>
          <w:p w:rsidR="00C310DF" w:rsidRPr="00710FD0" w:rsidRDefault="00C310DF" w:rsidP="00C310DF">
            <w:pPr>
              <w:contextualSpacing/>
              <w:cnfStyle w:val="000000000000"/>
              <w:rPr>
                <w:rFonts w:ascii="Verdana" w:hAnsi="Verdana"/>
                <w:lang w:val="es-CO" w:eastAsia="es-CO"/>
              </w:rPr>
            </w:pPr>
            <w:r w:rsidRPr="00710FD0">
              <w:rPr>
                <w:rFonts w:ascii="Verdana" w:hAnsi="Verdana"/>
                <w:lang w:val="es-CO" w:eastAsia="es-CO"/>
              </w:rPr>
              <w:t>Entidades sin ánimo de lucro</w:t>
            </w:r>
          </w:p>
        </w:tc>
        <w:tc>
          <w:tcPr>
            <w:tcW w:w="1087" w:type="pct"/>
            <w:vAlign w:val="center"/>
            <w:hideMark/>
          </w:tcPr>
          <w:p w:rsidR="00C310DF" w:rsidRPr="00710FD0" w:rsidRDefault="00C310DF" w:rsidP="00C310DF">
            <w:pPr>
              <w:contextualSpacing/>
              <w:cnfStyle w:val="000000000000"/>
              <w:rPr>
                <w:rFonts w:ascii="Verdana" w:hAnsi="Verdana"/>
                <w:lang w:val="es-CO" w:eastAsia="es-CO"/>
              </w:rPr>
            </w:pPr>
            <w:r w:rsidRPr="00710FD0">
              <w:rPr>
                <w:rFonts w:ascii="Verdana" w:hAnsi="Verdana"/>
                <w:color w:val="000000"/>
                <w:lang w:val="es-CO" w:eastAsia="es-CO"/>
              </w:rPr>
              <w:t>OV y ODV</w:t>
            </w:r>
          </w:p>
        </w:tc>
        <w:tc>
          <w:tcPr>
            <w:tcW w:w="715" w:type="pct"/>
            <w:vAlign w:val="center"/>
          </w:tcPr>
          <w:p w:rsidR="00C310DF" w:rsidRPr="00710FD0" w:rsidRDefault="00C310DF" w:rsidP="00C310DF">
            <w:pPr>
              <w:contextualSpacing/>
              <w:jc w:val="center"/>
              <w:cnfStyle w:val="000000000000"/>
              <w:rPr>
                <w:rFonts w:ascii="Verdana" w:hAnsi="Verdana"/>
                <w:lang w:val="es-CO" w:eastAsia="es-CO"/>
              </w:rPr>
            </w:pPr>
            <w:r w:rsidRPr="00710FD0">
              <w:rPr>
                <w:rFonts w:ascii="Verdana" w:hAnsi="Verdana"/>
                <w:lang w:val="es-CO" w:eastAsia="es-CO"/>
              </w:rPr>
              <w:t>47</w:t>
            </w:r>
          </w:p>
        </w:tc>
        <w:tc>
          <w:tcPr>
            <w:tcW w:w="763" w:type="pct"/>
            <w:vAlign w:val="center"/>
          </w:tcPr>
          <w:p w:rsidR="00C310DF" w:rsidRPr="00710FD0" w:rsidRDefault="00C310DF" w:rsidP="00C310DF">
            <w:pPr>
              <w:contextualSpacing/>
              <w:jc w:val="center"/>
              <w:cnfStyle w:val="000000000000"/>
              <w:rPr>
                <w:rFonts w:ascii="Verdana" w:hAnsi="Verdana"/>
                <w:lang w:val="es-CO" w:eastAsia="es-CO"/>
              </w:rPr>
            </w:pPr>
            <w:r w:rsidRPr="00710FD0">
              <w:rPr>
                <w:rFonts w:ascii="Verdana" w:hAnsi="Verdana"/>
                <w:lang w:val="es-CO" w:eastAsia="es-CO"/>
              </w:rPr>
              <w:t>8</w:t>
            </w:r>
          </w:p>
        </w:tc>
        <w:tc>
          <w:tcPr>
            <w:tcW w:w="424" w:type="pct"/>
            <w:vAlign w:val="center"/>
          </w:tcPr>
          <w:p w:rsidR="00C310DF" w:rsidRPr="00710FD0" w:rsidRDefault="00C310DF" w:rsidP="00C310DF">
            <w:pPr>
              <w:contextualSpacing/>
              <w:jc w:val="center"/>
              <w:cnfStyle w:val="000000000000"/>
              <w:rPr>
                <w:rFonts w:ascii="Verdana" w:hAnsi="Verdana"/>
                <w:lang w:val="es-CO" w:eastAsia="es-CO"/>
              </w:rPr>
            </w:pPr>
            <w:r w:rsidRPr="00710FD0">
              <w:rPr>
                <w:rFonts w:ascii="Verdana" w:hAnsi="Verdana"/>
                <w:lang w:val="es-CO" w:eastAsia="es-CO"/>
              </w:rPr>
              <w:t>55</w:t>
            </w:r>
          </w:p>
        </w:tc>
      </w:tr>
      <w:tr w:rsidR="00C310DF" w:rsidRPr="00710FD0" w:rsidTr="00710FD0">
        <w:trPr>
          <w:cnfStyle w:val="000000100000"/>
          <w:trHeight w:val="272"/>
          <w:jc w:val="center"/>
        </w:trPr>
        <w:tc>
          <w:tcPr>
            <w:cnfStyle w:val="001000000000"/>
            <w:tcW w:w="551" w:type="pct"/>
            <w:vAlign w:val="center"/>
          </w:tcPr>
          <w:p w:rsidR="00C310DF" w:rsidRPr="00710FD0" w:rsidRDefault="00C310DF" w:rsidP="00C310DF">
            <w:pPr>
              <w:contextualSpacing/>
              <w:jc w:val="both"/>
              <w:rPr>
                <w:rFonts w:ascii="Verdana" w:hAnsi="Verdana"/>
                <w:b w:val="0"/>
                <w:color w:val="000000"/>
                <w:lang w:val="es-CO" w:eastAsia="es-CO"/>
              </w:rPr>
            </w:pPr>
            <w:r w:rsidRPr="00710FD0">
              <w:rPr>
                <w:rFonts w:ascii="Verdana" w:hAnsi="Verdana"/>
                <w:b w:val="0"/>
                <w:color w:val="000000"/>
                <w:lang w:val="es-CO" w:eastAsia="es-CO"/>
              </w:rPr>
              <w:t>Privada</w:t>
            </w:r>
          </w:p>
        </w:tc>
        <w:tc>
          <w:tcPr>
            <w:tcW w:w="1460" w:type="pct"/>
            <w:vAlign w:val="center"/>
          </w:tcPr>
          <w:p w:rsidR="00C310DF" w:rsidRPr="00710FD0" w:rsidRDefault="00C310DF" w:rsidP="00C310DF">
            <w:pPr>
              <w:contextualSpacing/>
              <w:jc w:val="both"/>
              <w:cnfStyle w:val="000000100000"/>
              <w:rPr>
                <w:rFonts w:ascii="Verdana" w:hAnsi="Verdana"/>
                <w:color w:val="000000"/>
                <w:lang w:val="es-CO" w:eastAsia="es-CO"/>
              </w:rPr>
            </w:pPr>
            <w:r w:rsidRPr="00710FD0">
              <w:rPr>
                <w:rFonts w:ascii="Verdana" w:hAnsi="Verdana"/>
                <w:color w:val="000000"/>
                <w:lang w:val="es-CO" w:eastAsia="es-CO"/>
              </w:rPr>
              <w:t>Grupos étnicos</w:t>
            </w:r>
          </w:p>
        </w:tc>
        <w:tc>
          <w:tcPr>
            <w:tcW w:w="1087" w:type="pct"/>
            <w:vAlign w:val="center"/>
          </w:tcPr>
          <w:p w:rsidR="00C310DF" w:rsidRPr="00710FD0" w:rsidRDefault="00C310DF" w:rsidP="00C310DF">
            <w:pPr>
              <w:contextualSpacing/>
              <w:cnfStyle w:val="000000100000"/>
              <w:rPr>
                <w:rFonts w:ascii="Verdana" w:hAnsi="Verdana"/>
                <w:color w:val="000000"/>
                <w:lang w:val="es-CO" w:eastAsia="es-CO"/>
              </w:rPr>
            </w:pPr>
            <w:r w:rsidRPr="00710FD0">
              <w:rPr>
                <w:rFonts w:ascii="Verdana" w:hAnsi="Verdana"/>
                <w:color w:val="000000"/>
                <w:lang w:val="es-CO" w:eastAsia="es-CO"/>
              </w:rPr>
              <w:t>Afrodescendientes, raizales y palenqueros</w:t>
            </w:r>
          </w:p>
        </w:tc>
        <w:tc>
          <w:tcPr>
            <w:tcW w:w="715" w:type="pct"/>
            <w:vAlign w:val="center"/>
          </w:tcPr>
          <w:p w:rsidR="00C310DF" w:rsidRPr="00710FD0" w:rsidRDefault="00C310DF" w:rsidP="00C310DF">
            <w:pPr>
              <w:contextualSpacing/>
              <w:jc w:val="center"/>
              <w:cnfStyle w:val="000000100000"/>
              <w:rPr>
                <w:rFonts w:ascii="Verdana" w:hAnsi="Verdana"/>
                <w:lang w:val="es-CO" w:eastAsia="es-CO"/>
              </w:rPr>
            </w:pPr>
            <w:r w:rsidRPr="00710FD0">
              <w:rPr>
                <w:rFonts w:ascii="Verdana" w:hAnsi="Verdana"/>
                <w:lang w:val="es-CO" w:eastAsia="es-CO"/>
              </w:rPr>
              <w:t>8</w:t>
            </w:r>
          </w:p>
        </w:tc>
        <w:tc>
          <w:tcPr>
            <w:tcW w:w="763" w:type="pct"/>
            <w:vAlign w:val="center"/>
          </w:tcPr>
          <w:p w:rsidR="00C310DF" w:rsidRPr="00710FD0" w:rsidRDefault="00C310DF" w:rsidP="00C310DF">
            <w:pPr>
              <w:contextualSpacing/>
              <w:jc w:val="center"/>
              <w:cnfStyle w:val="000000100000"/>
              <w:rPr>
                <w:rFonts w:ascii="Verdana" w:hAnsi="Verdana"/>
                <w:lang w:val="es-CO" w:eastAsia="es-CO"/>
              </w:rPr>
            </w:pPr>
            <w:r w:rsidRPr="00710FD0">
              <w:rPr>
                <w:rFonts w:ascii="Verdana" w:hAnsi="Verdana"/>
                <w:lang w:val="es-CO" w:eastAsia="es-CO"/>
              </w:rPr>
              <w:t>--</w:t>
            </w:r>
          </w:p>
        </w:tc>
        <w:tc>
          <w:tcPr>
            <w:tcW w:w="424" w:type="pct"/>
            <w:vAlign w:val="center"/>
          </w:tcPr>
          <w:p w:rsidR="00C310DF" w:rsidRPr="00710FD0" w:rsidRDefault="00C310DF" w:rsidP="00C310DF">
            <w:pPr>
              <w:contextualSpacing/>
              <w:jc w:val="center"/>
              <w:cnfStyle w:val="000000100000"/>
              <w:rPr>
                <w:rFonts w:ascii="Verdana" w:hAnsi="Verdana"/>
                <w:lang w:val="es-CO" w:eastAsia="es-CO"/>
              </w:rPr>
            </w:pPr>
            <w:r w:rsidRPr="00710FD0">
              <w:rPr>
                <w:rFonts w:ascii="Verdana" w:hAnsi="Verdana"/>
                <w:lang w:val="es-CO" w:eastAsia="es-CO"/>
              </w:rPr>
              <w:t>8</w:t>
            </w:r>
          </w:p>
        </w:tc>
      </w:tr>
      <w:tr w:rsidR="00C310DF" w:rsidRPr="00710FD0" w:rsidTr="00710FD0">
        <w:trPr>
          <w:trHeight w:val="206"/>
          <w:jc w:val="center"/>
        </w:trPr>
        <w:tc>
          <w:tcPr>
            <w:cnfStyle w:val="001000000000"/>
            <w:tcW w:w="551" w:type="pct"/>
            <w:vAlign w:val="center"/>
          </w:tcPr>
          <w:p w:rsidR="00C310DF" w:rsidRPr="00710FD0" w:rsidRDefault="00C310DF" w:rsidP="00C310DF">
            <w:pPr>
              <w:contextualSpacing/>
              <w:jc w:val="both"/>
              <w:rPr>
                <w:rFonts w:ascii="Verdana" w:hAnsi="Verdana"/>
                <w:b w:val="0"/>
                <w:color w:val="000000"/>
                <w:lang w:val="es-CO" w:eastAsia="es-CO"/>
              </w:rPr>
            </w:pPr>
          </w:p>
        </w:tc>
        <w:tc>
          <w:tcPr>
            <w:tcW w:w="2547" w:type="pct"/>
            <w:gridSpan w:val="2"/>
            <w:vAlign w:val="center"/>
            <w:hideMark/>
          </w:tcPr>
          <w:p w:rsidR="00C310DF" w:rsidRPr="00710FD0" w:rsidRDefault="00C310DF" w:rsidP="00C310DF">
            <w:pPr>
              <w:contextualSpacing/>
              <w:jc w:val="center"/>
              <w:cnfStyle w:val="000000000000"/>
              <w:rPr>
                <w:rFonts w:ascii="Verdana" w:hAnsi="Verdana"/>
                <w:lang w:val="es-CO" w:eastAsia="es-CO"/>
              </w:rPr>
            </w:pPr>
            <w:r w:rsidRPr="00710FD0">
              <w:rPr>
                <w:rFonts w:ascii="Verdana" w:hAnsi="Verdana"/>
                <w:color w:val="000000"/>
                <w:lang w:val="es-CO" w:eastAsia="es-CO"/>
              </w:rPr>
              <w:t>Total</w:t>
            </w:r>
          </w:p>
        </w:tc>
        <w:tc>
          <w:tcPr>
            <w:tcW w:w="715" w:type="pct"/>
            <w:vAlign w:val="center"/>
          </w:tcPr>
          <w:p w:rsidR="00C310DF" w:rsidRPr="00710FD0" w:rsidRDefault="00C310DF" w:rsidP="00C310DF">
            <w:pPr>
              <w:contextualSpacing/>
              <w:jc w:val="center"/>
              <w:cnfStyle w:val="000000000000"/>
              <w:rPr>
                <w:rFonts w:ascii="Verdana" w:hAnsi="Verdana"/>
                <w:lang w:val="es-CO" w:eastAsia="es-CO"/>
              </w:rPr>
            </w:pPr>
            <w:r w:rsidRPr="00710FD0">
              <w:rPr>
                <w:rFonts w:ascii="Verdana" w:hAnsi="Verdana"/>
                <w:lang w:val="es-CO" w:eastAsia="es-CO"/>
              </w:rPr>
              <w:t>136</w:t>
            </w:r>
          </w:p>
        </w:tc>
        <w:tc>
          <w:tcPr>
            <w:tcW w:w="763" w:type="pct"/>
            <w:vAlign w:val="center"/>
          </w:tcPr>
          <w:p w:rsidR="00C310DF" w:rsidRPr="00710FD0" w:rsidRDefault="00C310DF" w:rsidP="00C310DF">
            <w:pPr>
              <w:contextualSpacing/>
              <w:jc w:val="center"/>
              <w:cnfStyle w:val="000000000000"/>
              <w:rPr>
                <w:rFonts w:ascii="Verdana" w:hAnsi="Verdana"/>
                <w:lang w:val="es-CO" w:eastAsia="es-CO"/>
              </w:rPr>
            </w:pPr>
            <w:r w:rsidRPr="00710FD0">
              <w:rPr>
                <w:rFonts w:ascii="Verdana" w:hAnsi="Verdana"/>
                <w:lang w:val="es-CO" w:eastAsia="es-CO"/>
              </w:rPr>
              <w:t>115</w:t>
            </w:r>
          </w:p>
        </w:tc>
        <w:tc>
          <w:tcPr>
            <w:tcW w:w="424" w:type="pct"/>
            <w:vAlign w:val="center"/>
          </w:tcPr>
          <w:p w:rsidR="00C310DF" w:rsidRPr="00710FD0" w:rsidRDefault="00C310DF" w:rsidP="00C310DF">
            <w:pPr>
              <w:contextualSpacing/>
              <w:jc w:val="center"/>
              <w:cnfStyle w:val="000000000000"/>
              <w:rPr>
                <w:rFonts w:ascii="Verdana" w:hAnsi="Verdana"/>
                <w:lang w:val="es-CO" w:eastAsia="es-CO"/>
              </w:rPr>
            </w:pPr>
            <w:r w:rsidRPr="00710FD0">
              <w:rPr>
                <w:rFonts w:ascii="Verdana" w:hAnsi="Verdana"/>
                <w:lang w:val="es-CO" w:eastAsia="es-CO"/>
              </w:rPr>
              <w:t>251</w:t>
            </w:r>
          </w:p>
        </w:tc>
      </w:tr>
    </w:tbl>
    <w:p w:rsidR="00C310DF" w:rsidRPr="00710FD0" w:rsidRDefault="00C310DF" w:rsidP="00710FD0">
      <w:pPr>
        <w:spacing w:after="0" w:line="240" w:lineRule="auto"/>
        <w:jc w:val="right"/>
        <w:rPr>
          <w:rFonts w:ascii="Verdana" w:hAnsi="Verdana" w:cs="Arial"/>
          <w:bCs/>
          <w:sz w:val="20"/>
          <w:szCs w:val="24"/>
          <w:shd w:val="clear" w:color="auto" w:fill="FFFFFF"/>
        </w:rPr>
      </w:pPr>
      <w:r w:rsidRPr="00710FD0">
        <w:rPr>
          <w:rFonts w:ascii="Verdana" w:hAnsi="Verdana" w:cs="Arial"/>
          <w:bCs/>
          <w:sz w:val="20"/>
          <w:szCs w:val="24"/>
          <w:shd w:val="clear" w:color="auto" w:fill="FFFFFF"/>
        </w:rPr>
        <w:t>Fuente: Dirección de Archivo de los Derechos Humanos. 2014.</w:t>
      </w:r>
    </w:p>
    <w:p w:rsidR="00C310DF" w:rsidRPr="00BC7F3F" w:rsidRDefault="00C310DF" w:rsidP="00C310DF">
      <w:pPr>
        <w:spacing w:after="0" w:line="240" w:lineRule="auto"/>
        <w:jc w:val="both"/>
        <w:rPr>
          <w:rFonts w:ascii="Verdana" w:hAnsi="Verdana" w:cs="Arial"/>
          <w:bCs/>
          <w:sz w:val="24"/>
          <w:szCs w:val="24"/>
          <w:shd w:val="clear" w:color="auto" w:fill="FFFFFF"/>
        </w:rPr>
      </w:pPr>
    </w:p>
    <w:p w:rsidR="00C310DF" w:rsidRPr="00710FD0" w:rsidRDefault="00C310DF" w:rsidP="00710FD0">
      <w:pPr>
        <w:pStyle w:val="Subttulo"/>
        <w:numPr>
          <w:ilvl w:val="3"/>
          <w:numId w:val="1"/>
        </w:numPr>
        <w:tabs>
          <w:tab w:val="left" w:pos="851"/>
        </w:tabs>
        <w:ind w:left="1134" w:hanging="1134"/>
        <w:outlineLvl w:val="4"/>
        <w:rPr>
          <w:rFonts w:ascii="Verdana" w:eastAsia="Arial" w:hAnsi="Verdana"/>
          <w:b/>
          <w:color w:val="4F81BD" w:themeColor="accent1"/>
          <w:sz w:val="24"/>
          <w:szCs w:val="24"/>
          <w:lang w:val="es-CO"/>
        </w:rPr>
      </w:pPr>
      <w:r w:rsidRPr="00710FD0">
        <w:rPr>
          <w:rFonts w:ascii="Verdana" w:eastAsia="Arial" w:hAnsi="Verdana"/>
          <w:b/>
          <w:color w:val="4F81BD" w:themeColor="accent1"/>
          <w:sz w:val="24"/>
          <w:szCs w:val="24"/>
          <w:lang w:val="es-CO"/>
        </w:rPr>
        <w:t>Programa Memoria del Mundo - UNESCO</w:t>
      </w:r>
    </w:p>
    <w:p w:rsidR="00C310DF" w:rsidRPr="00BC7F3F" w:rsidRDefault="00C310DF" w:rsidP="00C310DF">
      <w:pPr>
        <w:spacing w:after="0" w:line="240" w:lineRule="auto"/>
        <w:jc w:val="both"/>
        <w:rPr>
          <w:rFonts w:ascii="Verdana" w:hAnsi="Verdana"/>
          <w:sz w:val="24"/>
          <w:szCs w:val="24"/>
          <w:lang w:eastAsia="es-CO"/>
        </w:rPr>
      </w:pPr>
      <w:r w:rsidRPr="00BC7F3F">
        <w:rPr>
          <w:rFonts w:ascii="Verdana" w:hAnsi="Verdana"/>
          <w:sz w:val="24"/>
          <w:szCs w:val="24"/>
          <w:lang w:eastAsia="es-CO"/>
        </w:rPr>
        <w:t xml:space="preserve">Como iniciativa de protección y salvaguarda de archivos de Derechos Humanos, en el año 2014 se tramitó ante el Programa Memoria del Mundo de la UNESCO, la postulación e inclusión, del Libro  “Padre Tiberio Vive Memorias de un Mártir”, documento elaborado en forma manuscrita por miembros de la Asociación de Familiares de Víctimas de Trujillo – AFAVIT, del municipio de Trujillo Valle del Cauca. Resultado de ello este documento testimonial, por decisión del organismo internacional, hace  parte desde el mes de diciembre de 2014 del patrimonio documental del mundo. Con lo cual se obtiene su reconocimiento, protección, divulgación y se facilita ampliamente su consulta a nivel internacional. </w:t>
      </w:r>
    </w:p>
    <w:p w:rsidR="00C310DF" w:rsidRPr="00E21452" w:rsidRDefault="00C310DF" w:rsidP="00E21452">
      <w:pPr>
        <w:pStyle w:val="Subttulo"/>
        <w:numPr>
          <w:ilvl w:val="0"/>
          <w:numId w:val="0"/>
        </w:numPr>
        <w:tabs>
          <w:tab w:val="left" w:pos="851"/>
        </w:tabs>
        <w:ind w:left="1134"/>
        <w:outlineLvl w:val="4"/>
        <w:rPr>
          <w:rFonts w:ascii="Verdana" w:eastAsia="Arial" w:hAnsi="Verdana"/>
          <w:b/>
          <w:color w:val="4F81BD" w:themeColor="accent1"/>
          <w:sz w:val="24"/>
          <w:szCs w:val="24"/>
          <w:lang w:val="es-CO"/>
        </w:rPr>
      </w:pPr>
    </w:p>
    <w:p w:rsidR="00C310DF" w:rsidRPr="00E21452" w:rsidRDefault="00E21452" w:rsidP="00E21452">
      <w:pPr>
        <w:pStyle w:val="Subttulo"/>
        <w:numPr>
          <w:ilvl w:val="0"/>
          <w:numId w:val="0"/>
        </w:numPr>
        <w:tabs>
          <w:tab w:val="left" w:pos="851"/>
        </w:tabs>
        <w:outlineLvl w:val="4"/>
        <w:rPr>
          <w:rFonts w:ascii="Verdana" w:eastAsia="Arial" w:hAnsi="Verdana"/>
          <w:b/>
          <w:color w:val="4F81BD" w:themeColor="accent1"/>
          <w:sz w:val="24"/>
          <w:szCs w:val="24"/>
          <w:lang w:val="es-CO"/>
        </w:rPr>
      </w:pPr>
      <w:bookmarkStart w:id="106" w:name="78492"/>
      <w:bookmarkStart w:id="107" w:name="_Toc411868580"/>
      <w:r>
        <w:rPr>
          <w:rFonts w:ascii="Verdana" w:eastAsia="Arial" w:hAnsi="Verdana"/>
          <w:b/>
          <w:color w:val="4F81BD" w:themeColor="accent1"/>
          <w:sz w:val="24"/>
          <w:szCs w:val="24"/>
          <w:lang w:val="es-CO"/>
        </w:rPr>
        <w:t xml:space="preserve">1.9 </w:t>
      </w:r>
      <w:r w:rsidR="00C310DF" w:rsidRPr="00E21452">
        <w:rPr>
          <w:rFonts w:ascii="Verdana" w:eastAsia="Arial" w:hAnsi="Verdana"/>
          <w:b/>
          <w:color w:val="4F81BD" w:themeColor="accent1"/>
          <w:sz w:val="24"/>
          <w:szCs w:val="24"/>
          <w:lang w:val="es-CO"/>
        </w:rPr>
        <w:t xml:space="preserve">Política Pública de Archivos de Graves violaciones de DDHH e </w:t>
      </w:r>
      <w:r>
        <w:rPr>
          <w:rFonts w:ascii="Verdana" w:eastAsia="Arial" w:hAnsi="Verdana"/>
          <w:b/>
          <w:color w:val="4F81BD" w:themeColor="accent1"/>
          <w:sz w:val="24"/>
          <w:szCs w:val="24"/>
          <w:lang w:val="es-CO"/>
        </w:rPr>
        <w:t>1</w:t>
      </w:r>
      <w:r w:rsidR="00C310DF" w:rsidRPr="00E21452">
        <w:rPr>
          <w:rFonts w:ascii="Verdana" w:eastAsia="Arial" w:hAnsi="Verdana"/>
          <w:b/>
          <w:color w:val="4F81BD" w:themeColor="accent1"/>
          <w:sz w:val="24"/>
          <w:szCs w:val="24"/>
          <w:lang w:val="es-CO"/>
        </w:rPr>
        <w:t>nfracciones al DIH, MH y Conflicto</w:t>
      </w:r>
      <w:bookmarkEnd w:id="106"/>
      <w:bookmarkEnd w:id="107"/>
    </w:p>
    <w:p w:rsidR="00C310DF" w:rsidRPr="00BC7F3F" w:rsidRDefault="00C310DF" w:rsidP="00C310DF">
      <w:pPr>
        <w:spacing w:after="0" w:line="240" w:lineRule="auto"/>
        <w:jc w:val="both"/>
        <w:rPr>
          <w:rFonts w:ascii="Verdana" w:hAnsi="Verdana" w:cs="Arial"/>
          <w:bCs/>
          <w:sz w:val="24"/>
          <w:szCs w:val="24"/>
          <w:shd w:val="clear" w:color="auto" w:fill="FFFFFF"/>
        </w:rPr>
      </w:pPr>
    </w:p>
    <w:p w:rsidR="00C310DF" w:rsidRPr="00BC7F3F" w:rsidRDefault="00C310DF" w:rsidP="00C310DF">
      <w:pPr>
        <w:spacing w:after="0" w:line="240" w:lineRule="auto"/>
        <w:jc w:val="both"/>
        <w:rPr>
          <w:rFonts w:ascii="Verdana" w:eastAsia="Arial Narrow" w:hAnsi="Verdana" w:cs="Arial Narrow"/>
          <w:bCs/>
          <w:kern w:val="24"/>
          <w:sz w:val="24"/>
          <w:szCs w:val="24"/>
        </w:rPr>
      </w:pPr>
      <w:r w:rsidRPr="00BC7F3F">
        <w:rPr>
          <w:rFonts w:ascii="Verdana" w:hAnsi="Verdana" w:cs="Arial"/>
          <w:bCs/>
          <w:sz w:val="24"/>
          <w:szCs w:val="24"/>
          <w:shd w:val="clear" w:color="auto" w:fill="FFFFFF"/>
        </w:rPr>
        <w:t xml:space="preserve">Ejecución de los siguientes tres (3) eventos de socialización del documento en construcción de la política pública de archivos sobre graves violaciones a los DDHH </w:t>
      </w:r>
      <w:r w:rsidRPr="00BC7F3F">
        <w:rPr>
          <w:rFonts w:ascii="Verdana" w:eastAsia="Arial Narrow" w:hAnsi="Verdana" w:cs="Arial Narrow"/>
          <w:bCs/>
          <w:kern w:val="24"/>
          <w:sz w:val="24"/>
          <w:szCs w:val="24"/>
        </w:rPr>
        <w:t>e infracciones al DIH, MH y conflicto:</w:t>
      </w:r>
    </w:p>
    <w:p w:rsidR="00C310DF" w:rsidRPr="00BC7F3F" w:rsidRDefault="00C310DF" w:rsidP="00C310DF">
      <w:pPr>
        <w:spacing w:after="0" w:line="240" w:lineRule="auto"/>
        <w:jc w:val="both"/>
        <w:rPr>
          <w:rFonts w:ascii="Verdana" w:eastAsia="Arial Narrow" w:hAnsi="Verdana" w:cs="Arial Narrow"/>
          <w:bCs/>
          <w:kern w:val="24"/>
          <w:sz w:val="24"/>
          <w:szCs w:val="24"/>
        </w:rPr>
      </w:pPr>
    </w:p>
    <w:p w:rsidR="00C310DF" w:rsidRPr="00E21452" w:rsidRDefault="00C310DF" w:rsidP="00582BDE">
      <w:pPr>
        <w:numPr>
          <w:ilvl w:val="0"/>
          <w:numId w:val="139"/>
        </w:numPr>
        <w:spacing w:after="0" w:line="240" w:lineRule="auto"/>
        <w:ind w:left="709" w:hanging="283"/>
        <w:jc w:val="both"/>
        <w:rPr>
          <w:rFonts w:ascii="Verdana" w:hAnsi="Verdana" w:cs="Arial"/>
          <w:bCs/>
          <w:i/>
          <w:sz w:val="24"/>
          <w:szCs w:val="24"/>
          <w:shd w:val="clear" w:color="auto" w:fill="FFFFFF"/>
        </w:rPr>
      </w:pPr>
      <w:r w:rsidRPr="00E21452">
        <w:rPr>
          <w:rFonts w:ascii="Verdana" w:hAnsi="Verdana" w:cs="Arial"/>
          <w:bCs/>
          <w:i/>
          <w:sz w:val="24"/>
          <w:szCs w:val="24"/>
          <w:shd w:val="clear" w:color="auto" w:fill="FFFFFF"/>
        </w:rPr>
        <w:t>Socialización de la primera versión del documento de política pública sobre archivos de graves violaciones de DDHH e infracciones al DIH, MH y conflicto, con las siguientes instituciones: Presidencia de la Republica (Programa Presidencial de DDHH); Archivo General de la Nación; Entidades del SNARIV (Bogotá y Región Centro), Consejo Superior de la Judicatura; organizaciones sociales con sede en Bogotá y ante el proyecto para la conformación del centro de Memoria Histórica del Magdalena Medio, iniciativa de ECOPETROL y la unión sindical USO.</w:t>
      </w:r>
    </w:p>
    <w:p w:rsidR="00C310DF" w:rsidRPr="00E21452" w:rsidRDefault="00C310DF" w:rsidP="00E21452">
      <w:pPr>
        <w:spacing w:after="0" w:line="240" w:lineRule="auto"/>
        <w:ind w:left="709" w:hanging="283"/>
        <w:jc w:val="both"/>
        <w:rPr>
          <w:rFonts w:ascii="Verdana" w:hAnsi="Verdana" w:cs="Arial"/>
          <w:bCs/>
          <w:i/>
          <w:sz w:val="24"/>
          <w:szCs w:val="24"/>
          <w:shd w:val="clear" w:color="auto" w:fill="FFFFFF"/>
        </w:rPr>
      </w:pPr>
    </w:p>
    <w:p w:rsidR="00C310DF" w:rsidRPr="00E21452" w:rsidRDefault="00C310DF" w:rsidP="00582BDE">
      <w:pPr>
        <w:numPr>
          <w:ilvl w:val="0"/>
          <w:numId w:val="139"/>
        </w:numPr>
        <w:spacing w:after="0" w:line="240" w:lineRule="auto"/>
        <w:ind w:left="709" w:hanging="283"/>
        <w:jc w:val="both"/>
        <w:rPr>
          <w:rFonts w:ascii="Verdana" w:hAnsi="Verdana" w:cs="Arial"/>
          <w:bCs/>
          <w:i/>
          <w:sz w:val="24"/>
          <w:szCs w:val="24"/>
          <w:shd w:val="clear" w:color="auto" w:fill="FFFFFF"/>
        </w:rPr>
      </w:pPr>
      <w:r w:rsidRPr="00E21452">
        <w:rPr>
          <w:rFonts w:ascii="Verdana" w:hAnsi="Verdana" w:cs="Arial"/>
          <w:bCs/>
          <w:i/>
          <w:sz w:val="24"/>
          <w:szCs w:val="24"/>
          <w:shd w:val="clear" w:color="auto" w:fill="FFFFFF"/>
        </w:rPr>
        <w:t>Realización del Seminario Internacional de Archivos “Archivos para la Paz -Elementos de una Política Pública”, evento donde se presentó y se socializó la primera versión del documento “Elementos para una política pública de archivos sobre graves violaciones de DDHH e infracciones al DIH, MH y Conflicto Armado”; Seminario internacional en el que se compartieron experiencias de catorce (14) invitados internacionales de nueve (9) países y cinco (5) invitados nacionales,  se contó con la participación 247 asistentes.</w:t>
      </w:r>
    </w:p>
    <w:p w:rsidR="00C310DF" w:rsidRPr="00E21452" w:rsidRDefault="00C310DF" w:rsidP="00E21452">
      <w:pPr>
        <w:shd w:val="clear" w:color="auto" w:fill="FFFFFF"/>
        <w:spacing w:after="0" w:line="240" w:lineRule="auto"/>
        <w:ind w:left="709" w:hanging="283"/>
        <w:jc w:val="both"/>
        <w:rPr>
          <w:rFonts w:ascii="Verdana" w:hAnsi="Verdana" w:cs="Arial"/>
          <w:bCs/>
          <w:i/>
          <w:sz w:val="24"/>
          <w:szCs w:val="24"/>
          <w:shd w:val="clear" w:color="auto" w:fill="FFFFFF"/>
        </w:rPr>
      </w:pPr>
    </w:p>
    <w:p w:rsidR="00C310DF" w:rsidRPr="00E21452" w:rsidRDefault="00C310DF" w:rsidP="00582BDE">
      <w:pPr>
        <w:numPr>
          <w:ilvl w:val="0"/>
          <w:numId w:val="139"/>
        </w:numPr>
        <w:spacing w:after="0" w:line="240" w:lineRule="auto"/>
        <w:ind w:left="709" w:hanging="283"/>
        <w:jc w:val="both"/>
        <w:rPr>
          <w:rFonts w:ascii="Verdana" w:hAnsi="Verdana" w:cs="Arial"/>
          <w:bCs/>
          <w:i/>
          <w:sz w:val="24"/>
          <w:szCs w:val="24"/>
          <w:shd w:val="clear" w:color="auto" w:fill="FFFFFF"/>
        </w:rPr>
      </w:pPr>
      <w:r w:rsidRPr="00E21452">
        <w:rPr>
          <w:rFonts w:ascii="Verdana" w:hAnsi="Verdana" w:cs="Arial"/>
          <w:bCs/>
          <w:i/>
          <w:sz w:val="24"/>
          <w:szCs w:val="24"/>
          <w:shd w:val="clear" w:color="auto" w:fill="FFFFFF"/>
        </w:rPr>
        <w:t>Encuentro de socialización de las estrategias para la integración y uso social de archivos de Derechos Humanos, en el marco del documento en construcción “Elementos para una política pública de archivos sobre graves violaciones de DDHH e infracciones al DIH, MH y Conflicto Armado”, Convocatoria realizada en la región Caribe con sede en Santa Marta; encuentro en el que se contó con la participación de 58 asistentes en representación de 35 organizaciones de víctimas y de Organizaciones de la sociedad civil de la Costa Caribe..</w:t>
      </w:r>
    </w:p>
    <w:p w:rsidR="00C310DF" w:rsidRPr="00BC7F3F" w:rsidRDefault="00C310DF" w:rsidP="00C310DF">
      <w:pPr>
        <w:spacing w:after="0" w:line="240" w:lineRule="auto"/>
        <w:ind w:left="360"/>
        <w:jc w:val="both"/>
        <w:rPr>
          <w:rFonts w:ascii="Verdana" w:hAnsi="Verdana" w:cs="Arial"/>
          <w:bCs/>
          <w:sz w:val="24"/>
          <w:szCs w:val="24"/>
          <w:shd w:val="clear" w:color="auto" w:fill="FFFFFF"/>
        </w:rPr>
      </w:pPr>
    </w:p>
    <w:p w:rsidR="00C310DF" w:rsidRPr="00BC7F3F" w:rsidRDefault="00C310DF" w:rsidP="00C310DF">
      <w:pPr>
        <w:spacing w:after="0" w:line="240" w:lineRule="auto"/>
        <w:jc w:val="both"/>
        <w:rPr>
          <w:rFonts w:ascii="Verdana" w:hAnsi="Verdana" w:cs="Arial"/>
          <w:bCs/>
          <w:sz w:val="24"/>
          <w:szCs w:val="24"/>
          <w:shd w:val="clear" w:color="auto" w:fill="FFFFFF"/>
        </w:rPr>
      </w:pPr>
      <w:r w:rsidRPr="00BC7F3F">
        <w:rPr>
          <w:rFonts w:ascii="Verdana" w:hAnsi="Verdana" w:cs="Arial"/>
          <w:bCs/>
          <w:sz w:val="24"/>
          <w:szCs w:val="24"/>
          <w:shd w:val="clear" w:color="auto" w:fill="FFFFFF"/>
        </w:rPr>
        <w:t xml:space="preserve">Producto del trabajo desarrollado para la elaboración del documento en construcción “Elementos para una política pública de archivos sobre graves violaciones de DDHH e infracciones al DIH, MH y Conflicto Armado”, se publicó una primera versión de este documento, el cual se socializó en el Seminario Internacional “Archivos para la Paz – Elementos de una Política Pública”, realizado durante los días 28, 29 y 30 de octubre de 2014. De igual manera, por solicitud de los representantes de la mesa de diálogos de Paz, que se adelanta entre el </w:t>
      </w:r>
      <w:r w:rsidRPr="00BC7F3F">
        <w:rPr>
          <w:rFonts w:ascii="Verdana" w:hAnsi="Verdana" w:cs="Arial"/>
          <w:bCs/>
          <w:sz w:val="24"/>
          <w:szCs w:val="24"/>
          <w:shd w:val="clear" w:color="auto" w:fill="FFFFFF"/>
        </w:rPr>
        <w:lastRenderedPageBreak/>
        <w:t>Gobierno  de Colombia y las Farc en la Habana – Cuba, el CNMH remitió quince (15) ejemplares de la publicación del documento “Elementos para una política pública de archivos sobre graves violaciones de DDHH e infracciones al DIH, MH y Conflicto Armado”.</w:t>
      </w:r>
    </w:p>
    <w:p w:rsidR="00C310DF" w:rsidRPr="00BC7F3F" w:rsidRDefault="00C310DF" w:rsidP="00C310DF">
      <w:pPr>
        <w:spacing w:after="0" w:line="240" w:lineRule="auto"/>
        <w:jc w:val="both"/>
        <w:rPr>
          <w:rFonts w:ascii="Verdana" w:hAnsi="Verdana" w:cs="Arial"/>
          <w:bCs/>
          <w:sz w:val="24"/>
          <w:szCs w:val="24"/>
          <w:shd w:val="clear" w:color="auto" w:fill="FFFFFF"/>
        </w:rPr>
      </w:pPr>
    </w:p>
    <w:p w:rsidR="00C310DF" w:rsidRPr="00BC7F3F" w:rsidRDefault="00C310DF" w:rsidP="00C310DF">
      <w:pPr>
        <w:spacing w:after="0" w:line="240" w:lineRule="auto"/>
        <w:jc w:val="both"/>
        <w:rPr>
          <w:rFonts w:ascii="Verdana" w:hAnsi="Verdana"/>
          <w:sz w:val="24"/>
          <w:szCs w:val="24"/>
        </w:rPr>
      </w:pPr>
      <w:r w:rsidRPr="00BC7F3F">
        <w:rPr>
          <w:rFonts w:ascii="Verdana" w:eastAsia="Arial Narrow" w:hAnsi="Verdana" w:cs="Arial Narrow"/>
          <w:bCs/>
          <w:kern w:val="24"/>
          <w:sz w:val="24"/>
          <w:szCs w:val="24"/>
        </w:rPr>
        <w:t xml:space="preserve">Así mismo, y en cumplimiento de los mandatos relacionados con el Programa de Derechos Humanos y Memoria Histórica, se elaboró en articulación </w:t>
      </w:r>
      <w:r w:rsidRPr="00BC7F3F">
        <w:rPr>
          <w:rFonts w:ascii="Verdana" w:hAnsi="Verdana"/>
          <w:sz w:val="24"/>
          <w:szCs w:val="24"/>
        </w:rPr>
        <w:t xml:space="preserve">con el Archivo </w:t>
      </w:r>
      <w:r w:rsidRPr="00BC7F3F">
        <w:rPr>
          <w:rFonts w:ascii="Verdana" w:hAnsi="Verdana" w:cs="Arial"/>
          <w:bCs/>
          <w:sz w:val="24"/>
          <w:szCs w:val="24"/>
          <w:shd w:val="clear" w:color="auto" w:fill="FFFFFF"/>
        </w:rPr>
        <w:t xml:space="preserve">General de la Nación – AGN, de acuerdo con lo establecido en el decreto </w:t>
      </w:r>
      <w:r w:rsidRPr="00BC7F3F">
        <w:rPr>
          <w:rFonts w:ascii="Verdana" w:hAnsi="Verdana" w:cs="Arial"/>
          <w:bCs/>
          <w:sz w:val="24"/>
          <w:szCs w:val="24"/>
        </w:rPr>
        <w:t> </w:t>
      </w:r>
      <w:r w:rsidRPr="00BC7F3F">
        <w:rPr>
          <w:rFonts w:ascii="Verdana" w:hAnsi="Verdana" w:cs="Arial"/>
          <w:bCs/>
          <w:sz w:val="24"/>
          <w:szCs w:val="24"/>
          <w:shd w:val="clear" w:color="auto" w:fill="FFFFFF"/>
        </w:rPr>
        <w:t xml:space="preserve">4800 de 2011 y en desarrollo del Convenio Interadministrativo 207 de 2013, suscrito entre las dos entidades, </w:t>
      </w:r>
      <w:r w:rsidRPr="00BC7F3F">
        <w:rPr>
          <w:rFonts w:ascii="Verdana" w:eastAsia="Arial Narrow" w:hAnsi="Verdana" w:cs="Arial Narrow"/>
          <w:bCs/>
          <w:kern w:val="24"/>
          <w:sz w:val="24"/>
          <w:szCs w:val="24"/>
        </w:rPr>
        <w:t xml:space="preserve">la </w:t>
      </w:r>
      <w:r w:rsidRPr="00BC7F3F">
        <w:rPr>
          <w:rFonts w:ascii="Verdana" w:hAnsi="Verdana"/>
          <w:sz w:val="24"/>
          <w:szCs w:val="24"/>
        </w:rPr>
        <w:t xml:space="preserve">primera versión del Protocolo de Gestión Documental </w:t>
      </w:r>
      <w:r w:rsidRPr="00BC7F3F">
        <w:rPr>
          <w:rFonts w:ascii="Verdana" w:hAnsi="Verdana" w:cs="Arial"/>
          <w:bCs/>
          <w:sz w:val="24"/>
          <w:szCs w:val="24"/>
          <w:shd w:val="clear" w:color="auto" w:fill="FFFFFF"/>
        </w:rPr>
        <w:t>de los Archivos referidos a las graves y manifiestas violaciones a los Derechos Humanos, e Infracciones al Derecho Internacional Humanitario</w:t>
      </w:r>
      <w:r w:rsidRPr="00BC7F3F">
        <w:rPr>
          <w:rFonts w:ascii="Verdana" w:hAnsi="Verdana"/>
          <w:sz w:val="24"/>
          <w:szCs w:val="24"/>
        </w:rPr>
        <w:t>. Actualmente el documento se encuentra en revisión y ajustes por parte del Centro Nacional de Memoria Histórica y el Archivo General de la Nación – AGN.</w:t>
      </w:r>
    </w:p>
    <w:p w:rsidR="00C310DF" w:rsidRPr="00BC7F3F" w:rsidRDefault="00C310DF" w:rsidP="00C310DF">
      <w:pPr>
        <w:spacing w:after="0" w:line="240" w:lineRule="auto"/>
        <w:jc w:val="both"/>
        <w:rPr>
          <w:rFonts w:ascii="Verdana" w:hAnsi="Verdana"/>
          <w:sz w:val="24"/>
          <w:szCs w:val="24"/>
        </w:rPr>
      </w:pPr>
    </w:p>
    <w:p w:rsidR="00C310DF" w:rsidRPr="00BC7F3F" w:rsidRDefault="00C310DF" w:rsidP="00C310DF">
      <w:pPr>
        <w:spacing w:after="0" w:line="240" w:lineRule="auto"/>
        <w:jc w:val="both"/>
        <w:rPr>
          <w:rFonts w:ascii="Verdana" w:hAnsi="Verdana"/>
          <w:sz w:val="24"/>
          <w:szCs w:val="24"/>
        </w:rPr>
      </w:pPr>
      <w:r w:rsidRPr="00BC7F3F">
        <w:rPr>
          <w:rFonts w:ascii="Verdana" w:hAnsi="Verdana"/>
          <w:sz w:val="24"/>
          <w:szCs w:val="24"/>
        </w:rPr>
        <w:t>Como resultado significativo de este objetivo, el Consejo Superior de la Judicatura el 22 de abril de 2014 expidió el Acuerdo PSAA14-10137 por medio del cual “Se establece la política general de gestión documental para la Rama Judicial y se dictan reglas para asegurar su implementación y se modifica el acuerdo 1746 de 2003”. En este sentido y para destacar en términos de Memoria Histórica y Conflicto, el artículo 12 del capítulo 3, el mencionado acuerdo señala:</w:t>
      </w:r>
    </w:p>
    <w:p w:rsidR="00C310DF" w:rsidRPr="00BC7F3F" w:rsidRDefault="00C310DF" w:rsidP="00C310DF">
      <w:pPr>
        <w:spacing w:after="0" w:line="240" w:lineRule="auto"/>
        <w:jc w:val="both"/>
        <w:rPr>
          <w:rFonts w:ascii="Verdana" w:hAnsi="Verdana"/>
          <w:sz w:val="24"/>
          <w:szCs w:val="24"/>
        </w:rPr>
      </w:pPr>
      <w:r w:rsidRPr="00BC7F3F">
        <w:rPr>
          <w:rFonts w:ascii="Verdana" w:hAnsi="Verdana"/>
          <w:sz w:val="24"/>
          <w:szCs w:val="24"/>
        </w:rPr>
        <w:t> </w:t>
      </w:r>
    </w:p>
    <w:p w:rsidR="00C310DF" w:rsidRPr="00BC7F3F" w:rsidRDefault="00C310DF" w:rsidP="00C310DF">
      <w:pPr>
        <w:spacing w:after="0" w:line="240" w:lineRule="auto"/>
        <w:jc w:val="both"/>
        <w:rPr>
          <w:rFonts w:ascii="Verdana" w:hAnsi="Verdana"/>
          <w:sz w:val="24"/>
          <w:szCs w:val="24"/>
        </w:rPr>
      </w:pPr>
      <w:r w:rsidRPr="00BC7F3F">
        <w:rPr>
          <w:rFonts w:ascii="Verdana" w:hAnsi="Verdana"/>
          <w:i/>
          <w:sz w:val="24"/>
          <w:szCs w:val="24"/>
        </w:rPr>
        <w:t>“ARTÍCULO 12o.-Contribución a la Memoria Histórica. La Sala Administrativa del Consejo Superior de la Judicatura reglamentará, el tratamiento de la documentación, los expedientes judiciales y el archivo, que se refiere a graves violaciones a los derechos humanos e infracciones al derecho internacional humanitario.</w:t>
      </w:r>
    </w:p>
    <w:p w:rsidR="00C310DF" w:rsidRPr="00BC7F3F" w:rsidRDefault="00C310DF" w:rsidP="00C310DF">
      <w:pPr>
        <w:spacing w:after="0" w:line="240" w:lineRule="auto"/>
        <w:jc w:val="both"/>
        <w:rPr>
          <w:rFonts w:ascii="Verdana" w:hAnsi="Verdana"/>
          <w:i/>
          <w:sz w:val="24"/>
          <w:szCs w:val="24"/>
        </w:rPr>
      </w:pPr>
      <w:r w:rsidRPr="00BC7F3F">
        <w:rPr>
          <w:rFonts w:ascii="Verdana" w:hAnsi="Verdana"/>
          <w:i/>
          <w:sz w:val="24"/>
          <w:szCs w:val="24"/>
        </w:rPr>
        <w:t>Parágrafo. Para tal efecto podrá coordinar con el Centro Nacional de Memoria Histórica, mecanismos de cooperación técnica”</w:t>
      </w:r>
    </w:p>
    <w:p w:rsidR="00C310DF" w:rsidRPr="00BC7F3F" w:rsidRDefault="00C310DF" w:rsidP="00C310DF">
      <w:pPr>
        <w:spacing w:after="0" w:line="240" w:lineRule="auto"/>
        <w:jc w:val="both"/>
        <w:rPr>
          <w:rFonts w:ascii="Verdana" w:hAnsi="Verdana"/>
          <w:i/>
          <w:sz w:val="24"/>
          <w:szCs w:val="24"/>
        </w:rPr>
      </w:pPr>
    </w:p>
    <w:p w:rsidR="00C310DF" w:rsidRPr="00BC7F3F" w:rsidRDefault="00C310DF" w:rsidP="00C310DF">
      <w:pPr>
        <w:spacing w:after="0" w:line="240" w:lineRule="auto"/>
        <w:jc w:val="both"/>
        <w:rPr>
          <w:rFonts w:ascii="Verdana" w:hAnsi="Verdana"/>
          <w:sz w:val="24"/>
          <w:szCs w:val="24"/>
        </w:rPr>
      </w:pPr>
      <w:r w:rsidRPr="00BC7F3F">
        <w:rPr>
          <w:rFonts w:ascii="Verdana" w:hAnsi="Verdana"/>
          <w:sz w:val="24"/>
          <w:szCs w:val="24"/>
        </w:rPr>
        <w:t xml:space="preserve">En desarrollo de este acuerdo el CNMH ajustó y propuso un documento insumo para la elaboración de la política de archivos judiciales que será incorporado como un capítulo, en la política pública denominada “Archivos para la Paz – Elementos de una Política Pública”. Este documento fue discutido en una primera reunión con el CENDOJ (Centro de documentación judicial), dependencia que planteo algunas observaciones. El 9 de diciembre de 2014 en reunión entre el CNMH y el Presidente de la Sala Administrativa del CSJ se acordó con base en ese </w:t>
      </w:r>
      <w:r w:rsidRPr="00BC7F3F">
        <w:rPr>
          <w:rFonts w:ascii="Verdana" w:hAnsi="Verdana"/>
          <w:sz w:val="24"/>
          <w:szCs w:val="24"/>
        </w:rPr>
        <w:lastRenderedPageBreak/>
        <w:t>documento, la elaboración de una propuesta de Acuerdo para ser presentado a aprobación de la Sala Administrativa en febrero de 2015.</w:t>
      </w:r>
    </w:p>
    <w:p w:rsidR="00C310DF" w:rsidRPr="00BC7F3F" w:rsidRDefault="00C310DF" w:rsidP="00C310DF">
      <w:pPr>
        <w:spacing w:after="0" w:line="240" w:lineRule="auto"/>
        <w:jc w:val="both"/>
        <w:rPr>
          <w:rFonts w:ascii="Verdana" w:hAnsi="Verdana"/>
          <w:sz w:val="24"/>
          <w:szCs w:val="24"/>
        </w:rPr>
      </w:pPr>
    </w:p>
    <w:p w:rsidR="00C310DF" w:rsidRPr="00E21452" w:rsidRDefault="00E21452" w:rsidP="00E21452">
      <w:pPr>
        <w:pStyle w:val="Subttulo"/>
        <w:numPr>
          <w:ilvl w:val="0"/>
          <w:numId w:val="0"/>
        </w:numPr>
        <w:tabs>
          <w:tab w:val="left" w:pos="851"/>
        </w:tabs>
        <w:outlineLvl w:val="4"/>
        <w:rPr>
          <w:rFonts w:ascii="Verdana" w:eastAsia="Arial" w:hAnsi="Verdana"/>
          <w:b/>
          <w:color w:val="4F81BD" w:themeColor="accent1"/>
          <w:sz w:val="24"/>
          <w:szCs w:val="24"/>
          <w:lang w:val="es-CO"/>
        </w:rPr>
      </w:pPr>
      <w:bookmarkStart w:id="108" w:name="_Toc411868581"/>
      <w:r>
        <w:rPr>
          <w:rFonts w:ascii="Verdana" w:eastAsia="Arial" w:hAnsi="Verdana"/>
          <w:b/>
          <w:color w:val="4F81BD" w:themeColor="accent1"/>
          <w:sz w:val="24"/>
          <w:szCs w:val="24"/>
          <w:lang w:val="es-CO"/>
        </w:rPr>
        <w:t xml:space="preserve">1.10 </w:t>
      </w:r>
      <w:r w:rsidR="00C310DF" w:rsidRPr="00E21452">
        <w:rPr>
          <w:rFonts w:ascii="Verdana" w:eastAsia="Arial" w:hAnsi="Verdana"/>
          <w:b/>
          <w:color w:val="4F81BD" w:themeColor="accent1"/>
          <w:sz w:val="24"/>
          <w:szCs w:val="24"/>
          <w:lang w:val="es-CO"/>
        </w:rPr>
        <w:t>Acciones de comunicación y difusión</w:t>
      </w:r>
      <w:bookmarkEnd w:id="108"/>
    </w:p>
    <w:p w:rsidR="00C310DF" w:rsidRPr="00BC7F3F" w:rsidRDefault="00C310DF" w:rsidP="00C310DF">
      <w:pPr>
        <w:shd w:val="clear" w:color="auto" w:fill="FFFFFF"/>
        <w:spacing w:after="0" w:line="240" w:lineRule="auto"/>
        <w:jc w:val="both"/>
        <w:rPr>
          <w:rFonts w:ascii="Verdana" w:hAnsi="Verdana" w:cs="Arial"/>
          <w:bCs/>
          <w:color w:val="222222"/>
          <w:sz w:val="24"/>
          <w:szCs w:val="24"/>
          <w:lang w:eastAsia="es-CO"/>
        </w:rPr>
      </w:pPr>
      <w:r w:rsidRPr="00BC7F3F">
        <w:rPr>
          <w:rFonts w:ascii="Verdana" w:hAnsi="Verdana" w:cs="Arial"/>
          <w:bCs/>
          <w:color w:val="222222"/>
          <w:sz w:val="24"/>
          <w:szCs w:val="24"/>
          <w:lang w:eastAsia="es-CO"/>
        </w:rPr>
        <w:t xml:space="preserve">El CNMH desarrolló cuatro tipos de actividades de comunicación entre las cuales se encuentran: </w:t>
      </w:r>
      <w:r w:rsidRPr="00BC7F3F">
        <w:rPr>
          <w:rFonts w:ascii="Verdana" w:hAnsi="Verdana"/>
          <w:color w:val="000000"/>
          <w:sz w:val="24"/>
          <w:szCs w:val="24"/>
          <w:lang w:eastAsia="es-CO"/>
        </w:rPr>
        <w:t xml:space="preserve">actividades de difusión y socialización de los trabajos del CMH; conmemoraciones y eventos para la dignificación de las víctimas; creación de espacios de debate público en torno a las temáticas del CMH; y producción de piezas </w:t>
      </w:r>
      <w:r w:rsidRPr="00BC7F3F">
        <w:rPr>
          <w:rFonts w:ascii="Verdana" w:hAnsi="Verdana"/>
          <w:bCs/>
          <w:sz w:val="24"/>
          <w:szCs w:val="24"/>
        </w:rPr>
        <w:t xml:space="preserve">comunicativas en diferentes formatos (audiovisual, radial, impresos, multimedial, web, etc.). </w:t>
      </w:r>
      <w:r w:rsidRPr="00BC7F3F">
        <w:rPr>
          <w:rFonts w:ascii="Verdana" w:hAnsi="Verdana" w:cs="Arial"/>
          <w:bCs/>
          <w:color w:val="222222"/>
          <w:sz w:val="24"/>
          <w:szCs w:val="24"/>
          <w:lang w:eastAsia="es-CO"/>
        </w:rPr>
        <w:t xml:space="preserve">De esta manera se logró la implementación de una agenda conmemorativa y de eventos, entendidos como espacios para generar debate público en torno a la memoria histórica y para dignificar a las víctimas. </w:t>
      </w:r>
    </w:p>
    <w:p w:rsidR="00C310DF" w:rsidRPr="00BC7F3F" w:rsidRDefault="00C310DF" w:rsidP="00C310DF">
      <w:pPr>
        <w:shd w:val="clear" w:color="auto" w:fill="FFFFFF"/>
        <w:spacing w:after="0" w:line="240" w:lineRule="auto"/>
        <w:jc w:val="both"/>
        <w:rPr>
          <w:rFonts w:ascii="Verdana" w:hAnsi="Verdana"/>
          <w:bCs/>
          <w:sz w:val="24"/>
          <w:szCs w:val="24"/>
        </w:rPr>
      </w:pPr>
    </w:p>
    <w:p w:rsidR="00C310DF" w:rsidRPr="00E21452" w:rsidRDefault="00E21452" w:rsidP="00E21452">
      <w:pPr>
        <w:pStyle w:val="Subttulo"/>
        <w:numPr>
          <w:ilvl w:val="0"/>
          <w:numId w:val="60"/>
        </w:numPr>
        <w:outlineLvl w:val="1"/>
        <w:rPr>
          <w:rFonts w:ascii="Verdana" w:eastAsia="Arial" w:hAnsi="Verdana"/>
          <w:b/>
          <w:color w:val="4F81BD" w:themeColor="accent1"/>
          <w:sz w:val="24"/>
          <w:szCs w:val="24"/>
          <w:lang w:val="es-CO"/>
        </w:rPr>
      </w:pPr>
      <w:bookmarkStart w:id="109" w:name="_Toc411868582"/>
      <w:r w:rsidRPr="00E21452">
        <w:rPr>
          <w:rFonts w:ascii="Verdana" w:eastAsia="Arial" w:hAnsi="Verdana"/>
          <w:b/>
          <w:color w:val="4F81BD" w:themeColor="accent1"/>
          <w:sz w:val="24"/>
          <w:szCs w:val="24"/>
          <w:lang w:val="es-CO"/>
        </w:rPr>
        <w:t>MUSEO NACIONAL DE LA MEMORIA HISTÓRICA</w:t>
      </w:r>
      <w:bookmarkEnd w:id="109"/>
    </w:p>
    <w:p w:rsidR="00C310DF" w:rsidRPr="00BC7F3F" w:rsidRDefault="00C310DF" w:rsidP="00C310DF">
      <w:pPr>
        <w:spacing w:after="0" w:line="240" w:lineRule="auto"/>
        <w:contextualSpacing/>
        <w:jc w:val="both"/>
        <w:rPr>
          <w:rFonts w:ascii="Verdana" w:hAnsi="Verdana" w:cs="Arial"/>
          <w:sz w:val="24"/>
          <w:szCs w:val="24"/>
        </w:rPr>
      </w:pPr>
      <w:r w:rsidRPr="00BC7F3F">
        <w:rPr>
          <w:rFonts w:ascii="Verdana" w:hAnsi="Verdana" w:cs="Arial"/>
          <w:sz w:val="24"/>
          <w:szCs w:val="24"/>
        </w:rPr>
        <w:t xml:space="preserve">El proyecto formulado para el cumplimiento de esta tarea se denomina “Desarrollo proceso de diseño y consulta participativa para la construcción del Museo Nacional de la Memoria de Colombia”, código BPIN 2012011000174. En el proyecto se definieron las metas que se presentan a continuación y cuyos logros se registran en la siguiente tabla: </w:t>
      </w:r>
    </w:p>
    <w:p w:rsidR="00C310DF" w:rsidRPr="00BC7F3F" w:rsidRDefault="00C310DF" w:rsidP="00C310DF">
      <w:pPr>
        <w:pStyle w:val="Prrafodelista"/>
        <w:spacing w:after="0" w:line="240" w:lineRule="auto"/>
        <w:ind w:left="360"/>
        <w:jc w:val="both"/>
        <w:rPr>
          <w:rFonts w:ascii="Verdana" w:hAnsi="Verdana"/>
          <w:sz w:val="24"/>
          <w:szCs w:val="24"/>
        </w:rPr>
      </w:pPr>
    </w:p>
    <w:tbl>
      <w:tblPr>
        <w:tblStyle w:val="Tabladecuadrcula4-nfasis11"/>
        <w:tblW w:w="4876" w:type="pct"/>
        <w:jc w:val="center"/>
        <w:tblLook w:val="04A0"/>
      </w:tblPr>
      <w:tblGrid>
        <w:gridCol w:w="4885"/>
        <w:gridCol w:w="3339"/>
        <w:gridCol w:w="842"/>
        <w:gridCol w:w="922"/>
      </w:tblGrid>
      <w:tr w:rsidR="00C310DF" w:rsidRPr="00E21452" w:rsidTr="00E21452">
        <w:trPr>
          <w:cnfStyle w:val="100000000000"/>
          <w:tblHeader/>
          <w:jc w:val="center"/>
        </w:trPr>
        <w:tc>
          <w:tcPr>
            <w:cnfStyle w:val="001000000000"/>
            <w:tcW w:w="2507" w:type="pct"/>
          </w:tcPr>
          <w:p w:rsidR="00C310DF" w:rsidRPr="00E21452" w:rsidRDefault="00C310DF" w:rsidP="00C310DF">
            <w:pPr>
              <w:jc w:val="center"/>
              <w:rPr>
                <w:rFonts w:ascii="Verdana" w:hAnsi="Verdana" w:cs="Arial"/>
                <w:sz w:val="22"/>
                <w:szCs w:val="24"/>
                <w:lang w:val="es-CO"/>
              </w:rPr>
            </w:pPr>
            <w:r w:rsidRPr="00E21452">
              <w:rPr>
                <w:rFonts w:ascii="Verdana" w:hAnsi="Verdana" w:cs="Arial"/>
                <w:sz w:val="22"/>
                <w:szCs w:val="24"/>
                <w:lang w:val="es-CO"/>
              </w:rPr>
              <w:t>Producto</w:t>
            </w:r>
          </w:p>
        </w:tc>
        <w:tc>
          <w:tcPr>
            <w:tcW w:w="1734" w:type="pct"/>
          </w:tcPr>
          <w:p w:rsidR="00C310DF" w:rsidRPr="00E21452" w:rsidRDefault="00C310DF" w:rsidP="00C310DF">
            <w:pPr>
              <w:jc w:val="center"/>
              <w:cnfStyle w:val="100000000000"/>
              <w:rPr>
                <w:rFonts w:ascii="Verdana" w:hAnsi="Verdana" w:cs="Arial"/>
                <w:sz w:val="22"/>
                <w:szCs w:val="24"/>
                <w:lang w:val="es-CO"/>
              </w:rPr>
            </w:pPr>
            <w:r w:rsidRPr="00E21452">
              <w:rPr>
                <w:rFonts w:ascii="Verdana" w:hAnsi="Verdana" w:cs="Arial"/>
                <w:sz w:val="22"/>
                <w:szCs w:val="24"/>
                <w:lang w:val="es-CO"/>
              </w:rPr>
              <w:t>Indicador</w:t>
            </w:r>
          </w:p>
        </w:tc>
        <w:tc>
          <w:tcPr>
            <w:tcW w:w="378" w:type="pct"/>
          </w:tcPr>
          <w:p w:rsidR="00C310DF" w:rsidRPr="00E21452" w:rsidRDefault="00C310DF" w:rsidP="00C310DF">
            <w:pPr>
              <w:jc w:val="center"/>
              <w:cnfStyle w:val="100000000000"/>
              <w:rPr>
                <w:rFonts w:ascii="Verdana" w:hAnsi="Verdana" w:cs="Arial"/>
                <w:sz w:val="22"/>
                <w:szCs w:val="24"/>
                <w:lang w:val="es-CO"/>
              </w:rPr>
            </w:pPr>
            <w:r w:rsidRPr="00E21452">
              <w:rPr>
                <w:rFonts w:ascii="Verdana" w:hAnsi="Verdana" w:cs="Arial"/>
                <w:sz w:val="22"/>
                <w:szCs w:val="24"/>
                <w:lang w:val="es-CO"/>
              </w:rPr>
              <w:t>Meta 2014</w:t>
            </w:r>
          </w:p>
        </w:tc>
        <w:tc>
          <w:tcPr>
            <w:tcW w:w="380" w:type="pct"/>
          </w:tcPr>
          <w:p w:rsidR="00C310DF" w:rsidRPr="00E21452" w:rsidRDefault="00C310DF" w:rsidP="00C310DF">
            <w:pPr>
              <w:jc w:val="center"/>
              <w:cnfStyle w:val="100000000000"/>
              <w:rPr>
                <w:rFonts w:ascii="Verdana" w:hAnsi="Verdana" w:cs="Arial"/>
                <w:sz w:val="22"/>
                <w:szCs w:val="24"/>
                <w:lang w:val="es-CO"/>
              </w:rPr>
            </w:pPr>
            <w:r w:rsidRPr="00E21452">
              <w:rPr>
                <w:rFonts w:ascii="Verdana" w:hAnsi="Verdana" w:cs="Arial"/>
                <w:sz w:val="22"/>
                <w:szCs w:val="24"/>
                <w:lang w:val="es-CO"/>
              </w:rPr>
              <w:t>Logro 2014</w:t>
            </w:r>
          </w:p>
        </w:tc>
      </w:tr>
      <w:tr w:rsidR="00C310DF" w:rsidRPr="00E21452" w:rsidTr="00C310DF">
        <w:trPr>
          <w:cnfStyle w:val="000000100000"/>
          <w:jc w:val="center"/>
        </w:trPr>
        <w:tc>
          <w:tcPr>
            <w:cnfStyle w:val="001000000000"/>
            <w:tcW w:w="2507" w:type="pct"/>
            <w:vAlign w:val="center"/>
          </w:tcPr>
          <w:p w:rsidR="00C310DF" w:rsidRPr="00E21452" w:rsidRDefault="00C310DF" w:rsidP="00C310DF">
            <w:pPr>
              <w:rPr>
                <w:rFonts w:ascii="Verdana" w:hAnsi="Verdana" w:cs="Arial"/>
                <w:b w:val="0"/>
                <w:sz w:val="22"/>
                <w:szCs w:val="24"/>
                <w:lang w:val="es-CO"/>
              </w:rPr>
            </w:pPr>
            <w:r w:rsidRPr="00E21452">
              <w:rPr>
                <w:rFonts w:ascii="Verdana" w:hAnsi="Verdana" w:cs="Arial"/>
                <w:b w:val="0"/>
                <w:sz w:val="22"/>
                <w:szCs w:val="24"/>
                <w:lang w:val="es-CO"/>
              </w:rPr>
              <w:t>Procesos de iniciativas regionales y locales de memoria identificadas, caracterizadas y atendidas</w:t>
            </w:r>
          </w:p>
        </w:tc>
        <w:tc>
          <w:tcPr>
            <w:tcW w:w="1734" w:type="pct"/>
            <w:vAlign w:val="center"/>
          </w:tcPr>
          <w:p w:rsidR="00C310DF" w:rsidRPr="00E21452" w:rsidRDefault="00C310DF" w:rsidP="00C310DF">
            <w:pPr>
              <w:cnfStyle w:val="000000100000"/>
              <w:rPr>
                <w:rFonts w:ascii="Verdana" w:hAnsi="Verdana" w:cs="Arial"/>
                <w:sz w:val="22"/>
                <w:szCs w:val="24"/>
                <w:lang w:val="es-CO"/>
              </w:rPr>
            </w:pPr>
            <w:r w:rsidRPr="00E21452">
              <w:rPr>
                <w:rFonts w:ascii="Verdana" w:hAnsi="Verdana" w:cs="Arial"/>
                <w:sz w:val="22"/>
                <w:szCs w:val="24"/>
                <w:lang w:val="es-CO"/>
              </w:rPr>
              <w:t xml:space="preserve">Número de iniciativas de memoria identificadas, caracterizadas y atendidas </w:t>
            </w:r>
          </w:p>
        </w:tc>
        <w:tc>
          <w:tcPr>
            <w:tcW w:w="378" w:type="pct"/>
            <w:vAlign w:val="center"/>
          </w:tcPr>
          <w:p w:rsidR="00C310DF" w:rsidRPr="00E21452" w:rsidRDefault="00C310DF" w:rsidP="00C310DF">
            <w:pPr>
              <w:jc w:val="center"/>
              <w:cnfStyle w:val="000000100000"/>
              <w:rPr>
                <w:rFonts w:ascii="Verdana" w:hAnsi="Verdana" w:cs="Arial"/>
                <w:sz w:val="22"/>
                <w:szCs w:val="24"/>
                <w:lang w:val="es-CO"/>
              </w:rPr>
            </w:pPr>
            <w:r w:rsidRPr="00E21452">
              <w:rPr>
                <w:rFonts w:ascii="Verdana" w:hAnsi="Verdana" w:cs="Arial"/>
                <w:sz w:val="22"/>
                <w:szCs w:val="24"/>
                <w:lang w:val="es-CO"/>
              </w:rPr>
              <w:t>10</w:t>
            </w:r>
          </w:p>
        </w:tc>
        <w:tc>
          <w:tcPr>
            <w:tcW w:w="380" w:type="pct"/>
            <w:vAlign w:val="center"/>
          </w:tcPr>
          <w:p w:rsidR="00C310DF" w:rsidRPr="00E21452" w:rsidRDefault="00C310DF" w:rsidP="00C310DF">
            <w:pPr>
              <w:jc w:val="center"/>
              <w:cnfStyle w:val="000000100000"/>
              <w:rPr>
                <w:rFonts w:ascii="Verdana" w:hAnsi="Verdana" w:cs="Arial"/>
                <w:sz w:val="22"/>
                <w:szCs w:val="24"/>
                <w:lang w:val="es-CO"/>
              </w:rPr>
            </w:pPr>
            <w:r w:rsidRPr="00E21452">
              <w:rPr>
                <w:rFonts w:ascii="Verdana" w:hAnsi="Verdana" w:cs="Arial"/>
                <w:sz w:val="22"/>
                <w:szCs w:val="24"/>
                <w:lang w:val="es-CO"/>
              </w:rPr>
              <w:t>8</w:t>
            </w:r>
          </w:p>
        </w:tc>
      </w:tr>
      <w:tr w:rsidR="00C310DF" w:rsidRPr="00E21452" w:rsidTr="00C310DF">
        <w:trPr>
          <w:jc w:val="center"/>
        </w:trPr>
        <w:tc>
          <w:tcPr>
            <w:cnfStyle w:val="001000000000"/>
            <w:tcW w:w="2507" w:type="pct"/>
            <w:vAlign w:val="center"/>
          </w:tcPr>
          <w:p w:rsidR="00C310DF" w:rsidRPr="00E21452" w:rsidRDefault="00C310DF" w:rsidP="00C310DF">
            <w:pPr>
              <w:rPr>
                <w:rFonts w:ascii="Verdana" w:hAnsi="Verdana" w:cs="Arial"/>
                <w:b w:val="0"/>
                <w:sz w:val="22"/>
                <w:szCs w:val="24"/>
                <w:lang w:val="es-CO"/>
              </w:rPr>
            </w:pPr>
            <w:r w:rsidRPr="00E21452">
              <w:rPr>
                <w:rFonts w:ascii="Verdana" w:hAnsi="Verdana" w:cs="Arial"/>
                <w:b w:val="0"/>
                <w:sz w:val="22"/>
                <w:szCs w:val="24"/>
                <w:lang w:val="es-CO"/>
              </w:rPr>
              <w:t>Manual de contenidos conceptuales y pedagógicos para el diseño y construcción de la plataforma de iniciativas locales y regionales implementado y actualizado</w:t>
            </w:r>
          </w:p>
        </w:tc>
        <w:tc>
          <w:tcPr>
            <w:tcW w:w="1734" w:type="pct"/>
            <w:vAlign w:val="center"/>
          </w:tcPr>
          <w:p w:rsidR="00C310DF" w:rsidRPr="00E21452" w:rsidRDefault="00C310DF" w:rsidP="00C310DF">
            <w:pPr>
              <w:cnfStyle w:val="000000000000"/>
              <w:rPr>
                <w:rFonts w:ascii="Verdana" w:hAnsi="Verdana" w:cs="Arial"/>
                <w:sz w:val="22"/>
                <w:szCs w:val="24"/>
                <w:lang w:val="es-CO"/>
              </w:rPr>
            </w:pPr>
            <w:r w:rsidRPr="00E21452">
              <w:rPr>
                <w:rFonts w:ascii="Verdana" w:hAnsi="Verdana" w:cs="Arial"/>
                <w:sz w:val="22"/>
                <w:szCs w:val="24"/>
                <w:lang w:val="es-CO"/>
              </w:rPr>
              <w:t>Manual de contenidos conceptuales y pedagógicos implementado y actualizado</w:t>
            </w:r>
          </w:p>
        </w:tc>
        <w:tc>
          <w:tcPr>
            <w:tcW w:w="378" w:type="pct"/>
            <w:vAlign w:val="center"/>
          </w:tcPr>
          <w:p w:rsidR="00C310DF" w:rsidRPr="00E21452" w:rsidRDefault="00C310DF" w:rsidP="00C310DF">
            <w:pPr>
              <w:jc w:val="center"/>
              <w:cnfStyle w:val="000000000000"/>
              <w:rPr>
                <w:rFonts w:ascii="Verdana" w:hAnsi="Verdana" w:cs="Arial"/>
                <w:sz w:val="22"/>
                <w:szCs w:val="24"/>
                <w:lang w:val="es-CO"/>
              </w:rPr>
            </w:pPr>
            <w:r w:rsidRPr="00E21452">
              <w:rPr>
                <w:rFonts w:ascii="Verdana" w:hAnsi="Verdana" w:cs="Arial"/>
                <w:sz w:val="22"/>
                <w:szCs w:val="24"/>
                <w:lang w:val="es-CO"/>
              </w:rPr>
              <w:t>1</w:t>
            </w:r>
          </w:p>
        </w:tc>
        <w:tc>
          <w:tcPr>
            <w:tcW w:w="380" w:type="pct"/>
            <w:vAlign w:val="center"/>
          </w:tcPr>
          <w:p w:rsidR="00C310DF" w:rsidRPr="00E21452" w:rsidRDefault="00C310DF" w:rsidP="00C310DF">
            <w:pPr>
              <w:jc w:val="center"/>
              <w:cnfStyle w:val="000000000000"/>
              <w:rPr>
                <w:rFonts w:ascii="Verdana" w:hAnsi="Verdana" w:cs="Arial"/>
                <w:sz w:val="22"/>
                <w:szCs w:val="24"/>
                <w:lang w:val="es-CO"/>
              </w:rPr>
            </w:pPr>
            <w:r w:rsidRPr="00E21452">
              <w:rPr>
                <w:rFonts w:ascii="Verdana" w:hAnsi="Verdana" w:cs="Arial"/>
                <w:sz w:val="22"/>
                <w:szCs w:val="24"/>
                <w:lang w:val="es-CO"/>
              </w:rPr>
              <w:t>0</w:t>
            </w:r>
          </w:p>
        </w:tc>
      </w:tr>
      <w:tr w:rsidR="00C310DF" w:rsidRPr="00E21452" w:rsidTr="00C310DF">
        <w:trPr>
          <w:cnfStyle w:val="000000100000"/>
          <w:jc w:val="center"/>
        </w:trPr>
        <w:tc>
          <w:tcPr>
            <w:cnfStyle w:val="001000000000"/>
            <w:tcW w:w="2507" w:type="pct"/>
            <w:vAlign w:val="center"/>
          </w:tcPr>
          <w:p w:rsidR="00C310DF" w:rsidRPr="00E21452" w:rsidRDefault="00C310DF" w:rsidP="00C310DF">
            <w:pPr>
              <w:rPr>
                <w:rFonts w:ascii="Verdana" w:hAnsi="Verdana" w:cs="Arial"/>
                <w:b w:val="0"/>
                <w:sz w:val="22"/>
                <w:szCs w:val="24"/>
                <w:lang w:val="es-CO"/>
              </w:rPr>
            </w:pPr>
            <w:r w:rsidRPr="00E21452">
              <w:rPr>
                <w:rFonts w:ascii="Verdana" w:hAnsi="Verdana" w:cs="Arial"/>
                <w:b w:val="0"/>
                <w:sz w:val="22"/>
                <w:szCs w:val="24"/>
                <w:lang w:val="es-CO"/>
              </w:rPr>
              <w:t>Estrategia de comunicación y opinión pública para el Museo Nacional de la Memoria actualizada</w:t>
            </w:r>
          </w:p>
        </w:tc>
        <w:tc>
          <w:tcPr>
            <w:tcW w:w="1734" w:type="pct"/>
            <w:vAlign w:val="center"/>
          </w:tcPr>
          <w:p w:rsidR="00C310DF" w:rsidRPr="00E21452" w:rsidRDefault="00C310DF" w:rsidP="00C310DF">
            <w:pPr>
              <w:cnfStyle w:val="000000100000"/>
              <w:rPr>
                <w:rFonts w:ascii="Verdana" w:hAnsi="Verdana" w:cs="Arial"/>
                <w:sz w:val="22"/>
                <w:szCs w:val="24"/>
                <w:lang w:val="es-CO"/>
              </w:rPr>
            </w:pPr>
            <w:r w:rsidRPr="00E21452">
              <w:rPr>
                <w:rFonts w:ascii="Verdana" w:hAnsi="Verdana" w:cs="Arial"/>
                <w:sz w:val="22"/>
                <w:szCs w:val="24"/>
                <w:lang w:val="es-CO"/>
              </w:rPr>
              <w:t>Estrategia de comunicación y opinión pública para el Museo Nacional de la Memoria actualizada</w:t>
            </w:r>
          </w:p>
        </w:tc>
        <w:tc>
          <w:tcPr>
            <w:tcW w:w="378" w:type="pct"/>
            <w:vAlign w:val="center"/>
          </w:tcPr>
          <w:p w:rsidR="00C310DF" w:rsidRPr="00E21452" w:rsidRDefault="00C310DF" w:rsidP="00C310DF">
            <w:pPr>
              <w:jc w:val="center"/>
              <w:cnfStyle w:val="000000100000"/>
              <w:rPr>
                <w:rFonts w:ascii="Verdana" w:hAnsi="Verdana" w:cs="Arial"/>
                <w:sz w:val="22"/>
                <w:szCs w:val="24"/>
                <w:lang w:val="es-CO"/>
              </w:rPr>
            </w:pPr>
            <w:r w:rsidRPr="00E21452">
              <w:rPr>
                <w:rFonts w:ascii="Verdana" w:hAnsi="Verdana" w:cs="Arial"/>
                <w:sz w:val="22"/>
                <w:szCs w:val="24"/>
                <w:lang w:val="es-CO"/>
              </w:rPr>
              <w:t>1</w:t>
            </w:r>
          </w:p>
        </w:tc>
        <w:tc>
          <w:tcPr>
            <w:tcW w:w="380" w:type="pct"/>
            <w:vAlign w:val="center"/>
          </w:tcPr>
          <w:p w:rsidR="00C310DF" w:rsidRPr="00E21452" w:rsidRDefault="00C310DF" w:rsidP="00C310DF">
            <w:pPr>
              <w:jc w:val="center"/>
              <w:cnfStyle w:val="000000100000"/>
              <w:rPr>
                <w:rFonts w:ascii="Verdana" w:hAnsi="Verdana" w:cs="Arial"/>
                <w:sz w:val="22"/>
                <w:szCs w:val="24"/>
                <w:lang w:val="es-CO"/>
              </w:rPr>
            </w:pPr>
            <w:r w:rsidRPr="00E21452">
              <w:rPr>
                <w:rFonts w:ascii="Verdana" w:hAnsi="Verdana" w:cs="Arial"/>
                <w:sz w:val="22"/>
                <w:szCs w:val="24"/>
                <w:lang w:val="es-CO"/>
              </w:rPr>
              <w:t>1</w:t>
            </w:r>
          </w:p>
        </w:tc>
      </w:tr>
      <w:tr w:rsidR="00C310DF" w:rsidRPr="00E21452" w:rsidTr="00C310DF">
        <w:trPr>
          <w:jc w:val="center"/>
        </w:trPr>
        <w:tc>
          <w:tcPr>
            <w:cnfStyle w:val="001000000000"/>
            <w:tcW w:w="2507" w:type="pct"/>
            <w:vAlign w:val="center"/>
          </w:tcPr>
          <w:p w:rsidR="00C310DF" w:rsidRPr="00E21452" w:rsidRDefault="00C310DF" w:rsidP="00C310DF">
            <w:pPr>
              <w:rPr>
                <w:rFonts w:ascii="Verdana" w:hAnsi="Verdana" w:cs="Arial"/>
                <w:b w:val="0"/>
                <w:sz w:val="22"/>
                <w:szCs w:val="24"/>
                <w:lang w:val="es-CO"/>
              </w:rPr>
            </w:pPr>
            <w:r w:rsidRPr="00E21452">
              <w:rPr>
                <w:rFonts w:ascii="Verdana" w:hAnsi="Verdana" w:cs="Arial"/>
                <w:b w:val="0"/>
                <w:sz w:val="22"/>
                <w:szCs w:val="24"/>
                <w:lang w:val="es-CO"/>
              </w:rPr>
              <w:t>Acompañamiento y asesoría a reparaciones colectivas y a sentencias ligadas a actividades museísticas o que contribuyen a construcción participativa mm atendidos</w:t>
            </w:r>
          </w:p>
        </w:tc>
        <w:tc>
          <w:tcPr>
            <w:tcW w:w="1734" w:type="pct"/>
            <w:vAlign w:val="center"/>
          </w:tcPr>
          <w:p w:rsidR="00C310DF" w:rsidRPr="00E21452" w:rsidRDefault="00C310DF" w:rsidP="00C310DF">
            <w:pPr>
              <w:cnfStyle w:val="000000000000"/>
              <w:rPr>
                <w:rFonts w:ascii="Verdana" w:hAnsi="Verdana" w:cs="Arial"/>
                <w:sz w:val="22"/>
                <w:szCs w:val="24"/>
                <w:lang w:val="es-CO"/>
              </w:rPr>
            </w:pPr>
            <w:r w:rsidRPr="00E21452">
              <w:rPr>
                <w:rFonts w:ascii="Verdana" w:hAnsi="Verdana" w:cs="Arial"/>
                <w:sz w:val="22"/>
                <w:szCs w:val="24"/>
                <w:lang w:val="es-CO"/>
              </w:rPr>
              <w:t xml:space="preserve">% de avance en el acompañamiento y asesoría a reparaciones colectivas y a sentencias </w:t>
            </w:r>
          </w:p>
        </w:tc>
        <w:tc>
          <w:tcPr>
            <w:tcW w:w="378" w:type="pct"/>
            <w:vAlign w:val="center"/>
          </w:tcPr>
          <w:p w:rsidR="00C310DF" w:rsidRPr="00E21452" w:rsidRDefault="00C310DF" w:rsidP="00C310DF">
            <w:pPr>
              <w:jc w:val="center"/>
              <w:cnfStyle w:val="000000000000"/>
              <w:rPr>
                <w:rFonts w:ascii="Verdana" w:hAnsi="Verdana" w:cs="Arial"/>
                <w:sz w:val="22"/>
                <w:szCs w:val="24"/>
                <w:lang w:val="es-CO"/>
              </w:rPr>
            </w:pPr>
            <w:r w:rsidRPr="00E21452">
              <w:rPr>
                <w:rFonts w:ascii="Verdana" w:hAnsi="Verdana" w:cs="Arial"/>
                <w:sz w:val="22"/>
                <w:szCs w:val="24"/>
                <w:lang w:val="es-CO"/>
              </w:rPr>
              <w:t>100</w:t>
            </w:r>
          </w:p>
        </w:tc>
        <w:tc>
          <w:tcPr>
            <w:tcW w:w="380" w:type="pct"/>
            <w:vAlign w:val="center"/>
          </w:tcPr>
          <w:p w:rsidR="00C310DF" w:rsidRPr="00E21452" w:rsidRDefault="00C310DF" w:rsidP="00C310DF">
            <w:pPr>
              <w:jc w:val="center"/>
              <w:cnfStyle w:val="000000000000"/>
              <w:rPr>
                <w:rFonts w:ascii="Verdana" w:hAnsi="Verdana" w:cs="Arial"/>
                <w:sz w:val="22"/>
                <w:szCs w:val="24"/>
                <w:lang w:val="es-CO"/>
              </w:rPr>
            </w:pPr>
            <w:r w:rsidRPr="00E21452">
              <w:rPr>
                <w:rFonts w:ascii="Verdana" w:hAnsi="Verdana" w:cs="Arial"/>
                <w:sz w:val="22"/>
                <w:szCs w:val="24"/>
                <w:lang w:val="es-CO"/>
              </w:rPr>
              <w:t>100</w:t>
            </w:r>
          </w:p>
        </w:tc>
      </w:tr>
      <w:tr w:rsidR="00C310DF" w:rsidRPr="00E21452" w:rsidTr="00C310DF">
        <w:trPr>
          <w:cnfStyle w:val="000000100000"/>
          <w:jc w:val="center"/>
        </w:trPr>
        <w:tc>
          <w:tcPr>
            <w:cnfStyle w:val="001000000000"/>
            <w:tcW w:w="2507" w:type="pct"/>
            <w:vAlign w:val="center"/>
          </w:tcPr>
          <w:p w:rsidR="00C310DF" w:rsidRPr="00E21452" w:rsidRDefault="00C310DF" w:rsidP="00C310DF">
            <w:pPr>
              <w:rPr>
                <w:rFonts w:ascii="Verdana" w:hAnsi="Verdana" w:cs="Arial"/>
                <w:b w:val="0"/>
                <w:sz w:val="22"/>
                <w:szCs w:val="24"/>
                <w:lang w:val="es-CO"/>
              </w:rPr>
            </w:pPr>
            <w:r w:rsidRPr="00E21452">
              <w:rPr>
                <w:rFonts w:ascii="Verdana" w:hAnsi="Verdana" w:cs="Arial"/>
                <w:b w:val="0"/>
                <w:sz w:val="22"/>
                <w:szCs w:val="24"/>
                <w:lang w:val="es-CO"/>
              </w:rPr>
              <w:lastRenderedPageBreak/>
              <w:t>Sede del Museo Nacional de la Memoria en funcionamiento construida</w:t>
            </w:r>
          </w:p>
        </w:tc>
        <w:tc>
          <w:tcPr>
            <w:tcW w:w="1734" w:type="pct"/>
            <w:vAlign w:val="center"/>
          </w:tcPr>
          <w:p w:rsidR="00C310DF" w:rsidRPr="00E21452" w:rsidRDefault="00C310DF" w:rsidP="00C310DF">
            <w:pPr>
              <w:cnfStyle w:val="000000100000"/>
              <w:rPr>
                <w:rFonts w:ascii="Verdana" w:hAnsi="Verdana" w:cs="Arial"/>
                <w:sz w:val="22"/>
                <w:szCs w:val="24"/>
                <w:lang w:val="es-CO"/>
              </w:rPr>
            </w:pPr>
            <w:r w:rsidRPr="00E21452">
              <w:rPr>
                <w:rFonts w:ascii="Verdana" w:hAnsi="Verdana" w:cs="Arial"/>
                <w:sz w:val="22"/>
                <w:szCs w:val="24"/>
                <w:lang w:val="es-CO"/>
              </w:rPr>
              <w:t>% de avance de la sede del Museo Nacional de la Memoria en funcionamiento construida</w:t>
            </w:r>
          </w:p>
        </w:tc>
        <w:tc>
          <w:tcPr>
            <w:tcW w:w="378" w:type="pct"/>
            <w:vAlign w:val="center"/>
          </w:tcPr>
          <w:p w:rsidR="00C310DF" w:rsidRPr="00E21452" w:rsidRDefault="00C310DF" w:rsidP="00C310DF">
            <w:pPr>
              <w:jc w:val="center"/>
              <w:cnfStyle w:val="000000100000"/>
              <w:rPr>
                <w:rFonts w:ascii="Verdana" w:hAnsi="Verdana" w:cs="Arial"/>
                <w:sz w:val="22"/>
                <w:szCs w:val="24"/>
                <w:lang w:val="es-CO"/>
              </w:rPr>
            </w:pPr>
            <w:r w:rsidRPr="00E21452">
              <w:rPr>
                <w:rFonts w:ascii="Verdana" w:hAnsi="Verdana" w:cs="Arial"/>
                <w:sz w:val="22"/>
                <w:szCs w:val="24"/>
                <w:lang w:val="es-CO"/>
              </w:rPr>
              <w:t>10</w:t>
            </w:r>
          </w:p>
        </w:tc>
        <w:tc>
          <w:tcPr>
            <w:tcW w:w="380" w:type="pct"/>
            <w:vAlign w:val="center"/>
          </w:tcPr>
          <w:p w:rsidR="00C310DF" w:rsidRPr="00E21452" w:rsidRDefault="00C310DF" w:rsidP="00C310DF">
            <w:pPr>
              <w:jc w:val="center"/>
              <w:cnfStyle w:val="000000100000"/>
              <w:rPr>
                <w:rFonts w:ascii="Verdana" w:hAnsi="Verdana" w:cs="Arial"/>
                <w:sz w:val="22"/>
                <w:szCs w:val="24"/>
                <w:lang w:val="es-CO"/>
              </w:rPr>
            </w:pPr>
            <w:r w:rsidRPr="00E21452">
              <w:rPr>
                <w:rFonts w:ascii="Verdana" w:hAnsi="Verdana" w:cs="Arial"/>
                <w:sz w:val="22"/>
                <w:szCs w:val="24"/>
                <w:lang w:val="es-CO"/>
              </w:rPr>
              <w:t>1,2</w:t>
            </w:r>
          </w:p>
        </w:tc>
      </w:tr>
    </w:tbl>
    <w:p w:rsidR="00C310DF" w:rsidRPr="00BC7F3F" w:rsidRDefault="00C310DF" w:rsidP="00C310DF">
      <w:pPr>
        <w:spacing w:after="0" w:line="240" w:lineRule="auto"/>
        <w:jc w:val="center"/>
        <w:rPr>
          <w:rFonts w:ascii="Verdana" w:hAnsi="Verdana"/>
          <w:sz w:val="24"/>
          <w:szCs w:val="24"/>
        </w:rPr>
      </w:pPr>
      <w:r w:rsidRPr="00BC7F3F">
        <w:rPr>
          <w:rFonts w:ascii="Verdana" w:hAnsi="Verdana"/>
          <w:sz w:val="24"/>
          <w:szCs w:val="24"/>
        </w:rPr>
        <w:t>Fuente: Sistema de Seguimiento a Proyectos de Inversión SPI. Fecha de consulta: febrero 26 de 2015</w:t>
      </w:r>
    </w:p>
    <w:p w:rsidR="00C310DF" w:rsidRPr="00BC7F3F" w:rsidRDefault="00C310DF" w:rsidP="00C310DF">
      <w:pPr>
        <w:spacing w:after="0" w:line="240" w:lineRule="auto"/>
        <w:contextualSpacing/>
        <w:jc w:val="both"/>
        <w:rPr>
          <w:rFonts w:ascii="Verdana" w:hAnsi="Verdana"/>
          <w:sz w:val="24"/>
          <w:szCs w:val="24"/>
        </w:rPr>
      </w:pPr>
    </w:p>
    <w:p w:rsidR="00C310DF" w:rsidRPr="00BC7F3F" w:rsidRDefault="00C310DF" w:rsidP="00C310DF">
      <w:pPr>
        <w:pStyle w:val="Prrafodelista"/>
        <w:spacing w:after="0" w:line="240" w:lineRule="auto"/>
        <w:ind w:left="0"/>
        <w:jc w:val="both"/>
        <w:rPr>
          <w:rFonts w:ascii="Verdana" w:hAnsi="Verdana" w:cs="Arial"/>
          <w:sz w:val="24"/>
          <w:szCs w:val="24"/>
          <w:lang w:val="es-MX"/>
        </w:rPr>
      </w:pPr>
      <w:r w:rsidRPr="00BC7F3F">
        <w:rPr>
          <w:rFonts w:ascii="Verdana" w:hAnsi="Verdana" w:cs="Arial"/>
          <w:b/>
          <w:sz w:val="24"/>
          <w:szCs w:val="24"/>
          <w:lang w:val="es-MX"/>
        </w:rPr>
        <w:t xml:space="preserve">Objetivo 1: </w:t>
      </w:r>
      <w:r w:rsidRPr="00BC7F3F">
        <w:rPr>
          <w:rFonts w:ascii="Verdana" w:hAnsi="Verdana" w:cs="Arial"/>
          <w:sz w:val="24"/>
          <w:szCs w:val="24"/>
          <w:lang w:val="es-MX"/>
        </w:rPr>
        <w:t>Contar con una red de iniciativas locales y regionales de lugares y espacios de memoria que permita la participación y el trabajo colaborativo como base del Museo Nacional de la Memoria.</w:t>
      </w:r>
    </w:p>
    <w:p w:rsidR="00C310DF" w:rsidRPr="00BC7F3F" w:rsidRDefault="00C310DF" w:rsidP="00C310DF">
      <w:pPr>
        <w:spacing w:after="0" w:line="240" w:lineRule="auto"/>
        <w:contextualSpacing/>
        <w:jc w:val="both"/>
        <w:rPr>
          <w:rFonts w:ascii="Verdana" w:hAnsi="Verdana"/>
          <w:sz w:val="24"/>
          <w:szCs w:val="24"/>
        </w:rPr>
      </w:pPr>
    </w:p>
    <w:p w:rsidR="00C310DF" w:rsidRPr="00BC7F3F" w:rsidRDefault="00C310DF" w:rsidP="00C310DF">
      <w:pPr>
        <w:spacing w:after="0" w:line="240" w:lineRule="auto"/>
        <w:contextualSpacing/>
        <w:jc w:val="both"/>
        <w:rPr>
          <w:rFonts w:ascii="Verdana" w:hAnsi="Verdana"/>
          <w:sz w:val="24"/>
          <w:szCs w:val="24"/>
        </w:rPr>
      </w:pPr>
      <w:r w:rsidRPr="00BC7F3F">
        <w:rPr>
          <w:rFonts w:ascii="Verdana" w:hAnsi="Verdana"/>
          <w:sz w:val="24"/>
          <w:szCs w:val="24"/>
        </w:rPr>
        <w:t xml:space="preserve">Las iniciativas artísticas de memoria histórica, las cuales comprenden dinamizaciones de la memoria expresadas a través de prácticas artísticas, trabajan temáticamente en torno a temas de reconstrucción de memoria sobre afectaciones del conflicto armado, están ligadas a las expresiones culturales de cada región o a prácticas artísticas apropiadas por las comunidades, en este caso específico se trata de iniciativas de carácter escénico. </w:t>
      </w:r>
    </w:p>
    <w:p w:rsidR="00C310DF" w:rsidRPr="00BC7F3F" w:rsidRDefault="00C310DF" w:rsidP="00C310DF">
      <w:pPr>
        <w:spacing w:after="0" w:line="240" w:lineRule="auto"/>
        <w:contextualSpacing/>
        <w:jc w:val="both"/>
        <w:rPr>
          <w:rFonts w:ascii="Verdana" w:hAnsi="Verdana"/>
          <w:sz w:val="24"/>
          <w:szCs w:val="24"/>
        </w:rPr>
      </w:pPr>
    </w:p>
    <w:p w:rsidR="00C310DF" w:rsidRPr="00BC7F3F" w:rsidRDefault="00C310DF" w:rsidP="00C310DF">
      <w:pPr>
        <w:spacing w:after="0" w:line="240" w:lineRule="auto"/>
        <w:contextualSpacing/>
        <w:jc w:val="both"/>
        <w:rPr>
          <w:rFonts w:ascii="Verdana" w:hAnsi="Verdana"/>
          <w:sz w:val="24"/>
          <w:szCs w:val="24"/>
        </w:rPr>
      </w:pPr>
      <w:r w:rsidRPr="00BC7F3F">
        <w:rPr>
          <w:rFonts w:ascii="Verdana" w:hAnsi="Verdana"/>
          <w:sz w:val="24"/>
          <w:szCs w:val="24"/>
        </w:rPr>
        <w:t>Dichas iniciativas comprenden sentidos elaboración del duelo, de denuncia, resistencia pacífica y generan procesos para la reparación y la reconstrucción del tejido social. En un contexto de violencia las prácticas artísticas se convierten en un canal de expresión que genera dinámicas que trascienden barreras de tiempo y espacio construyendo puentes entre diferentes generaciones y sectores de la sociedad plasmando desde el arte y la difusión de la memoria una manera profunda de inmortalizar el dolor vivido proponiendo sentidos de futuro.</w:t>
      </w:r>
    </w:p>
    <w:p w:rsidR="00C310DF" w:rsidRPr="00BC7F3F" w:rsidRDefault="00C310DF" w:rsidP="00C310DF">
      <w:pPr>
        <w:spacing w:after="0" w:line="240" w:lineRule="auto"/>
        <w:contextualSpacing/>
        <w:jc w:val="both"/>
        <w:rPr>
          <w:rFonts w:ascii="Verdana" w:hAnsi="Verdana"/>
          <w:sz w:val="24"/>
          <w:szCs w:val="24"/>
        </w:rPr>
      </w:pPr>
    </w:p>
    <w:p w:rsidR="00C310DF" w:rsidRPr="00BC7F3F" w:rsidRDefault="00C310DF" w:rsidP="00C310DF">
      <w:pPr>
        <w:spacing w:after="0" w:line="240" w:lineRule="auto"/>
        <w:contextualSpacing/>
        <w:jc w:val="both"/>
        <w:rPr>
          <w:rFonts w:ascii="Verdana" w:hAnsi="Verdana"/>
          <w:sz w:val="24"/>
          <w:szCs w:val="24"/>
        </w:rPr>
      </w:pPr>
      <w:r w:rsidRPr="00BC7F3F">
        <w:rPr>
          <w:rFonts w:ascii="Verdana" w:hAnsi="Verdana"/>
          <w:sz w:val="24"/>
          <w:szCs w:val="24"/>
        </w:rPr>
        <w:t>Como parte de la conformación de la red de iniciativas locales, se realizó el acompañamiento y seguimiento a las iniciativas de memoria en Buenaventura, Hato Nuevo (Guajira) y San Juan de Nepomucemo (Bolivar).</w:t>
      </w:r>
    </w:p>
    <w:p w:rsidR="00C310DF" w:rsidRPr="00BC7F3F" w:rsidRDefault="00C310DF" w:rsidP="00C310DF">
      <w:pPr>
        <w:spacing w:after="0" w:line="240" w:lineRule="auto"/>
        <w:contextualSpacing/>
        <w:jc w:val="both"/>
        <w:rPr>
          <w:rFonts w:ascii="Verdana" w:hAnsi="Verdana"/>
          <w:sz w:val="24"/>
          <w:szCs w:val="24"/>
        </w:rPr>
      </w:pPr>
    </w:p>
    <w:p w:rsidR="00C310DF" w:rsidRPr="00BC7F3F" w:rsidRDefault="00C310DF" w:rsidP="00C310DF">
      <w:pPr>
        <w:spacing w:after="0" w:line="240" w:lineRule="auto"/>
        <w:contextualSpacing/>
        <w:jc w:val="both"/>
        <w:rPr>
          <w:rFonts w:ascii="Verdana" w:hAnsi="Verdana"/>
          <w:sz w:val="24"/>
          <w:szCs w:val="24"/>
        </w:rPr>
      </w:pPr>
      <w:r w:rsidRPr="00BC7F3F">
        <w:rPr>
          <w:rFonts w:ascii="Verdana" w:hAnsi="Verdana"/>
          <w:sz w:val="24"/>
          <w:szCs w:val="24"/>
        </w:rPr>
        <w:t xml:space="preserve">El proyecto Impreso en la Memoria tiene como objetivo fortalecer procesos colectivos de reconstrucción de memoria histórica a través de las prácticas artísticas y culturales en los municipios de Las Brisas (Bolívar) y Tabaco (Guajira), que por su desarrollo previo, ubicación, población involucrada y contexto de acción, constituyen o tienen el potencial para ser referentes y multiplicadores regionales en temas de memoria y articulan acciones estratégicas con el mandato </w:t>
      </w:r>
      <w:r w:rsidRPr="00BC7F3F">
        <w:rPr>
          <w:rFonts w:ascii="Verdana" w:hAnsi="Verdana"/>
          <w:sz w:val="24"/>
          <w:szCs w:val="24"/>
        </w:rPr>
        <w:lastRenderedPageBreak/>
        <w:t>del CNMH, en el marco de la reparación integral a las víctimas, la dignificación y la contribución a la verdad histórica y a la no repetición.</w:t>
      </w:r>
    </w:p>
    <w:p w:rsidR="00C310DF" w:rsidRPr="00BC7F3F" w:rsidRDefault="00C310DF" w:rsidP="00C310DF">
      <w:pPr>
        <w:spacing w:after="0" w:line="240" w:lineRule="auto"/>
        <w:contextualSpacing/>
        <w:jc w:val="both"/>
        <w:rPr>
          <w:rFonts w:ascii="Verdana" w:hAnsi="Verdana"/>
          <w:sz w:val="24"/>
          <w:szCs w:val="24"/>
        </w:rPr>
      </w:pPr>
    </w:p>
    <w:p w:rsidR="00C310DF" w:rsidRPr="00BC7F3F" w:rsidRDefault="00C310DF" w:rsidP="00C310DF">
      <w:pPr>
        <w:spacing w:after="0" w:line="240" w:lineRule="auto"/>
        <w:contextualSpacing/>
        <w:jc w:val="both"/>
        <w:rPr>
          <w:rFonts w:ascii="Verdana" w:hAnsi="Verdana"/>
          <w:sz w:val="24"/>
          <w:szCs w:val="24"/>
        </w:rPr>
      </w:pPr>
      <w:r w:rsidRPr="00BC7F3F">
        <w:rPr>
          <w:rFonts w:ascii="Verdana" w:hAnsi="Verdana"/>
          <w:sz w:val="24"/>
          <w:szCs w:val="24"/>
        </w:rPr>
        <w:t xml:space="preserve">También se apoyó la creación de una acción artística de carácter escénico como fortalecimiento de la apropiación social del informe de caso emblemático de Buenaventura. </w:t>
      </w:r>
    </w:p>
    <w:p w:rsidR="00C310DF" w:rsidRPr="00BC7F3F" w:rsidRDefault="00C310DF" w:rsidP="00C310DF">
      <w:pPr>
        <w:spacing w:after="0" w:line="240" w:lineRule="auto"/>
        <w:contextualSpacing/>
        <w:jc w:val="both"/>
        <w:rPr>
          <w:rFonts w:ascii="Verdana" w:hAnsi="Verdana"/>
          <w:sz w:val="24"/>
          <w:szCs w:val="24"/>
        </w:rPr>
      </w:pPr>
    </w:p>
    <w:p w:rsidR="00C310DF" w:rsidRPr="00BC7F3F" w:rsidRDefault="00C310DF" w:rsidP="00C310DF">
      <w:pPr>
        <w:spacing w:after="0" w:line="240" w:lineRule="auto"/>
        <w:contextualSpacing/>
        <w:jc w:val="both"/>
        <w:rPr>
          <w:rFonts w:ascii="Verdana" w:hAnsi="Verdana"/>
          <w:sz w:val="24"/>
          <w:szCs w:val="24"/>
        </w:rPr>
      </w:pPr>
      <w:r w:rsidRPr="00BC7F3F">
        <w:rPr>
          <w:rFonts w:ascii="Verdana" w:hAnsi="Verdana"/>
          <w:sz w:val="24"/>
          <w:szCs w:val="24"/>
        </w:rPr>
        <w:t>El proyecto Memoria en Escena está planteado para fortalecer procesos e iniciativas de memoria histórica que realizan su trabajo por medio de lenguajes escénicos (teatro, danza, performance) con incidencia a nivel regional, por medio de la realización de una residencia artística de formación teatral y la realización de un montaje teatral, enlazando una agrupación teatral de alta trayectoria nacional que pueda desarrollar una propuesta formativa que contemple, potencie y profundice con  herramientas teóricas y prácticas los intereses propios de las dinámicas regionales de los grupos, colectivos, organizaciones en perspectiva de memoria histórica y reparación simbólica.</w:t>
      </w:r>
    </w:p>
    <w:p w:rsidR="00C310DF" w:rsidRPr="00BC7F3F" w:rsidRDefault="00C310DF" w:rsidP="00C310DF">
      <w:pPr>
        <w:spacing w:after="0" w:line="240" w:lineRule="auto"/>
        <w:contextualSpacing/>
        <w:jc w:val="both"/>
        <w:rPr>
          <w:rFonts w:ascii="Verdana" w:hAnsi="Verdana"/>
          <w:sz w:val="24"/>
          <w:szCs w:val="24"/>
        </w:rPr>
      </w:pPr>
    </w:p>
    <w:p w:rsidR="00C310DF" w:rsidRPr="00BC7F3F" w:rsidRDefault="00C310DF" w:rsidP="00C310DF">
      <w:pPr>
        <w:spacing w:after="0" w:line="240" w:lineRule="auto"/>
        <w:ind w:left="34"/>
        <w:contextualSpacing/>
        <w:jc w:val="both"/>
        <w:rPr>
          <w:rFonts w:ascii="Verdana" w:hAnsi="Verdana"/>
          <w:sz w:val="24"/>
          <w:szCs w:val="24"/>
        </w:rPr>
      </w:pPr>
      <w:r w:rsidRPr="00BC7F3F">
        <w:rPr>
          <w:rFonts w:ascii="Verdana" w:hAnsi="Verdana"/>
          <w:sz w:val="24"/>
          <w:szCs w:val="24"/>
        </w:rPr>
        <w:t xml:space="preserve">Las solicitudes de acompañamiento, asesoramiento, en la creación, implementación y apropiación social de lugares de Memoria,  vienen de tres vías diferentes: Solicitudes de organizaciones sociales o entes territoriales, requerimientos judiciales, y planes de reparación colectiva. En este orden de ideas, se puede destacar el proceso de acompañamiento en la  Construcción física y/o  social de  lugares  de memoria, por la primera vía, esto es,  las solicitudes de organizaciones sociales o entes territoriales,  en diferentes zonas del país, a continuación una recopilación que define los resultados obtenidos y las etapas en las que se encuentra el proceso mencionado: </w:t>
      </w:r>
    </w:p>
    <w:p w:rsidR="00C310DF" w:rsidRPr="00BC7F3F" w:rsidRDefault="00C310DF" w:rsidP="00C310DF">
      <w:pPr>
        <w:spacing w:after="0" w:line="240" w:lineRule="auto"/>
        <w:contextualSpacing/>
        <w:jc w:val="both"/>
        <w:rPr>
          <w:rFonts w:ascii="Verdana" w:hAnsi="Verdana"/>
          <w:sz w:val="24"/>
          <w:szCs w:val="24"/>
        </w:rPr>
      </w:pPr>
    </w:p>
    <w:tbl>
      <w:tblPr>
        <w:tblStyle w:val="Tabladecuadrcula4-nfasis11"/>
        <w:tblW w:w="5000" w:type="pct"/>
        <w:jc w:val="center"/>
        <w:tblLayout w:type="fixed"/>
        <w:tblLook w:val="04A0"/>
      </w:tblPr>
      <w:tblGrid>
        <w:gridCol w:w="1667"/>
        <w:gridCol w:w="2270"/>
        <w:gridCol w:w="6305"/>
      </w:tblGrid>
      <w:tr w:rsidR="00C310DF" w:rsidRPr="00E21452" w:rsidTr="00E21452">
        <w:trPr>
          <w:cnfStyle w:val="100000000000"/>
          <w:trHeight w:val="181"/>
          <w:tblHeader/>
          <w:jc w:val="center"/>
        </w:trPr>
        <w:tc>
          <w:tcPr>
            <w:cnfStyle w:val="001000000000"/>
            <w:tcW w:w="814" w:type="pct"/>
            <w:vAlign w:val="center"/>
            <w:hideMark/>
          </w:tcPr>
          <w:p w:rsidR="00C310DF" w:rsidRPr="00E21452" w:rsidRDefault="00C310DF" w:rsidP="00C310DF">
            <w:pPr>
              <w:jc w:val="center"/>
              <w:rPr>
                <w:rFonts w:ascii="Verdana" w:hAnsi="Verdana"/>
                <w:b w:val="0"/>
                <w:bCs w:val="0"/>
                <w:sz w:val="22"/>
                <w:szCs w:val="22"/>
                <w:lang w:val="es-CO"/>
              </w:rPr>
            </w:pPr>
            <w:r w:rsidRPr="00E21452">
              <w:rPr>
                <w:rFonts w:ascii="Verdana" w:hAnsi="Verdana"/>
                <w:b w:val="0"/>
                <w:sz w:val="22"/>
                <w:szCs w:val="22"/>
              </w:rPr>
              <w:t>NOMBRE DEL PROCESO</w:t>
            </w:r>
          </w:p>
        </w:tc>
        <w:tc>
          <w:tcPr>
            <w:tcW w:w="1108" w:type="pct"/>
            <w:vAlign w:val="center"/>
            <w:hideMark/>
          </w:tcPr>
          <w:p w:rsidR="00C310DF" w:rsidRPr="00E21452" w:rsidRDefault="00C310DF" w:rsidP="00C310DF">
            <w:pPr>
              <w:jc w:val="center"/>
              <w:cnfStyle w:val="100000000000"/>
              <w:rPr>
                <w:rFonts w:ascii="Verdana" w:hAnsi="Verdana"/>
                <w:b w:val="0"/>
                <w:bCs w:val="0"/>
                <w:sz w:val="22"/>
                <w:szCs w:val="22"/>
              </w:rPr>
            </w:pPr>
            <w:r w:rsidRPr="00E21452">
              <w:rPr>
                <w:rFonts w:ascii="Verdana" w:hAnsi="Verdana"/>
                <w:b w:val="0"/>
                <w:sz w:val="22"/>
                <w:szCs w:val="22"/>
              </w:rPr>
              <w:t>OBJETIVO</w:t>
            </w:r>
          </w:p>
        </w:tc>
        <w:tc>
          <w:tcPr>
            <w:tcW w:w="3079" w:type="pct"/>
            <w:vAlign w:val="center"/>
            <w:hideMark/>
          </w:tcPr>
          <w:p w:rsidR="00C310DF" w:rsidRPr="00E21452" w:rsidRDefault="00C310DF" w:rsidP="00C310DF">
            <w:pPr>
              <w:jc w:val="center"/>
              <w:cnfStyle w:val="100000000000"/>
              <w:rPr>
                <w:rFonts w:ascii="Verdana" w:hAnsi="Verdana"/>
                <w:b w:val="0"/>
                <w:bCs w:val="0"/>
                <w:sz w:val="22"/>
                <w:szCs w:val="22"/>
              </w:rPr>
            </w:pPr>
            <w:r w:rsidRPr="00E21452">
              <w:rPr>
                <w:rFonts w:ascii="Verdana" w:hAnsi="Verdana"/>
                <w:b w:val="0"/>
                <w:sz w:val="22"/>
                <w:szCs w:val="22"/>
              </w:rPr>
              <w:t>RESULTADOS OBTENIDOS</w:t>
            </w:r>
          </w:p>
        </w:tc>
      </w:tr>
      <w:tr w:rsidR="00C310DF" w:rsidRPr="00E21452" w:rsidTr="00E21452">
        <w:trPr>
          <w:cnfStyle w:val="000000100000"/>
          <w:trHeight w:val="983"/>
          <w:jc w:val="center"/>
        </w:trPr>
        <w:tc>
          <w:tcPr>
            <w:cnfStyle w:val="001000000000"/>
            <w:tcW w:w="814" w:type="pct"/>
            <w:vAlign w:val="center"/>
            <w:hideMark/>
          </w:tcPr>
          <w:p w:rsidR="00C310DF" w:rsidRPr="00E21452" w:rsidRDefault="00C310DF" w:rsidP="00C310DF">
            <w:pPr>
              <w:rPr>
                <w:rFonts w:ascii="Verdana" w:hAnsi="Verdana"/>
                <w:b w:val="0"/>
                <w:sz w:val="22"/>
                <w:szCs w:val="22"/>
              </w:rPr>
            </w:pPr>
            <w:r w:rsidRPr="00E21452">
              <w:rPr>
                <w:rFonts w:ascii="Verdana" w:hAnsi="Verdana"/>
                <w:b w:val="0"/>
                <w:sz w:val="22"/>
                <w:szCs w:val="22"/>
              </w:rPr>
              <w:t>Acompañamiento Parque Monumento de Trujillo</w:t>
            </w:r>
          </w:p>
        </w:tc>
        <w:tc>
          <w:tcPr>
            <w:tcW w:w="1108" w:type="pct"/>
            <w:vAlign w:val="center"/>
            <w:hideMark/>
          </w:tcPr>
          <w:p w:rsidR="00C310DF" w:rsidRPr="00E21452" w:rsidRDefault="00C310DF" w:rsidP="00C310DF">
            <w:pPr>
              <w:cnfStyle w:val="000000100000"/>
              <w:rPr>
                <w:rFonts w:ascii="Verdana" w:hAnsi="Verdana"/>
                <w:sz w:val="22"/>
                <w:szCs w:val="22"/>
              </w:rPr>
            </w:pPr>
            <w:r w:rsidRPr="00E21452">
              <w:rPr>
                <w:rFonts w:ascii="Verdana" w:hAnsi="Verdana"/>
                <w:sz w:val="22"/>
                <w:szCs w:val="22"/>
              </w:rPr>
              <w:t xml:space="preserve">Realizar acompañamiento  y asesoría técnica al parque monumento de Trujillo en las necesidades del mismo en cuanto su proceso de  </w:t>
            </w:r>
            <w:r w:rsidRPr="00E21452">
              <w:rPr>
                <w:rFonts w:ascii="Verdana" w:hAnsi="Verdana"/>
                <w:sz w:val="22"/>
                <w:szCs w:val="22"/>
              </w:rPr>
              <w:lastRenderedPageBreak/>
              <w:t>apropiación social</w:t>
            </w:r>
          </w:p>
        </w:tc>
        <w:tc>
          <w:tcPr>
            <w:tcW w:w="3079" w:type="pct"/>
            <w:noWrap/>
            <w:vAlign w:val="center"/>
            <w:hideMark/>
          </w:tcPr>
          <w:p w:rsidR="00C310DF" w:rsidRPr="00E21452" w:rsidRDefault="00C310DF" w:rsidP="00C310DF">
            <w:pPr>
              <w:cnfStyle w:val="000000100000"/>
              <w:rPr>
                <w:rFonts w:ascii="Verdana" w:hAnsi="Verdana"/>
                <w:sz w:val="22"/>
                <w:szCs w:val="22"/>
              </w:rPr>
            </w:pPr>
            <w:r w:rsidRPr="00E21452">
              <w:rPr>
                <w:rFonts w:ascii="Verdana" w:hAnsi="Verdana"/>
                <w:sz w:val="22"/>
                <w:szCs w:val="22"/>
              </w:rPr>
              <w:lastRenderedPageBreak/>
              <w:t xml:space="preserve">Se realizó un diagnostico colectivo con la organización,  en la cual se identificaron las principales dificultades actuales del Parque monumento,  sobre estas necesidades y la consecuente priorización se construyó colectivamente un plan de trabajo,  esto cualificó el acompañamiento y permite realizar seguimiento al mismo. Igualmente es de resaltar que se ha continuado  el fortalecimiento de los lazos existentes con AFAVIT y se ha apoyado a </w:t>
            </w:r>
            <w:r w:rsidRPr="00E21452">
              <w:rPr>
                <w:rFonts w:ascii="Verdana" w:hAnsi="Verdana"/>
                <w:sz w:val="22"/>
                <w:szCs w:val="22"/>
              </w:rPr>
              <w:lastRenderedPageBreak/>
              <w:t>esta organización en fechas conmemorativas</w:t>
            </w:r>
          </w:p>
        </w:tc>
      </w:tr>
      <w:tr w:rsidR="00C310DF" w:rsidRPr="00E21452" w:rsidTr="00E21452">
        <w:trPr>
          <w:trHeight w:val="60"/>
          <w:jc w:val="center"/>
        </w:trPr>
        <w:tc>
          <w:tcPr>
            <w:cnfStyle w:val="001000000000"/>
            <w:tcW w:w="814" w:type="pct"/>
            <w:vAlign w:val="center"/>
            <w:hideMark/>
          </w:tcPr>
          <w:p w:rsidR="00C310DF" w:rsidRPr="00E21452" w:rsidRDefault="00C310DF" w:rsidP="00C310DF">
            <w:pPr>
              <w:rPr>
                <w:rFonts w:ascii="Verdana" w:hAnsi="Verdana"/>
                <w:b w:val="0"/>
                <w:sz w:val="22"/>
                <w:szCs w:val="22"/>
              </w:rPr>
            </w:pPr>
            <w:r w:rsidRPr="00E21452">
              <w:rPr>
                <w:rFonts w:ascii="Verdana" w:hAnsi="Verdana"/>
                <w:b w:val="0"/>
                <w:sz w:val="22"/>
                <w:szCs w:val="22"/>
              </w:rPr>
              <w:lastRenderedPageBreak/>
              <w:t>Construcción Física y Social del  Lugar de Memoria Floridablanca</w:t>
            </w:r>
          </w:p>
        </w:tc>
        <w:tc>
          <w:tcPr>
            <w:tcW w:w="1108" w:type="pct"/>
            <w:vAlign w:val="center"/>
            <w:hideMark/>
          </w:tcPr>
          <w:p w:rsidR="00C310DF" w:rsidRPr="00E21452" w:rsidRDefault="00C310DF" w:rsidP="00C310DF">
            <w:pPr>
              <w:cnfStyle w:val="000000000000"/>
              <w:rPr>
                <w:rFonts w:ascii="Verdana" w:hAnsi="Verdana"/>
                <w:sz w:val="22"/>
                <w:szCs w:val="22"/>
              </w:rPr>
            </w:pPr>
            <w:r w:rsidRPr="00E21452">
              <w:rPr>
                <w:rFonts w:ascii="Verdana" w:hAnsi="Verdana"/>
                <w:sz w:val="22"/>
                <w:szCs w:val="22"/>
              </w:rPr>
              <w:t>Realizar acompañamiento  y  asesoría técnica al proceso de construcción física y social del lugar de memoria municipal, emprendido por las víctimas y el ente territorial</w:t>
            </w:r>
          </w:p>
        </w:tc>
        <w:tc>
          <w:tcPr>
            <w:tcW w:w="3079" w:type="pct"/>
            <w:vAlign w:val="center"/>
            <w:hideMark/>
          </w:tcPr>
          <w:p w:rsidR="00C310DF" w:rsidRPr="00E21452" w:rsidRDefault="00C310DF" w:rsidP="00C310DF">
            <w:pPr>
              <w:cnfStyle w:val="000000000000"/>
              <w:rPr>
                <w:rFonts w:ascii="Verdana" w:hAnsi="Verdana"/>
                <w:sz w:val="22"/>
                <w:szCs w:val="22"/>
              </w:rPr>
            </w:pPr>
            <w:r w:rsidRPr="00E21452">
              <w:rPr>
                <w:rFonts w:ascii="Verdana" w:hAnsi="Verdana"/>
                <w:sz w:val="22"/>
                <w:szCs w:val="22"/>
              </w:rPr>
              <w:t>Se ha posibilitado un acercamiento tanto con la alcaldía municipal como con las organizaciones de víctimas del municipio, de la misma manera se realizó un proceso de sensibilización sobre Lugares de Memoria que permitió identificar algunas dificultades organizativas e institucionales</w:t>
            </w:r>
          </w:p>
        </w:tc>
      </w:tr>
      <w:tr w:rsidR="00C310DF" w:rsidRPr="00E21452" w:rsidTr="00E21452">
        <w:trPr>
          <w:cnfStyle w:val="000000100000"/>
          <w:trHeight w:val="469"/>
          <w:jc w:val="center"/>
        </w:trPr>
        <w:tc>
          <w:tcPr>
            <w:cnfStyle w:val="001000000000"/>
            <w:tcW w:w="814" w:type="pct"/>
            <w:vAlign w:val="center"/>
            <w:hideMark/>
          </w:tcPr>
          <w:p w:rsidR="00C310DF" w:rsidRPr="00E21452" w:rsidRDefault="00C310DF" w:rsidP="00C310DF">
            <w:pPr>
              <w:rPr>
                <w:rFonts w:ascii="Verdana" w:hAnsi="Verdana"/>
                <w:b w:val="0"/>
                <w:sz w:val="22"/>
                <w:szCs w:val="22"/>
              </w:rPr>
            </w:pPr>
            <w:r w:rsidRPr="00E21452">
              <w:rPr>
                <w:rFonts w:ascii="Verdana" w:hAnsi="Verdana"/>
                <w:b w:val="0"/>
                <w:sz w:val="22"/>
                <w:szCs w:val="22"/>
              </w:rPr>
              <w:t>Construcción Física y Social del  Lugar de Memoria Bucaramanga</w:t>
            </w:r>
          </w:p>
        </w:tc>
        <w:tc>
          <w:tcPr>
            <w:tcW w:w="1108" w:type="pct"/>
            <w:vAlign w:val="center"/>
            <w:hideMark/>
          </w:tcPr>
          <w:p w:rsidR="00C310DF" w:rsidRPr="00E21452" w:rsidRDefault="00C310DF" w:rsidP="00C310DF">
            <w:pPr>
              <w:cnfStyle w:val="000000100000"/>
              <w:rPr>
                <w:rFonts w:ascii="Verdana" w:hAnsi="Verdana"/>
                <w:sz w:val="22"/>
                <w:szCs w:val="22"/>
              </w:rPr>
            </w:pPr>
            <w:r w:rsidRPr="00E21452">
              <w:rPr>
                <w:rFonts w:ascii="Verdana" w:hAnsi="Verdana"/>
                <w:sz w:val="22"/>
                <w:szCs w:val="22"/>
              </w:rPr>
              <w:t>Realizar acompañamiento  y  asesoría técnica al proceso de construcción física y social del lugar de memoria municipal, emprendido por las víctimas y el ente territorial</w:t>
            </w:r>
          </w:p>
        </w:tc>
        <w:tc>
          <w:tcPr>
            <w:tcW w:w="3079" w:type="pct"/>
            <w:noWrap/>
            <w:vAlign w:val="center"/>
            <w:hideMark/>
          </w:tcPr>
          <w:p w:rsidR="00C310DF" w:rsidRPr="00E21452" w:rsidRDefault="00C310DF" w:rsidP="00C310DF">
            <w:pPr>
              <w:cnfStyle w:val="000000100000"/>
              <w:rPr>
                <w:rFonts w:ascii="Verdana" w:hAnsi="Verdana"/>
                <w:sz w:val="22"/>
                <w:szCs w:val="22"/>
              </w:rPr>
            </w:pPr>
            <w:r w:rsidRPr="00E21452">
              <w:rPr>
                <w:rFonts w:ascii="Verdana" w:hAnsi="Verdana"/>
                <w:sz w:val="22"/>
                <w:szCs w:val="22"/>
              </w:rPr>
              <w:t>Se ha posibilitado un acercamiento tanto con la alcaldía municipal como con las organizaciones de víctimas del municipio, de la misma manera se realizó un proceso de sensibilización sobre Lugares de Memoria.</w:t>
            </w:r>
          </w:p>
        </w:tc>
      </w:tr>
      <w:tr w:rsidR="00C310DF" w:rsidRPr="00E21452" w:rsidTr="00E21452">
        <w:trPr>
          <w:trHeight w:val="780"/>
          <w:jc w:val="center"/>
        </w:trPr>
        <w:tc>
          <w:tcPr>
            <w:cnfStyle w:val="001000000000"/>
            <w:tcW w:w="814" w:type="pct"/>
            <w:vAlign w:val="center"/>
            <w:hideMark/>
          </w:tcPr>
          <w:p w:rsidR="00C310DF" w:rsidRPr="00E21452" w:rsidRDefault="00C310DF" w:rsidP="00C310DF">
            <w:pPr>
              <w:rPr>
                <w:rFonts w:ascii="Verdana" w:hAnsi="Verdana"/>
                <w:b w:val="0"/>
                <w:sz w:val="22"/>
                <w:szCs w:val="22"/>
              </w:rPr>
            </w:pPr>
            <w:r w:rsidRPr="00E21452">
              <w:rPr>
                <w:rFonts w:ascii="Verdana" w:hAnsi="Verdana"/>
                <w:b w:val="0"/>
                <w:sz w:val="22"/>
                <w:szCs w:val="22"/>
              </w:rPr>
              <w:t>Construcción Física y Social de La  Casa de Memoria La Palma</w:t>
            </w:r>
          </w:p>
        </w:tc>
        <w:tc>
          <w:tcPr>
            <w:tcW w:w="1108" w:type="pct"/>
            <w:vAlign w:val="center"/>
            <w:hideMark/>
          </w:tcPr>
          <w:p w:rsidR="00C310DF" w:rsidRPr="00E21452" w:rsidRDefault="00C310DF" w:rsidP="00C310DF">
            <w:pPr>
              <w:cnfStyle w:val="000000000000"/>
              <w:rPr>
                <w:rFonts w:ascii="Verdana" w:hAnsi="Verdana"/>
                <w:sz w:val="22"/>
                <w:szCs w:val="22"/>
              </w:rPr>
            </w:pPr>
            <w:r w:rsidRPr="00E21452">
              <w:rPr>
                <w:rFonts w:ascii="Verdana" w:hAnsi="Verdana"/>
                <w:sz w:val="22"/>
                <w:szCs w:val="22"/>
              </w:rPr>
              <w:t>Realizar acompañamiento  y asesoría técnica al proceso de construcción física y social de la casa de la memoria municipal, emprendido por las víctimas y el ente territorial (gobernación de Cundinamarca)</w:t>
            </w:r>
          </w:p>
        </w:tc>
        <w:tc>
          <w:tcPr>
            <w:tcW w:w="3079" w:type="pct"/>
            <w:vAlign w:val="center"/>
            <w:hideMark/>
          </w:tcPr>
          <w:p w:rsidR="00C310DF" w:rsidRPr="00E21452" w:rsidRDefault="00C310DF" w:rsidP="00C310DF">
            <w:pPr>
              <w:cnfStyle w:val="000000000000"/>
              <w:rPr>
                <w:rFonts w:ascii="Verdana" w:hAnsi="Verdana"/>
                <w:sz w:val="22"/>
                <w:szCs w:val="22"/>
              </w:rPr>
            </w:pPr>
            <w:r w:rsidRPr="00E21452">
              <w:rPr>
                <w:rFonts w:ascii="Verdana" w:hAnsi="Verdana"/>
                <w:sz w:val="22"/>
                <w:szCs w:val="22"/>
              </w:rPr>
              <w:br/>
              <w:t>Se ha logrado articular acciones iniciales entre la gobernación de Cundinamarca y las organizaciones de víctimas y defensoras de derechos humanos del municipio</w:t>
            </w:r>
            <w:r w:rsidRPr="00E21452">
              <w:rPr>
                <w:rFonts w:ascii="Verdana" w:hAnsi="Verdana"/>
                <w:sz w:val="22"/>
                <w:szCs w:val="22"/>
              </w:rPr>
              <w:br/>
              <w:t>defensoras de derechos humanos del municipio</w:t>
            </w:r>
          </w:p>
        </w:tc>
      </w:tr>
      <w:tr w:rsidR="00C310DF" w:rsidRPr="00E21452" w:rsidTr="00E21452">
        <w:trPr>
          <w:cnfStyle w:val="000000100000"/>
          <w:trHeight w:val="60"/>
          <w:jc w:val="center"/>
        </w:trPr>
        <w:tc>
          <w:tcPr>
            <w:cnfStyle w:val="001000000000"/>
            <w:tcW w:w="814" w:type="pct"/>
            <w:vAlign w:val="center"/>
            <w:hideMark/>
          </w:tcPr>
          <w:p w:rsidR="00C310DF" w:rsidRPr="00E21452" w:rsidRDefault="00C310DF" w:rsidP="00C310DF">
            <w:pPr>
              <w:rPr>
                <w:rFonts w:ascii="Verdana" w:hAnsi="Verdana"/>
                <w:b w:val="0"/>
                <w:sz w:val="22"/>
                <w:szCs w:val="22"/>
              </w:rPr>
            </w:pPr>
            <w:r w:rsidRPr="00E21452">
              <w:rPr>
                <w:rFonts w:ascii="Verdana" w:hAnsi="Verdana"/>
                <w:b w:val="0"/>
                <w:sz w:val="22"/>
                <w:szCs w:val="22"/>
              </w:rPr>
              <w:lastRenderedPageBreak/>
              <w:t>Construcción Física y Social Lugar de Memoria Regional del Meta</w:t>
            </w:r>
          </w:p>
        </w:tc>
        <w:tc>
          <w:tcPr>
            <w:tcW w:w="1108" w:type="pct"/>
            <w:vAlign w:val="center"/>
            <w:hideMark/>
          </w:tcPr>
          <w:p w:rsidR="00C310DF" w:rsidRPr="00E21452" w:rsidRDefault="00C310DF" w:rsidP="00C310DF">
            <w:pPr>
              <w:cnfStyle w:val="000000100000"/>
              <w:rPr>
                <w:rFonts w:ascii="Verdana" w:hAnsi="Verdana"/>
                <w:sz w:val="22"/>
                <w:szCs w:val="22"/>
              </w:rPr>
            </w:pPr>
            <w:r w:rsidRPr="00E21452">
              <w:rPr>
                <w:rFonts w:ascii="Verdana" w:hAnsi="Verdana"/>
                <w:sz w:val="22"/>
                <w:szCs w:val="22"/>
              </w:rPr>
              <w:t>realizar acompañamiento  y  asesoría técnica al proceso de construcción física y social del lugar de memoria departamental, emprendido por el ente territorial</w:t>
            </w:r>
          </w:p>
        </w:tc>
        <w:tc>
          <w:tcPr>
            <w:tcW w:w="3079" w:type="pct"/>
            <w:vAlign w:val="center"/>
            <w:hideMark/>
          </w:tcPr>
          <w:p w:rsidR="00C310DF" w:rsidRPr="00E21452" w:rsidRDefault="00C310DF" w:rsidP="00C310DF">
            <w:pPr>
              <w:cnfStyle w:val="000000100000"/>
              <w:rPr>
                <w:rFonts w:ascii="Verdana" w:hAnsi="Verdana"/>
                <w:sz w:val="22"/>
                <w:szCs w:val="22"/>
              </w:rPr>
            </w:pPr>
            <w:r w:rsidRPr="00E21452">
              <w:rPr>
                <w:rFonts w:ascii="Verdana" w:hAnsi="Verdana"/>
                <w:sz w:val="22"/>
                <w:szCs w:val="22"/>
              </w:rPr>
              <w:t>Articulación con la gobernación del Meta, en el marco del convenio. Articulación con organizaciones sociales, de víctimas y de Derechos Humanos. Sensibilización inicial de los funcionarios sobre temas de memoria histórica. Primeros acuerdos sobre la ruta participativa a seguir en la construcción social y física del lugar de memoria departamental</w:t>
            </w:r>
          </w:p>
        </w:tc>
      </w:tr>
      <w:tr w:rsidR="00C310DF" w:rsidRPr="00E21452" w:rsidTr="00E21452">
        <w:trPr>
          <w:trHeight w:val="1451"/>
          <w:jc w:val="center"/>
        </w:trPr>
        <w:tc>
          <w:tcPr>
            <w:cnfStyle w:val="001000000000"/>
            <w:tcW w:w="814" w:type="pct"/>
            <w:vAlign w:val="center"/>
            <w:hideMark/>
          </w:tcPr>
          <w:p w:rsidR="00C310DF" w:rsidRPr="00E21452" w:rsidRDefault="00C310DF" w:rsidP="00C310DF">
            <w:pPr>
              <w:rPr>
                <w:rFonts w:ascii="Verdana" w:hAnsi="Verdana"/>
                <w:b w:val="0"/>
                <w:sz w:val="22"/>
                <w:szCs w:val="22"/>
              </w:rPr>
            </w:pPr>
            <w:r w:rsidRPr="00E21452">
              <w:rPr>
                <w:rFonts w:ascii="Verdana" w:hAnsi="Verdana"/>
                <w:b w:val="0"/>
                <w:sz w:val="22"/>
                <w:szCs w:val="22"/>
              </w:rPr>
              <w:t>Construcción Física y Social del Parque a las Víctimas de El Castillo</w:t>
            </w:r>
          </w:p>
        </w:tc>
        <w:tc>
          <w:tcPr>
            <w:tcW w:w="1108" w:type="pct"/>
            <w:vAlign w:val="center"/>
            <w:hideMark/>
          </w:tcPr>
          <w:p w:rsidR="00C310DF" w:rsidRPr="00E21452" w:rsidRDefault="00C310DF" w:rsidP="00C310DF">
            <w:pPr>
              <w:cnfStyle w:val="000000000000"/>
              <w:rPr>
                <w:rFonts w:ascii="Verdana" w:hAnsi="Verdana"/>
                <w:sz w:val="22"/>
                <w:szCs w:val="22"/>
              </w:rPr>
            </w:pPr>
            <w:r w:rsidRPr="00E21452">
              <w:rPr>
                <w:rFonts w:ascii="Verdana" w:hAnsi="Verdana"/>
                <w:sz w:val="22"/>
                <w:szCs w:val="22"/>
              </w:rPr>
              <w:t>Realizar acompañamiento  y  asesoría técnica al proceso de construcción física y social del lugar de memoria municipal, emprendido por las víctimas y el ente territorial</w:t>
            </w:r>
          </w:p>
        </w:tc>
        <w:tc>
          <w:tcPr>
            <w:tcW w:w="3079" w:type="pct"/>
            <w:vAlign w:val="center"/>
            <w:hideMark/>
          </w:tcPr>
          <w:p w:rsidR="00C310DF" w:rsidRPr="00E21452" w:rsidRDefault="00C310DF" w:rsidP="00C310DF">
            <w:pPr>
              <w:cnfStyle w:val="000000000000"/>
              <w:rPr>
                <w:rFonts w:ascii="Verdana" w:hAnsi="Verdana"/>
                <w:sz w:val="22"/>
                <w:szCs w:val="22"/>
              </w:rPr>
            </w:pPr>
            <w:r w:rsidRPr="00E21452">
              <w:rPr>
                <w:rFonts w:ascii="Verdana" w:hAnsi="Verdana"/>
                <w:sz w:val="22"/>
                <w:szCs w:val="22"/>
              </w:rPr>
              <w:t>Recomposición de las relaciones entre la gobernación y las organizaciones de víctimas. Empoderamiento de las organizaciones de víctimas que condujeron a la creación del Comité de memoria histórica de El Castillo.  Construcción participativa de los mínimos sociales del parque de la memoria de El Castillo.</w:t>
            </w:r>
          </w:p>
        </w:tc>
      </w:tr>
      <w:tr w:rsidR="00C310DF" w:rsidRPr="00E21452" w:rsidTr="00E21452">
        <w:trPr>
          <w:cnfStyle w:val="000000100000"/>
          <w:trHeight w:val="60"/>
          <w:jc w:val="center"/>
        </w:trPr>
        <w:tc>
          <w:tcPr>
            <w:cnfStyle w:val="001000000000"/>
            <w:tcW w:w="814" w:type="pct"/>
            <w:vAlign w:val="center"/>
            <w:hideMark/>
          </w:tcPr>
          <w:p w:rsidR="00C310DF" w:rsidRPr="00E21452" w:rsidRDefault="00C310DF" w:rsidP="00C310DF">
            <w:pPr>
              <w:rPr>
                <w:rFonts w:ascii="Verdana" w:hAnsi="Verdana"/>
                <w:b w:val="0"/>
                <w:sz w:val="22"/>
                <w:szCs w:val="22"/>
              </w:rPr>
            </w:pPr>
            <w:r w:rsidRPr="00E21452">
              <w:rPr>
                <w:rFonts w:ascii="Verdana" w:hAnsi="Verdana"/>
                <w:b w:val="0"/>
                <w:sz w:val="22"/>
                <w:szCs w:val="22"/>
              </w:rPr>
              <w:t>Acompañamiento Casa de la Memoria de Pueblo Bello</w:t>
            </w:r>
          </w:p>
        </w:tc>
        <w:tc>
          <w:tcPr>
            <w:tcW w:w="1108" w:type="pct"/>
            <w:vAlign w:val="center"/>
            <w:hideMark/>
          </w:tcPr>
          <w:p w:rsidR="00C310DF" w:rsidRPr="00E21452" w:rsidRDefault="00C310DF" w:rsidP="00C310DF">
            <w:pPr>
              <w:cnfStyle w:val="000000100000"/>
              <w:rPr>
                <w:rFonts w:ascii="Verdana" w:hAnsi="Verdana"/>
                <w:sz w:val="22"/>
                <w:szCs w:val="22"/>
              </w:rPr>
            </w:pPr>
            <w:r w:rsidRPr="00E21452">
              <w:rPr>
                <w:rFonts w:ascii="Verdana" w:hAnsi="Verdana"/>
                <w:sz w:val="22"/>
                <w:szCs w:val="22"/>
              </w:rPr>
              <w:t>Realizar acompañamiento  y asesoría técnica al proceso de construcción física y social de la casa de la memoria municipal, emprendido por las víctimas y el ente territorial (gobernación de Antioquia)</w:t>
            </w:r>
          </w:p>
        </w:tc>
        <w:tc>
          <w:tcPr>
            <w:tcW w:w="3079" w:type="pct"/>
            <w:vAlign w:val="center"/>
            <w:hideMark/>
          </w:tcPr>
          <w:p w:rsidR="00C310DF" w:rsidRPr="00E21452" w:rsidRDefault="00C310DF" w:rsidP="00C310DF">
            <w:pPr>
              <w:cnfStyle w:val="000000100000"/>
              <w:rPr>
                <w:rFonts w:ascii="Verdana" w:hAnsi="Verdana"/>
                <w:sz w:val="22"/>
                <w:szCs w:val="22"/>
              </w:rPr>
            </w:pPr>
            <w:r w:rsidRPr="00E21452">
              <w:rPr>
                <w:rFonts w:ascii="Verdana" w:hAnsi="Verdana"/>
                <w:sz w:val="22"/>
                <w:szCs w:val="22"/>
              </w:rPr>
              <w:t>Articulación con la gobernación de Antioquia. Sensibilización a las comunidades  y algunos funcionarios de la gobernación de Antioquia sobre el tema de lugares de Memoria. Acuerdos en la periodicidad del acompañamiento</w:t>
            </w:r>
          </w:p>
        </w:tc>
      </w:tr>
      <w:tr w:rsidR="00C310DF" w:rsidRPr="00E21452" w:rsidTr="00E21452">
        <w:trPr>
          <w:trHeight w:val="1017"/>
          <w:jc w:val="center"/>
        </w:trPr>
        <w:tc>
          <w:tcPr>
            <w:cnfStyle w:val="001000000000"/>
            <w:tcW w:w="814" w:type="pct"/>
            <w:vAlign w:val="center"/>
            <w:hideMark/>
          </w:tcPr>
          <w:p w:rsidR="00C310DF" w:rsidRPr="00E21452" w:rsidRDefault="00C310DF" w:rsidP="00C310DF">
            <w:pPr>
              <w:rPr>
                <w:rFonts w:ascii="Verdana" w:hAnsi="Verdana"/>
                <w:b w:val="0"/>
                <w:sz w:val="22"/>
                <w:szCs w:val="22"/>
              </w:rPr>
            </w:pPr>
            <w:r w:rsidRPr="00E21452">
              <w:rPr>
                <w:rFonts w:ascii="Verdana" w:hAnsi="Verdana"/>
                <w:b w:val="0"/>
                <w:sz w:val="22"/>
                <w:szCs w:val="22"/>
              </w:rPr>
              <w:t xml:space="preserve">Construcción Social Lugar de Memoria Bellavista - Bojayá </w:t>
            </w:r>
            <w:r w:rsidRPr="00E21452">
              <w:rPr>
                <w:rFonts w:ascii="Verdana" w:hAnsi="Verdana"/>
                <w:b w:val="0"/>
                <w:sz w:val="22"/>
                <w:szCs w:val="22"/>
              </w:rPr>
              <w:lastRenderedPageBreak/>
              <w:t>Chocó</w:t>
            </w:r>
          </w:p>
        </w:tc>
        <w:tc>
          <w:tcPr>
            <w:tcW w:w="1108" w:type="pct"/>
            <w:vAlign w:val="center"/>
            <w:hideMark/>
          </w:tcPr>
          <w:p w:rsidR="00C310DF" w:rsidRPr="00E21452" w:rsidRDefault="00C310DF" w:rsidP="00C310DF">
            <w:pPr>
              <w:cnfStyle w:val="000000000000"/>
              <w:rPr>
                <w:rFonts w:ascii="Verdana" w:hAnsi="Verdana"/>
                <w:sz w:val="22"/>
                <w:szCs w:val="22"/>
              </w:rPr>
            </w:pPr>
            <w:r w:rsidRPr="00E21452">
              <w:rPr>
                <w:rFonts w:ascii="Verdana" w:hAnsi="Verdana"/>
                <w:sz w:val="22"/>
                <w:szCs w:val="22"/>
              </w:rPr>
              <w:lastRenderedPageBreak/>
              <w:t xml:space="preserve">realizar acompañamiento  y  asesoría técnica al proceso de construcción física </w:t>
            </w:r>
            <w:r w:rsidRPr="00E21452">
              <w:rPr>
                <w:rFonts w:ascii="Verdana" w:hAnsi="Verdana"/>
                <w:sz w:val="22"/>
                <w:szCs w:val="22"/>
              </w:rPr>
              <w:lastRenderedPageBreak/>
              <w:t>y social del lugar de memoria ubicado en el Bellavista Antiguo, emprendido por las comunidades de Bojayá y el bajo Atrato</w:t>
            </w:r>
          </w:p>
        </w:tc>
        <w:tc>
          <w:tcPr>
            <w:tcW w:w="3079" w:type="pct"/>
            <w:vAlign w:val="center"/>
            <w:hideMark/>
          </w:tcPr>
          <w:p w:rsidR="00C310DF" w:rsidRPr="00E21452" w:rsidRDefault="00C310DF" w:rsidP="00C310DF">
            <w:pPr>
              <w:cnfStyle w:val="000000000000"/>
              <w:rPr>
                <w:rFonts w:ascii="Verdana" w:hAnsi="Verdana"/>
                <w:sz w:val="22"/>
                <w:szCs w:val="22"/>
              </w:rPr>
            </w:pPr>
            <w:r w:rsidRPr="00E21452">
              <w:rPr>
                <w:rFonts w:ascii="Verdana" w:hAnsi="Verdana"/>
                <w:sz w:val="22"/>
                <w:szCs w:val="22"/>
              </w:rPr>
              <w:lastRenderedPageBreak/>
              <w:t>Fortalecimiento del proyecto formulado por las comunidades en el que se plantea la ruta participativa de construcción social del lugar de memoria y sus momentos. Se ha mantenido el contacto y el relacionamiento con las comunidades</w:t>
            </w:r>
          </w:p>
        </w:tc>
      </w:tr>
      <w:tr w:rsidR="00C310DF" w:rsidRPr="00E21452" w:rsidTr="00E21452">
        <w:trPr>
          <w:cnfStyle w:val="000000100000"/>
          <w:trHeight w:val="767"/>
          <w:jc w:val="center"/>
        </w:trPr>
        <w:tc>
          <w:tcPr>
            <w:cnfStyle w:val="001000000000"/>
            <w:tcW w:w="814" w:type="pct"/>
            <w:vAlign w:val="center"/>
            <w:hideMark/>
          </w:tcPr>
          <w:p w:rsidR="00C310DF" w:rsidRPr="00E21452" w:rsidRDefault="00C310DF" w:rsidP="00C310DF">
            <w:pPr>
              <w:rPr>
                <w:rFonts w:ascii="Verdana" w:hAnsi="Verdana"/>
                <w:b w:val="0"/>
                <w:sz w:val="22"/>
                <w:szCs w:val="22"/>
              </w:rPr>
            </w:pPr>
            <w:r w:rsidRPr="00E21452">
              <w:rPr>
                <w:rFonts w:ascii="Verdana" w:hAnsi="Verdana"/>
                <w:b w:val="0"/>
                <w:sz w:val="22"/>
                <w:szCs w:val="22"/>
              </w:rPr>
              <w:lastRenderedPageBreak/>
              <w:t>Acompañamiento Casa de la Memoria de la Costa Pacífica Nariñense</w:t>
            </w:r>
          </w:p>
        </w:tc>
        <w:tc>
          <w:tcPr>
            <w:tcW w:w="1108" w:type="pct"/>
            <w:vAlign w:val="center"/>
            <w:hideMark/>
          </w:tcPr>
          <w:p w:rsidR="00C310DF" w:rsidRPr="00E21452" w:rsidRDefault="00C310DF" w:rsidP="00C310DF">
            <w:pPr>
              <w:cnfStyle w:val="000000100000"/>
              <w:rPr>
                <w:rFonts w:ascii="Verdana" w:hAnsi="Verdana"/>
                <w:sz w:val="22"/>
                <w:szCs w:val="22"/>
              </w:rPr>
            </w:pPr>
            <w:r w:rsidRPr="00E21452">
              <w:rPr>
                <w:rFonts w:ascii="Verdana" w:hAnsi="Verdana"/>
                <w:sz w:val="22"/>
                <w:szCs w:val="22"/>
              </w:rPr>
              <w:t>realizar acompañamiento  y brindar asesoría técnica la casa de la memoria de la Costa Pacífica Nariñense en las necesidades de la misma en cuanto su proceso de  apropiación social</w:t>
            </w:r>
          </w:p>
        </w:tc>
        <w:tc>
          <w:tcPr>
            <w:tcW w:w="3079" w:type="pct"/>
            <w:vAlign w:val="center"/>
            <w:hideMark/>
          </w:tcPr>
          <w:p w:rsidR="00C310DF" w:rsidRPr="00E21452" w:rsidRDefault="00C310DF" w:rsidP="00C310DF">
            <w:pPr>
              <w:cnfStyle w:val="000000100000"/>
              <w:rPr>
                <w:rFonts w:ascii="Verdana" w:hAnsi="Verdana"/>
                <w:sz w:val="22"/>
                <w:szCs w:val="22"/>
              </w:rPr>
            </w:pPr>
            <w:r w:rsidRPr="00E21452">
              <w:rPr>
                <w:rFonts w:ascii="Verdana" w:hAnsi="Verdana"/>
                <w:sz w:val="22"/>
                <w:szCs w:val="22"/>
              </w:rPr>
              <w:t xml:space="preserve">Mantenimiento y fortalecimiento de las relaciones con la casa de la memoria, </w:t>
            </w:r>
          </w:p>
        </w:tc>
      </w:tr>
      <w:tr w:rsidR="00C310DF" w:rsidRPr="00E21452" w:rsidTr="00E21452">
        <w:trPr>
          <w:trHeight w:val="936"/>
          <w:jc w:val="center"/>
        </w:trPr>
        <w:tc>
          <w:tcPr>
            <w:cnfStyle w:val="001000000000"/>
            <w:tcW w:w="814" w:type="pct"/>
            <w:vAlign w:val="center"/>
            <w:hideMark/>
          </w:tcPr>
          <w:p w:rsidR="00C310DF" w:rsidRPr="00E21452" w:rsidRDefault="00C310DF" w:rsidP="00C310DF">
            <w:pPr>
              <w:rPr>
                <w:rFonts w:ascii="Verdana" w:hAnsi="Verdana"/>
                <w:b w:val="0"/>
                <w:sz w:val="22"/>
                <w:szCs w:val="22"/>
              </w:rPr>
            </w:pPr>
            <w:r w:rsidRPr="00E21452">
              <w:rPr>
                <w:rFonts w:ascii="Verdana" w:hAnsi="Verdana"/>
                <w:b w:val="0"/>
                <w:sz w:val="22"/>
                <w:szCs w:val="22"/>
              </w:rPr>
              <w:t>Acompañamiento a Bosque de la Memoria de San Martín Meta</w:t>
            </w:r>
          </w:p>
        </w:tc>
        <w:tc>
          <w:tcPr>
            <w:tcW w:w="1108" w:type="pct"/>
            <w:vAlign w:val="center"/>
            <w:hideMark/>
          </w:tcPr>
          <w:p w:rsidR="00C310DF" w:rsidRPr="00E21452" w:rsidRDefault="00C310DF" w:rsidP="00C310DF">
            <w:pPr>
              <w:cnfStyle w:val="000000000000"/>
              <w:rPr>
                <w:rFonts w:ascii="Verdana" w:hAnsi="Verdana"/>
                <w:sz w:val="22"/>
                <w:szCs w:val="22"/>
              </w:rPr>
            </w:pPr>
            <w:r w:rsidRPr="00E21452">
              <w:rPr>
                <w:rFonts w:ascii="Verdana" w:hAnsi="Verdana"/>
                <w:sz w:val="22"/>
                <w:szCs w:val="22"/>
              </w:rPr>
              <w:t>Realizar acompañamiento  y brindar asesoría técnica al bosque de la memoria en las necesidades del mismo en cuanto a su proceso de  apropiación social</w:t>
            </w:r>
          </w:p>
        </w:tc>
        <w:tc>
          <w:tcPr>
            <w:tcW w:w="3079" w:type="pct"/>
            <w:vAlign w:val="center"/>
            <w:hideMark/>
          </w:tcPr>
          <w:p w:rsidR="00C310DF" w:rsidRPr="00E21452" w:rsidRDefault="00C310DF" w:rsidP="00C310DF">
            <w:pPr>
              <w:cnfStyle w:val="000000000000"/>
              <w:rPr>
                <w:rFonts w:ascii="Verdana" w:hAnsi="Verdana"/>
                <w:sz w:val="22"/>
                <w:szCs w:val="22"/>
              </w:rPr>
            </w:pPr>
            <w:r w:rsidRPr="00E21452">
              <w:rPr>
                <w:rFonts w:ascii="Verdana" w:hAnsi="Verdana"/>
                <w:sz w:val="22"/>
                <w:szCs w:val="22"/>
              </w:rPr>
              <w:t>Se ha logrado articular acciones iniciales con las organizaciones de víctimas  del municipio</w:t>
            </w:r>
          </w:p>
        </w:tc>
      </w:tr>
      <w:tr w:rsidR="00C310DF" w:rsidRPr="00E21452" w:rsidTr="00E21452">
        <w:trPr>
          <w:cnfStyle w:val="000000100000"/>
          <w:trHeight w:val="60"/>
          <w:jc w:val="center"/>
        </w:trPr>
        <w:tc>
          <w:tcPr>
            <w:cnfStyle w:val="001000000000"/>
            <w:tcW w:w="814" w:type="pct"/>
            <w:vAlign w:val="center"/>
            <w:hideMark/>
          </w:tcPr>
          <w:p w:rsidR="00C310DF" w:rsidRPr="00E21452" w:rsidRDefault="00C310DF" w:rsidP="00C310DF">
            <w:pPr>
              <w:rPr>
                <w:rFonts w:ascii="Verdana" w:hAnsi="Verdana"/>
                <w:b w:val="0"/>
                <w:sz w:val="22"/>
                <w:szCs w:val="22"/>
              </w:rPr>
            </w:pPr>
            <w:r w:rsidRPr="00E21452">
              <w:rPr>
                <w:rFonts w:ascii="Verdana" w:hAnsi="Verdana"/>
                <w:b w:val="0"/>
                <w:sz w:val="22"/>
                <w:szCs w:val="22"/>
              </w:rPr>
              <w:t>Solicitud de Acompañamiento Aguachica</w:t>
            </w:r>
          </w:p>
        </w:tc>
        <w:tc>
          <w:tcPr>
            <w:tcW w:w="1108" w:type="pct"/>
            <w:vAlign w:val="center"/>
            <w:hideMark/>
          </w:tcPr>
          <w:p w:rsidR="00C310DF" w:rsidRPr="00E21452" w:rsidRDefault="00C310DF" w:rsidP="00C310DF">
            <w:pPr>
              <w:cnfStyle w:val="000000100000"/>
              <w:rPr>
                <w:rFonts w:ascii="Verdana" w:hAnsi="Verdana"/>
                <w:sz w:val="22"/>
                <w:szCs w:val="22"/>
              </w:rPr>
            </w:pPr>
            <w:r w:rsidRPr="00E21452">
              <w:rPr>
                <w:rFonts w:ascii="Verdana" w:hAnsi="Verdana"/>
                <w:sz w:val="22"/>
                <w:szCs w:val="22"/>
              </w:rPr>
              <w:t xml:space="preserve">Realizar acompañamiento  y asesoría técnica al proceso de construcción física y social de la casa de la memoria municipal, emprendido por  </w:t>
            </w:r>
            <w:r w:rsidRPr="00E21452">
              <w:rPr>
                <w:rFonts w:ascii="Verdana" w:hAnsi="Verdana"/>
                <w:sz w:val="22"/>
                <w:szCs w:val="22"/>
              </w:rPr>
              <w:lastRenderedPageBreak/>
              <w:t xml:space="preserve">el ente territorial </w:t>
            </w:r>
          </w:p>
        </w:tc>
        <w:tc>
          <w:tcPr>
            <w:tcW w:w="3079" w:type="pct"/>
            <w:vAlign w:val="center"/>
            <w:hideMark/>
          </w:tcPr>
          <w:p w:rsidR="00C310DF" w:rsidRPr="00E21452" w:rsidRDefault="00C310DF" w:rsidP="00C310DF">
            <w:pPr>
              <w:cnfStyle w:val="000000100000"/>
              <w:rPr>
                <w:rFonts w:ascii="Verdana" w:hAnsi="Verdana"/>
                <w:sz w:val="22"/>
                <w:szCs w:val="22"/>
              </w:rPr>
            </w:pPr>
            <w:r w:rsidRPr="00E21452">
              <w:rPr>
                <w:rFonts w:ascii="Verdana" w:hAnsi="Verdana"/>
                <w:sz w:val="22"/>
                <w:szCs w:val="22"/>
              </w:rPr>
              <w:lastRenderedPageBreak/>
              <w:t>Se han hecho los primeros acercamientos con el ente territorial</w:t>
            </w:r>
          </w:p>
        </w:tc>
      </w:tr>
      <w:tr w:rsidR="00C310DF" w:rsidRPr="00E21452" w:rsidTr="00E21452">
        <w:trPr>
          <w:trHeight w:val="592"/>
          <w:jc w:val="center"/>
        </w:trPr>
        <w:tc>
          <w:tcPr>
            <w:cnfStyle w:val="001000000000"/>
            <w:tcW w:w="814" w:type="pct"/>
            <w:vAlign w:val="center"/>
            <w:hideMark/>
          </w:tcPr>
          <w:p w:rsidR="00C310DF" w:rsidRPr="00E21452" w:rsidRDefault="00C310DF" w:rsidP="00C310DF">
            <w:pPr>
              <w:rPr>
                <w:rFonts w:ascii="Verdana" w:hAnsi="Verdana"/>
                <w:b w:val="0"/>
                <w:sz w:val="22"/>
                <w:szCs w:val="22"/>
              </w:rPr>
            </w:pPr>
            <w:r w:rsidRPr="00E21452">
              <w:rPr>
                <w:rFonts w:ascii="Verdana" w:hAnsi="Verdana"/>
                <w:b w:val="0"/>
                <w:sz w:val="22"/>
                <w:szCs w:val="22"/>
              </w:rPr>
              <w:lastRenderedPageBreak/>
              <w:t xml:space="preserve">Solicitud de Acompañamiento Liborina </w:t>
            </w:r>
          </w:p>
        </w:tc>
        <w:tc>
          <w:tcPr>
            <w:tcW w:w="1108" w:type="pct"/>
            <w:vAlign w:val="center"/>
            <w:hideMark/>
          </w:tcPr>
          <w:p w:rsidR="00C310DF" w:rsidRPr="00E21452" w:rsidRDefault="00C310DF" w:rsidP="00C310DF">
            <w:pPr>
              <w:cnfStyle w:val="000000000000"/>
              <w:rPr>
                <w:rFonts w:ascii="Verdana" w:hAnsi="Verdana"/>
                <w:sz w:val="22"/>
                <w:szCs w:val="22"/>
              </w:rPr>
            </w:pPr>
            <w:r w:rsidRPr="00E21452">
              <w:rPr>
                <w:rFonts w:ascii="Verdana" w:hAnsi="Verdana"/>
                <w:sz w:val="22"/>
                <w:szCs w:val="22"/>
              </w:rPr>
              <w:t>Realizar acompañamiento  y asesoría técnica al proceso de construcción física y social de la casa de la memoria municipal, por solicitud del ente territorial.</w:t>
            </w:r>
          </w:p>
        </w:tc>
        <w:tc>
          <w:tcPr>
            <w:tcW w:w="3079" w:type="pct"/>
            <w:vAlign w:val="center"/>
            <w:hideMark/>
          </w:tcPr>
          <w:p w:rsidR="00C310DF" w:rsidRPr="00E21452" w:rsidRDefault="00C310DF" w:rsidP="00C310DF">
            <w:pPr>
              <w:cnfStyle w:val="000000000000"/>
              <w:rPr>
                <w:rFonts w:ascii="Verdana" w:hAnsi="Verdana"/>
                <w:sz w:val="22"/>
                <w:szCs w:val="22"/>
              </w:rPr>
            </w:pPr>
            <w:r w:rsidRPr="00E21452">
              <w:rPr>
                <w:rFonts w:ascii="Verdana" w:hAnsi="Verdana"/>
                <w:sz w:val="22"/>
                <w:szCs w:val="22"/>
              </w:rPr>
              <w:t>se recibió solicitud del ente territorial y se solicitó ampliación de información, aún se está esperando respuesta</w:t>
            </w:r>
          </w:p>
        </w:tc>
      </w:tr>
      <w:tr w:rsidR="00C310DF" w:rsidRPr="00E21452" w:rsidTr="00E21452">
        <w:trPr>
          <w:cnfStyle w:val="000000100000"/>
          <w:trHeight w:val="450"/>
          <w:jc w:val="center"/>
        </w:trPr>
        <w:tc>
          <w:tcPr>
            <w:cnfStyle w:val="001000000000"/>
            <w:tcW w:w="814" w:type="pct"/>
            <w:vAlign w:val="center"/>
            <w:hideMark/>
          </w:tcPr>
          <w:p w:rsidR="00C310DF" w:rsidRPr="00E21452" w:rsidRDefault="00C310DF" w:rsidP="00C310DF">
            <w:pPr>
              <w:rPr>
                <w:rFonts w:ascii="Verdana" w:hAnsi="Verdana"/>
                <w:b w:val="0"/>
                <w:sz w:val="22"/>
                <w:szCs w:val="22"/>
              </w:rPr>
            </w:pPr>
            <w:r w:rsidRPr="00E21452">
              <w:rPr>
                <w:rFonts w:ascii="Verdana" w:hAnsi="Verdana"/>
                <w:b w:val="0"/>
                <w:sz w:val="22"/>
                <w:szCs w:val="22"/>
              </w:rPr>
              <w:t>Solicitud de Acompañamiento  Apartadó</w:t>
            </w:r>
          </w:p>
        </w:tc>
        <w:tc>
          <w:tcPr>
            <w:tcW w:w="1108" w:type="pct"/>
            <w:vAlign w:val="center"/>
            <w:hideMark/>
          </w:tcPr>
          <w:p w:rsidR="00C310DF" w:rsidRPr="00E21452" w:rsidRDefault="00C310DF" w:rsidP="00C310DF">
            <w:pPr>
              <w:cnfStyle w:val="000000100000"/>
              <w:rPr>
                <w:rFonts w:ascii="Verdana" w:hAnsi="Verdana"/>
                <w:sz w:val="22"/>
                <w:szCs w:val="22"/>
              </w:rPr>
            </w:pPr>
            <w:r w:rsidRPr="00E21452">
              <w:rPr>
                <w:rFonts w:ascii="Verdana" w:hAnsi="Verdana"/>
                <w:sz w:val="22"/>
                <w:szCs w:val="22"/>
              </w:rPr>
              <w:t>Realizar acompañamiento  y asesoría técnica al proceso de construcción física y social de la casa de la memoria municipal, por solicitud del ente territorial.</w:t>
            </w:r>
          </w:p>
        </w:tc>
        <w:tc>
          <w:tcPr>
            <w:tcW w:w="3079" w:type="pct"/>
            <w:vAlign w:val="center"/>
            <w:hideMark/>
          </w:tcPr>
          <w:p w:rsidR="00C310DF" w:rsidRPr="00E21452" w:rsidRDefault="00C310DF" w:rsidP="00C310DF">
            <w:pPr>
              <w:cnfStyle w:val="000000100000"/>
              <w:rPr>
                <w:rFonts w:ascii="Verdana" w:hAnsi="Verdana"/>
                <w:sz w:val="22"/>
                <w:szCs w:val="22"/>
              </w:rPr>
            </w:pPr>
            <w:r w:rsidRPr="00E21452">
              <w:rPr>
                <w:rFonts w:ascii="Verdana" w:hAnsi="Verdana"/>
                <w:sz w:val="22"/>
                <w:szCs w:val="22"/>
              </w:rPr>
              <w:t>se recibió solicitud del ente territorial y se solicitó ampliación de información, aún se está esperando respuesta</w:t>
            </w:r>
          </w:p>
        </w:tc>
      </w:tr>
      <w:tr w:rsidR="00C310DF" w:rsidRPr="00E21452" w:rsidTr="00E21452">
        <w:trPr>
          <w:trHeight w:val="60"/>
          <w:jc w:val="center"/>
        </w:trPr>
        <w:tc>
          <w:tcPr>
            <w:cnfStyle w:val="001000000000"/>
            <w:tcW w:w="814" w:type="pct"/>
            <w:vAlign w:val="center"/>
            <w:hideMark/>
          </w:tcPr>
          <w:p w:rsidR="00C310DF" w:rsidRPr="00E21452" w:rsidRDefault="00C310DF" w:rsidP="00C310DF">
            <w:pPr>
              <w:rPr>
                <w:rFonts w:ascii="Verdana" w:hAnsi="Verdana"/>
                <w:b w:val="0"/>
                <w:sz w:val="22"/>
                <w:szCs w:val="22"/>
              </w:rPr>
            </w:pPr>
            <w:r w:rsidRPr="00E21452">
              <w:rPr>
                <w:rFonts w:ascii="Verdana" w:hAnsi="Verdana"/>
                <w:b w:val="0"/>
                <w:sz w:val="22"/>
                <w:szCs w:val="22"/>
              </w:rPr>
              <w:t>Solicitud de Acompañamiento Caicedo</w:t>
            </w:r>
          </w:p>
        </w:tc>
        <w:tc>
          <w:tcPr>
            <w:tcW w:w="1108" w:type="pct"/>
            <w:vAlign w:val="center"/>
            <w:hideMark/>
          </w:tcPr>
          <w:p w:rsidR="00C310DF" w:rsidRPr="00E21452" w:rsidRDefault="00C310DF" w:rsidP="00C310DF">
            <w:pPr>
              <w:cnfStyle w:val="000000000000"/>
              <w:rPr>
                <w:rFonts w:ascii="Verdana" w:hAnsi="Verdana"/>
                <w:sz w:val="22"/>
                <w:szCs w:val="22"/>
              </w:rPr>
            </w:pPr>
            <w:r w:rsidRPr="00E21452">
              <w:rPr>
                <w:rFonts w:ascii="Verdana" w:hAnsi="Verdana"/>
                <w:sz w:val="22"/>
                <w:szCs w:val="22"/>
              </w:rPr>
              <w:t>Realizar acompañamiento  y asesoría técnica al proceso de construcción física y social de la casa de la memoria municipal, por solicitud del ente territorial.</w:t>
            </w:r>
          </w:p>
        </w:tc>
        <w:tc>
          <w:tcPr>
            <w:tcW w:w="3079" w:type="pct"/>
            <w:vAlign w:val="center"/>
            <w:hideMark/>
          </w:tcPr>
          <w:p w:rsidR="00C310DF" w:rsidRPr="00E21452" w:rsidRDefault="00C310DF" w:rsidP="00C310DF">
            <w:pPr>
              <w:cnfStyle w:val="000000000000"/>
              <w:rPr>
                <w:rFonts w:ascii="Verdana" w:hAnsi="Verdana"/>
                <w:sz w:val="22"/>
                <w:szCs w:val="22"/>
              </w:rPr>
            </w:pPr>
            <w:r w:rsidRPr="00E21452">
              <w:rPr>
                <w:rFonts w:ascii="Verdana" w:hAnsi="Verdana"/>
                <w:sz w:val="22"/>
                <w:szCs w:val="22"/>
              </w:rPr>
              <w:t>el proceso ha sido remitido por el ministerio de cultura y se encuentra únicamente en solicitud</w:t>
            </w:r>
          </w:p>
        </w:tc>
      </w:tr>
      <w:tr w:rsidR="00C310DF" w:rsidRPr="00E21452" w:rsidTr="00E21452">
        <w:trPr>
          <w:cnfStyle w:val="000000100000"/>
          <w:trHeight w:val="753"/>
          <w:jc w:val="center"/>
        </w:trPr>
        <w:tc>
          <w:tcPr>
            <w:cnfStyle w:val="001000000000"/>
            <w:tcW w:w="814" w:type="pct"/>
            <w:vAlign w:val="center"/>
            <w:hideMark/>
          </w:tcPr>
          <w:p w:rsidR="00C310DF" w:rsidRPr="00E21452" w:rsidRDefault="00C310DF" w:rsidP="00C310DF">
            <w:pPr>
              <w:rPr>
                <w:rFonts w:ascii="Verdana" w:hAnsi="Verdana"/>
                <w:b w:val="0"/>
                <w:sz w:val="22"/>
                <w:szCs w:val="22"/>
              </w:rPr>
            </w:pPr>
            <w:r w:rsidRPr="00E21452">
              <w:rPr>
                <w:rFonts w:ascii="Verdana" w:hAnsi="Verdana"/>
                <w:b w:val="0"/>
                <w:sz w:val="22"/>
                <w:szCs w:val="22"/>
              </w:rPr>
              <w:t>Solicitud de Acompañamiento Santuario</w:t>
            </w:r>
          </w:p>
        </w:tc>
        <w:tc>
          <w:tcPr>
            <w:tcW w:w="1108" w:type="pct"/>
            <w:vAlign w:val="center"/>
            <w:hideMark/>
          </w:tcPr>
          <w:p w:rsidR="00C310DF" w:rsidRPr="00E21452" w:rsidRDefault="00C310DF" w:rsidP="00C310DF">
            <w:pPr>
              <w:cnfStyle w:val="000000100000"/>
              <w:rPr>
                <w:rFonts w:ascii="Verdana" w:hAnsi="Verdana"/>
                <w:sz w:val="22"/>
                <w:szCs w:val="22"/>
              </w:rPr>
            </w:pPr>
            <w:r w:rsidRPr="00E21452">
              <w:rPr>
                <w:rFonts w:ascii="Verdana" w:hAnsi="Verdana"/>
                <w:sz w:val="22"/>
                <w:szCs w:val="22"/>
              </w:rPr>
              <w:t xml:space="preserve">Realizar acompañamiento  y asesoría técnica al proceso de construcción física y social de la casa de la memoria municipal, por </w:t>
            </w:r>
            <w:r w:rsidRPr="00E21452">
              <w:rPr>
                <w:rFonts w:ascii="Verdana" w:hAnsi="Verdana"/>
                <w:sz w:val="22"/>
                <w:szCs w:val="22"/>
              </w:rPr>
              <w:lastRenderedPageBreak/>
              <w:t>solicitud del ente territorial.</w:t>
            </w:r>
          </w:p>
        </w:tc>
        <w:tc>
          <w:tcPr>
            <w:tcW w:w="3079" w:type="pct"/>
            <w:vAlign w:val="center"/>
            <w:hideMark/>
          </w:tcPr>
          <w:p w:rsidR="00C310DF" w:rsidRPr="00E21452" w:rsidRDefault="00C310DF" w:rsidP="00C310DF">
            <w:pPr>
              <w:cnfStyle w:val="000000100000"/>
              <w:rPr>
                <w:rFonts w:ascii="Verdana" w:hAnsi="Verdana"/>
                <w:sz w:val="22"/>
                <w:szCs w:val="22"/>
              </w:rPr>
            </w:pPr>
            <w:r w:rsidRPr="00E21452">
              <w:rPr>
                <w:rFonts w:ascii="Verdana" w:hAnsi="Verdana"/>
                <w:sz w:val="22"/>
                <w:szCs w:val="22"/>
              </w:rPr>
              <w:lastRenderedPageBreak/>
              <w:t>el proceso ha sido remitido por el ministerio de cultura y se encuentra únicamente en solicitud</w:t>
            </w:r>
          </w:p>
        </w:tc>
      </w:tr>
      <w:tr w:rsidR="00C310DF" w:rsidRPr="00E21452" w:rsidTr="00E21452">
        <w:trPr>
          <w:trHeight w:val="422"/>
          <w:jc w:val="center"/>
        </w:trPr>
        <w:tc>
          <w:tcPr>
            <w:cnfStyle w:val="001000000000"/>
            <w:tcW w:w="814" w:type="pct"/>
            <w:vAlign w:val="center"/>
            <w:hideMark/>
          </w:tcPr>
          <w:p w:rsidR="00C310DF" w:rsidRPr="00E21452" w:rsidRDefault="00C310DF" w:rsidP="00C310DF">
            <w:pPr>
              <w:rPr>
                <w:rFonts w:ascii="Verdana" w:hAnsi="Verdana"/>
                <w:b w:val="0"/>
                <w:sz w:val="22"/>
                <w:szCs w:val="22"/>
              </w:rPr>
            </w:pPr>
            <w:r w:rsidRPr="00E21452">
              <w:rPr>
                <w:rFonts w:ascii="Verdana" w:hAnsi="Verdana"/>
                <w:b w:val="0"/>
                <w:sz w:val="22"/>
                <w:szCs w:val="22"/>
              </w:rPr>
              <w:lastRenderedPageBreak/>
              <w:t>Solicitud de Acompañamiento Cocorná</w:t>
            </w:r>
          </w:p>
        </w:tc>
        <w:tc>
          <w:tcPr>
            <w:tcW w:w="1108" w:type="pct"/>
            <w:vAlign w:val="center"/>
            <w:hideMark/>
          </w:tcPr>
          <w:p w:rsidR="00C310DF" w:rsidRPr="00E21452" w:rsidRDefault="00C310DF" w:rsidP="00C310DF">
            <w:pPr>
              <w:cnfStyle w:val="000000000000"/>
              <w:rPr>
                <w:rFonts w:ascii="Verdana" w:hAnsi="Verdana"/>
                <w:sz w:val="22"/>
                <w:szCs w:val="22"/>
              </w:rPr>
            </w:pPr>
            <w:r w:rsidRPr="00E21452">
              <w:rPr>
                <w:rFonts w:ascii="Verdana" w:hAnsi="Verdana"/>
                <w:sz w:val="22"/>
                <w:szCs w:val="22"/>
              </w:rPr>
              <w:t>Realizar acompañamiento  y asesoría técnica al proceso de construcción física y social de la casa de la memoria municipal, por solicitud del ente territorial.</w:t>
            </w:r>
          </w:p>
        </w:tc>
        <w:tc>
          <w:tcPr>
            <w:tcW w:w="3079" w:type="pct"/>
            <w:vAlign w:val="center"/>
            <w:hideMark/>
          </w:tcPr>
          <w:p w:rsidR="00C310DF" w:rsidRPr="00E21452" w:rsidRDefault="00C310DF" w:rsidP="00C310DF">
            <w:pPr>
              <w:cnfStyle w:val="000000000000"/>
              <w:rPr>
                <w:rFonts w:ascii="Verdana" w:hAnsi="Verdana"/>
                <w:sz w:val="22"/>
                <w:szCs w:val="22"/>
              </w:rPr>
            </w:pPr>
            <w:r w:rsidRPr="00E21452">
              <w:rPr>
                <w:rFonts w:ascii="Verdana" w:hAnsi="Verdana"/>
                <w:sz w:val="22"/>
                <w:szCs w:val="22"/>
              </w:rPr>
              <w:t>el proceso ha sido remitido por el ministerio de cultura y se encuentra únicamente en solicitud</w:t>
            </w:r>
          </w:p>
        </w:tc>
      </w:tr>
      <w:tr w:rsidR="00C310DF" w:rsidRPr="00E21452" w:rsidTr="00E21452">
        <w:trPr>
          <w:cnfStyle w:val="000000100000"/>
          <w:trHeight w:val="774"/>
          <w:jc w:val="center"/>
        </w:trPr>
        <w:tc>
          <w:tcPr>
            <w:cnfStyle w:val="001000000000"/>
            <w:tcW w:w="814" w:type="pct"/>
            <w:vAlign w:val="center"/>
            <w:hideMark/>
          </w:tcPr>
          <w:p w:rsidR="00C310DF" w:rsidRPr="00E21452" w:rsidRDefault="00C310DF" w:rsidP="00C310DF">
            <w:pPr>
              <w:rPr>
                <w:rFonts w:ascii="Verdana" w:hAnsi="Verdana"/>
                <w:b w:val="0"/>
                <w:sz w:val="22"/>
                <w:szCs w:val="22"/>
              </w:rPr>
            </w:pPr>
            <w:r w:rsidRPr="00E21452">
              <w:rPr>
                <w:rFonts w:ascii="Verdana" w:hAnsi="Verdana"/>
                <w:b w:val="0"/>
                <w:sz w:val="22"/>
                <w:szCs w:val="22"/>
              </w:rPr>
              <w:t>Solicitud de Acompañamiento Colombia CONMEMORIA</w:t>
            </w:r>
          </w:p>
        </w:tc>
        <w:tc>
          <w:tcPr>
            <w:tcW w:w="1108" w:type="pct"/>
            <w:vAlign w:val="center"/>
            <w:hideMark/>
          </w:tcPr>
          <w:p w:rsidR="00C310DF" w:rsidRPr="00E21452" w:rsidRDefault="00C310DF" w:rsidP="00C310DF">
            <w:pPr>
              <w:cnfStyle w:val="000000100000"/>
              <w:rPr>
                <w:rFonts w:ascii="Verdana" w:hAnsi="Verdana"/>
                <w:sz w:val="22"/>
                <w:szCs w:val="22"/>
              </w:rPr>
            </w:pPr>
            <w:r w:rsidRPr="00E21452">
              <w:rPr>
                <w:rFonts w:ascii="Verdana" w:hAnsi="Verdana"/>
                <w:sz w:val="22"/>
                <w:szCs w:val="22"/>
              </w:rPr>
              <w:t>realizar acompañamiento  y asesoría técnica al proceso de construcción física y social del lugar de memoria de las victimas del avión de Avianca</w:t>
            </w:r>
          </w:p>
        </w:tc>
        <w:tc>
          <w:tcPr>
            <w:tcW w:w="3079" w:type="pct"/>
            <w:vAlign w:val="center"/>
            <w:hideMark/>
          </w:tcPr>
          <w:p w:rsidR="00C310DF" w:rsidRPr="00E21452" w:rsidRDefault="00C310DF" w:rsidP="00C310DF">
            <w:pPr>
              <w:cnfStyle w:val="000000100000"/>
              <w:rPr>
                <w:rFonts w:ascii="Verdana" w:hAnsi="Verdana"/>
                <w:sz w:val="22"/>
                <w:szCs w:val="22"/>
              </w:rPr>
            </w:pPr>
            <w:r w:rsidRPr="00E21452">
              <w:rPr>
                <w:rFonts w:ascii="Verdana" w:hAnsi="Verdana"/>
                <w:sz w:val="22"/>
                <w:szCs w:val="22"/>
              </w:rPr>
              <w:t>solo se encuentra en solicitud avalada por la dirección general</w:t>
            </w:r>
          </w:p>
        </w:tc>
      </w:tr>
      <w:tr w:rsidR="00C310DF" w:rsidRPr="00E21452" w:rsidTr="00E21452">
        <w:trPr>
          <w:trHeight w:val="60"/>
          <w:jc w:val="center"/>
        </w:trPr>
        <w:tc>
          <w:tcPr>
            <w:cnfStyle w:val="001000000000"/>
            <w:tcW w:w="814" w:type="pct"/>
            <w:vAlign w:val="center"/>
            <w:hideMark/>
          </w:tcPr>
          <w:p w:rsidR="00C310DF" w:rsidRPr="00E21452" w:rsidRDefault="00C310DF" w:rsidP="00C310DF">
            <w:pPr>
              <w:rPr>
                <w:rFonts w:ascii="Verdana" w:hAnsi="Verdana"/>
                <w:b w:val="0"/>
                <w:sz w:val="22"/>
                <w:szCs w:val="22"/>
              </w:rPr>
            </w:pPr>
            <w:r w:rsidRPr="00E21452">
              <w:rPr>
                <w:rFonts w:ascii="Verdana" w:hAnsi="Verdana"/>
                <w:b w:val="0"/>
                <w:sz w:val="22"/>
                <w:szCs w:val="22"/>
              </w:rPr>
              <w:t>Construcción Física y Social Lugar de Memoria Rionegro</w:t>
            </w:r>
          </w:p>
        </w:tc>
        <w:tc>
          <w:tcPr>
            <w:tcW w:w="1108" w:type="pct"/>
            <w:vAlign w:val="center"/>
            <w:hideMark/>
          </w:tcPr>
          <w:p w:rsidR="00C310DF" w:rsidRPr="00E21452" w:rsidRDefault="00C310DF" w:rsidP="00C310DF">
            <w:pPr>
              <w:cnfStyle w:val="000000000000"/>
              <w:rPr>
                <w:rFonts w:ascii="Verdana" w:hAnsi="Verdana"/>
                <w:sz w:val="22"/>
                <w:szCs w:val="22"/>
              </w:rPr>
            </w:pPr>
            <w:r w:rsidRPr="00E21452">
              <w:rPr>
                <w:rFonts w:ascii="Verdana" w:hAnsi="Verdana"/>
                <w:sz w:val="22"/>
                <w:szCs w:val="22"/>
              </w:rPr>
              <w:t>Realizar acompañamiento  y asesoría técnica al proceso de construcción física y social de la casa de la memoria municipal, por solicitud del ente territorial.</w:t>
            </w:r>
          </w:p>
        </w:tc>
        <w:tc>
          <w:tcPr>
            <w:tcW w:w="3079" w:type="pct"/>
            <w:vAlign w:val="center"/>
            <w:hideMark/>
          </w:tcPr>
          <w:p w:rsidR="00C310DF" w:rsidRPr="00E21452" w:rsidRDefault="00C310DF" w:rsidP="00C310DF">
            <w:pPr>
              <w:cnfStyle w:val="000000000000"/>
              <w:rPr>
                <w:rFonts w:ascii="Verdana" w:hAnsi="Verdana"/>
                <w:sz w:val="22"/>
                <w:szCs w:val="22"/>
              </w:rPr>
            </w:pPr>
            <w:r w:rsidRPr="00E21452">
              <w:rPr>
                <w:rFonts w:ascii="Verdana" w:hAnsi="Verdana"/>
                <w:sz w:val="22"/>
                <w:szCs w:val="22"/>
              </w:rPr>
              <w:t>solo se encuentra en solicitud vía PQRS</w:t>
            </w:r>
          </w:p>
        </w:tc>
      </w:tr>
      <w:tr w:rsidR="00C310DF" w:rsidRPr="00E21452" w:rsidTr="00E21452">
        <w:trPr>
          <w:cnfStyle w:val="000000100000"/>
          <w:trHeight w:val="60"/>
          <w:jc w:val="center"/>
        </w:trPr>
        <w:tc>
          <w:tcPr>
            <w:cnfStyle w:val="001000000000"/>
            <w:tcW w:w="814" w:type="pct"/>
            <w:vAlign w:val="center"/>
            <w:hideMark/>
          </w:tcPr>
          <w:p w:rsidR="00C310DF" w:rsidRPr="00E21452" w:rsidRDefault="00C310DF" w:rsidP="00C310DF">
            <w:pPr>
              <w:rPr>
                <w:rFonts w:ascii="Verdana" w:hAnsi="Verdana"/>
                <w:b w:val="0"/>
                <w:sz w:val="22"/>
                <w:szCs w:val="22"/>
              </w:rPr>
            </w:pPr>
            <w:r w:rsidRPr="00E21452">
              <w:rPr>
                <w:rFonts w:ascii="Verdana" w:hAnsi="Verdana"/>
                <w:b w:val="0"/>
                <w:sz w:val="22"/>
                <w:szCs w:val="22"/>
              </w:rPr>
              <w:t>Solicitud de Acompañamiento Cúcuta -Juan Atalaya</w:t>
            </w:r>
          </w:p>
        </w:tc>
        <w:tc>
          <w:tcPr>
            <w:tcW w:w="1108" w:type="pct"/>
            <w:vAlign w:val="center"/>
            <w:hideMark/>
          </w:tcPr>
          <w:p w:rsidR="00C310DF" w:rsidRPr="00E21452" w:rsidRDefault="00C310DF" w:rsidP="00C310DF">
            <w:pPr>
              <w:cnfStyle w:val="000000100000"/>
              <w:rPr>
                <w:rFonts w:ascii="Verdana" w:hAnsi="Verdana"/>
                <w:sz w:val="22"/>
                <w:szCs w:val="22"/>
              </w:rPr>
            </w:pPr>
            <w:r w:rsidRPr="00E21452">
              <w:rPr>
                <w:rFonts w:ascii="Verdana" w:hAnsi="Verdana"/>
                <w:sz w:val="22"/>
                <w:szCs w:val="22"/>
              </w:rPr>
              <w:t xml:space="preserve">realizar acompañamiento  y asesoría técnica al proceso de construcción física y social de un lugar de memoria </w:t>
            </w:r>
            <w:r w:rsidRPr="00E21452">
              <w:rPr>
                <w:rFonts w:ascii="Verdana" w:hAnsi="Verdana"/>
                <w:sz w:val="22"/>
                <w:szCs w:val="22"/>
              </w:rPr>
              <w:lastRenderedPageBreak/>
              <w:t>por petición de la organización hippipaz</w:t>
            </w:r>
          </w:p>
        </w:tc>
        <w:tc>
          <w:tcPr>
            <w:tcW w:w="3079" w:type="pct"/>
            <w:vAlign w:val="center"/>
            <w:hideMark/>
          </w:tcPr>
          <w:p w:rsidR="00C310DF" w:rsidRPr="00E21452" w:rsidRDefault="00C310DF" w:rsidP="00C310DF">
            <w:pPr>
              <w:cnfStyle w:val="000000100000"/>
              <w:rPr>
                <w:rFonts w:ascii="Verdana" w:hAnsi="Verdana"/>
                <w:sz w:val="22"/>
                <w:szCs w:val="22"/>
              </w:rPr>
            </w:pPr>
            <w:r w:rsidRPr="00E21452">
              <w:rPr>
                <w:rFonts w:ascii="Verdana" w:hAnsi="Verdana"/>
                <w:sz w:val="22"/>
                <w:szCs w:val="22"/>
              </w:rPr>
              <w:lastRenderedPageBreak/>
              <w:t>solo se encuentra en solicitud realizada a la estrategia Nación Territorio y remitida a la dirección de Museo</w:t>
            </w:r>
          </w:p>
        </w:tc>
      </w:tr>
      <w:tr w:rsidR="00C310DF" w:rsidRPr="00E21452" w:rsidTr="00E21452">
        <w:trPr>
          <w:trHeight w:val="60"/>
          <w:jc w:val="center"/>
        </w:trPr>
        <w:tc>
          <w:tcPr>
            <w:cnfStyle w:val="001000000000"/>
            <w:tcW w:w="814" w:type="pct"/>
            <w:vAlign w:val="center"/>
            <w:hideMark/>
          </w:tcPr>
          <w:p w:rsidR="00C310DF" w:rsidRPr="00E21452" w:rsidRDefault="00C310DF" w:rsidP="00C310DF">
            <w:pPr>
              <w:rPr>
                <w:rFonts w:ascii="Verdana" w:hAnsi="Verdana"/>
                <w:b w:val="0"/>
                <w:sz w:val="22"/>
                <w:szCs w:val="22"/>
              </w:rPr>
            </w:pPr>
            <w:r w:rsidRPr="00E21452">
              <w:rPr>
                <w:rFonts w:ascii="Verdana" w:hAnsi="Verdana"/>
                <w:b w:val="0"/>
                <w:sz w:val="22"/>
                <w:szCs w:val="22"/>
              </w:rPr>
              <w:lastRenderedPageBreak/>
              <w:t>Solicitud de Acompañamiento Lugar de Memoria Regional de Nariño</w:t>
            </w:r>
          </w:p>
        </w:tc>
        <w:tc>
          <w:tcPr>
            <w:tcW w:w="1108" w:type="pct"/>
            <w:vAlign w:val="center"/>
            <w:hideMark/>
          </w:tcPr>
          <w:p w:rsidR="00C310DF" w:rsidRPr="00E21452" w:rsidRDefault="00C310DF" w:rsidP="00C310DF">
            <w:pPr>
              <w:cnfStyle w:val="000000000000"/>
              <w:rPr>
                <w:rFonts w:ascii="Verdana" w:hAnsi="Verdana"/>
                <w:sz w:val="22"/>
                <w:szCs w:val="22"/>
              </w:rPr>
            </w:pPr>
            <w:r w:rsidRPr="00E21452">
              <w:rPr>
                <w:rFonts w:ascii="Verdana" w:hAnsi="Verdana"/>
                <w:sz w:val="22"/>
                <w:szCs w:val="22"/>
              </w:rPr>
              <w:t>realizar acompañamiento  y  asesoría técnica al proceso de construcción física y social del lugar de memoria departamental, emprendido por el ente territorial</w:t>
            </w:r>
          </w:p>
        </w:tc>
        <w:tc>
          <w:tcPr>
            <w:tcW w:w="3079" w:type="pct"/>
            <w:vAlign w:val="center"/>
            <w:hideMark/>
          </w:tcPr>
          <w:p w:rsidR="00C310DF" w:rsidRPr="00E21452" w:rsidRDefault="00C310DF" w:rsidP="00C310DF">
            <w:pPr>
              <w:cnfStyle w:val="000000000000"/>
              <w:rPr>
                <w:rFonts w:ascii="Verdana" w:hAnsi="Verdana"/>
                <w:sz w:val="22"/>
                <w:szCs w:val="22"/>
              </w:rPr>
            </w:pPr>
            <w:r w:rsidRPr="00E21452">
              <w:rPr>
                <w:rFonts w:ascii="Verdana" w:hAnsi="Verdana"/>
                <w:sz w:val="22"/>
                <w:szCs w:val="22"/>
              </w:rPr>
              <w:t>se ha tenido un proceso de articulación con la gobernación que permitió la realización de un diplomado en memoria histórica durante 2014, como preparación para el proceso del lugar de memoria</w:t>
            </w:r>
          </w:p>
        </w:tc>
      </w:tr>
    </w:tbl>
    <w:p w:rsidR="00C310DF" w:rsidRPr="00BC7F3F" w:rsidRDefault="00C310DF" w:rsidP="00C310DF">
      <w:pPr>
        <w:spacing w:after="0" w:line="240" w:lineRule="auto"/>
        <w:contextualSpacing/>
        <w:jc w:val="both"/>
        <w:rPr>
          <w:rFonts w:ascii="Verdana" w:hAnsi="Verdana"/>
          <w:sz w:val="24"/>
          <w:szCs w:val="24"/>
        </w:rPr>
      </w:pPr>
    </w:p>
    <w:p w:rsidR="00C310DF" w:rsidRPr="00BC7F3F" w:rsidRDefault="00C310DF" w:rsidP="00C310DF">
      <w:pPr>
        <w:spacing w:after="0" w:line="240" w:lineRule="auto"/>
        <w:contextualSpacing/>
        <w:jc w:val="both"/>
        <w:rPr>
          <w:rFonts w:ascii="Verdana" w:hAnsi="Verdana"/>
          <w:sz w:val="24"/>
          <w:szCs w:val="24"/>
        </w:rPr>
      </w:pPr>
      <w:r w:rsidRPr="00BC7F3F">
        <w:rPr>
          <w:rFonts w:ascii="Verdana" w:hAnsi="Verdana"/>
          <w:sz w:val="24"/>
          <w:szCs w:val="24"/>
        </w:rPr>
        <w:t xml:space="preserve">Se realizó un acompañamiento y seguimiento  técnico y financiero a las propuestas ganadoras  de la ganadoras Convocatoria Estímulos 2013, en todos los procesos que han derivado de la beca y del premio a la Fundación. Chasquis (Beca) y Salón del Nunca Más (Premio). </w:t>
      </w:r>
    </w:p>
    <w:p w:rsidR="00C310DF" w:rsidRPr="00BC7F3F" w:rsidRDefault="00C310DF" w:rsidP="00C310DF">
      <w:pPr>
        <w:spacing w:after="0" w:line="240" w:lineRule="auto"/>
        <w:contextualSpacing/>
        <w:jc w:val="both"/>
        <w:rPr>
          <w:rFonts w:ascii="Verdana" w:hAnsi="Verdana"/>
          <w:sz w:val="24"/>
          <w:szCs w:val="24"/>
        </w:rPr>
      </w:pPr>
    </w:p>
    <w:p w:rsidR="00C310DF" w:rsidRPr="00BC7F3F" w:rsidRDefault="00C310DF" w:rsidP="00C310DF">
      <w:pPr>
        <w:spacing w:after="0" w:line="240" w:lineRule="auto"/>
        <w:contextualSpacing/>
        <w:jc w:val="both"/>
        <w:rPr>
          <w:rFonts w:ascii="Verdana" w:hAnsi="Verdana"/>
          <w:sz w:val="24"/>
          <w:szCs w:val="24"/>
        </w:rPr>
      </w:pPr>
      <w:r w:rsidRPr="00BC7F3F">
        <w:rPr>
          <w:rFonts w:ascii="Verdana" w:hAnsi="Verdana"/>
          <w:sz w:val="24"/>
          <w:szCs w:val="24"/>
        </w:rPr>
        <w:t>El lanzamiento de la  II Convocatoria 2014 incluyó una etapa de socialización en Tumaco, Cali, Bogotá, Villavicencio y Medellín, trayendo luego la recepción de las propuestas y la deliberación interna para elegir un jurado que garantizara objetividad y profesionalismo. Para está convocatoria se destinaron y ejecutaron $305.000.000 en recursos.</w:t>
      </w:r>
    </w:p>
    <w:p w:rsidR="00C310DF" w:rsidRPr="00BC7F3F" w:rsidRDefault="00C310DF" w:rsidP="00C310DF">
      <w:pPr>
        <w:spacing w:after="0" w:line="240" w:lineRule="auto"/>
        <w:contextualSpacing/>
        <w:jc w:val="both"/>
        <w:rPr>
          <w:rFonts w:ascii="Verdana" w:hAnsi="Verdana"/>
          <w:sz w:val="24"/>
          <w:szCs w:val="24"/>
        </w:rPr>
      </w:pPr>
    </w:p>
    <w:p w:rsidR="00C310DF" w:rsidRPr="00BC7F3F" w:rsidRDefault="00C310DF" w:rsidP="00C310DF">
      <w:pPr>
        <w:spacing w:after="0" w:line="240" w:lineRule="auto"/>
        <w:contextualSpacing/>
        <w:jc w:val="both"/>
        <w:rPr>
          <w:rFonts w:ascii="Verdana" w:hAnsi="Verdana"/>
          <w:sz w:val="24"/>
          <w:szCs w:val="24"/>
        </w:rPr>
      </w:pPr>
      <w:r w:rsidRPr="00BC7F3F">
        <w:rPr>
          <w:rFonts w:ascii="Verdana" w:hAnsi="Verdana"/>
          <w:sz w:val="24"/>
          <w:szCs w:val="24"/>
        </w:rPr>
        <w:t>Se iniciaron los  procesos para la  producción  editorial de un libro ilustrado que compile las cuatro (4) propuestas ganadoras en la Categoría Reconocimiento a la Creación Literaria - Narrativas de Vida y de Memoria, ofertada en la II Convocatoria de Propuestas Artísticas y Culturales de Memoria 2014, con el fin de garantizar la difusión y circulación de este material literario.</w:t>
      </w:r>
      <w:r w:rsidRPr="00BC7F3F">
        <w:rPr>
          <w:rFonts w:ascii="Verdana" w:hAnsi="Arial" w:cs="Arial"/>
          <w:sz w:val="24"/>
          <w:szCs w:val="24"/>
        </w:rPr>
        <w:t>​​</w:t>
      </w:r>
    </w:p>
    <w:p w:rsidR="00C310DF" w:rsidRPr="00BC7F3F" w:rsidRDefault="00C310DF" w:rsidP="00C310DF">
      <w:pPr>
        <w:spacing w:after="0" w:line="240" w:lineRule="auto"/>
        <w:contextualSpacing/>
        <w:jc w:val="both"/>
        <w:rPr>
          <w:rFonts w:ascii="Verdana" w:hAnsi="Verdana"/>
          <w:sz w:val="24"/>
          <w:szCs w:val="24"/>
        </w:rPr>
      </w:pPr>
    </w:p>
    <w:p w:rsidR="00C310DF" w:rsidRPr="00BC7F3F" w:rsidRDefault="00C310DF" w:rsidP="00C310DF">
      <w:pPr>
        <w:spacing w:after="0" w:line="240" w:lineRule="auto"/>
        <w:contextualSpacing/>
        <w:jc w:val="both"/>
        <w:rPr>
          <w:rFonts w:ascii="Verdana" w:hAnsi="Verdana"/>
          <w:sz w:val="24"/>
          <w:szCs w:val="24"/>
        </w:rPr>
      </w:pPr>
      <w:r w:rsidRPr="00BC7F3F">
        <w:rPr>
          <w:rFonts w:ascii="Verdana" w:hAnsi="Verdana"/>
          <w:sz w:val="24"/>
          <w:szCs w:val="24"/>
        </w:rPr>
        <w:t>Se realizaron 56 talleres a lo largo del país, dentro de los que se cuentan la participación en la feria del libro en el mes de abril, la conmemoración de la masacre de la Masacre de Bojayá el 2 de mayo, la semana por la desaparición forzada, el lanzamiento de un CD en el CARARE, y el pre-lanzamiento del Museo Itinerante de los Montes de María, entre otros.</w:t>
      </w:r>
    </w:p>
    <w:p w:rsidR="00C310DF" w:rsidRPr="00BC7F3F" w:rsidRDefault="00C310DF" w:rsidP="00C310DF">
      <w:pPr>
        <w:spacing w:after="0" w:line="240" w:lineRule="auto"/>
        <w:contextualSpacing/>
        <w:jc w:val="both"/>
        <w:rPr>
          <w:rFonts w:ascii="Verdana" w:hAnsi="Verdana"/>
          <w:sz w:val="24"/>
          <w:szCs w:val="24"/>
        </w:rPr>
      </w:pPr>
    </w:p>
    <w:p w:rsidR="00C310DF" w:rsidRPr="00BC7F3F" w:rsidRDefault="00C310DF" w:rsidP="00C310DF">
      <w:pPr>
        <w:spacing w:after="0" w:line="240" w:lineRule="auto"/>
        <w:contextualSpacing/>
        <w:jc w:val="both"/>
        <w:rPr>
          <w:rFonts w:ascii="Verdana" w:hAnsi="Verdana"/>
          <w:sz w:val="24"/>
          <w:szCs w:val="24"/>
        </w:rPr>
      </w:pPr>
      <w:r w:rsidRPr="00BC7F3F">
        <w:rPr>
          <w:rFonts w:ascii="Verdana" w:hAnsi="Verdana"/>
          <w:sz w:val="24"/>
          <w:szCs w:val="24"/>
        </w:rPr>
        <w:lastRenderedPageBreak/>
        <w:t>Cabe resaltar la realización del seminario internacional sobre museos y lugares de memoria, en los días 14, 15 y 16 de octubre de 2014, con participación de 40 invitados nacionales, 6 internacionales, en jornadas de conferencias públicas para una audiencia de 320 personas durante las mañanas, y jornadas de mesas de trabajo cerradas con organizaciones de víctimas, DDHH, del sector cultural y del gobierno, durante las tardes. </w:t>
      </w:r>
    </w:p>
    <w:p w:rsidR="00C310DF" w:rsidRPr="00BC7F3F" w:rsidRDefault="00C310DF" w:rsidP="00C310DF">
      <w:pPr>
        <w:spacing w:after="0" w:line="240" w:lineRule="auto"/>
        <w:contextualSpacing/>
        <w:jc w:val="both"/>
        <w:rPr>
          <w:rFonts w:ascii="Verdana" w:hAnsi="Verdana"/>
          <w:sz w:val="24"/>
          <w:szCs w:val="24"/>
        </w:rPr>
      </w:pPr>
      <w:r w:rsidRPr="00BC7F3F">
        <w:rPr>
          <w:rFonts w:ascii="Verdana" w:hAnsi="Verdana"/>
          <w:sz w:val="24"/>
          <w:szCs w:val="24"/>
        </w:rPr>
        <w:t xml:space="preserve"> </w:t>
      </w:r>
    </w:p>
    <w:p w:rsidR="00C310DF" w:rsidRPr="00BC7F3F" w:rsidRDefault="00C310DF" w:rsidP="00C310DF">
      <w:pPr>
        <w:spacing w:after="0" w:line="240" w:lineRule="auto"/>
        <w:contextualSpacing/>
        <w:jc w:val="both"/>
        <w:rPr>
          <w:rFonts w:ascii="Verdana" w:hAnsi="Verdana"/>
          <w:sz w:val="24"/>
          <w:szCs w:val="24"/>
        </w:rPr>
      </w:pPr>
      <w:r w:rsidRPr="00BC7F3F">
        <w:rPr>
          <w:rFonts w:ascii="Verdana" w:hAnsi="Verdana"/>
          <w:sz w:val="24"/>
          <w:szCs w:val="24"/>
        </w:rPr>
        <w:t>La Feria del Libro de Bogotá, se  convirtió en un escenario propicio para una muestra pública de arte y conflicto, que evocaba el dolor de las víctimas, pero también una reflexión de resistencia y dignidad,  acompañada de  talleres pedagógicos permanentes. La  exposición itinerante además contó con  la participación de “Les voy a contar la Historia” de la Fundación Chasquis.</w:t>
      </w:r>
    </w:p>
    <w:p w:rsidR="00C310DF" w:rsidRPr="00BC7F3F" w:rsidRDefault="00C310DF" w:rsidP="00C310DF">
      <w:pPr>
        <w:spacing w:after="0" w:line="240" w:lineRule="auto"/>
        <w:contextualSpacing/>
        <w:jc w:val="both"/>
        <w:rPr>
          <w:rFonts w:ascii="Verdana" w:hAnsi="Verdana"/>
          <w:sz w:val="24"/>
          <w:szCs w:val="24"/>
        </w:rPr>
      </w:pPr>
    </w:p>
    <w:p w:rsidR="00C310DF" w:rsidRPr="00BC7F3F" w:rsidRDefault="00C310DF" w:rsidP="00C310DF">
      <w:pPr>
        <w:spacing w:after="0" w:line="240" w:lineRule="auto"/>
        <w:contextualSpacing/>
        <w:jc w:val="both"/>
        <w:rPr>
          <w:rFonts w:ascii="Verdana" w:hAnsi="Verdana"/>
          <w:sz w:val="24"/>
          <w:szCs w:val="24"/>
        </w:rPr>
      </w:pPr>
      <w:r w:rsidRPr="00BC7F3F">
        <w:rPr>
          <w:rFonts w:ascii="Verdana" w:hAnsi="Verdana"/>
          <w:sz w:val="24"/>
          <w:szCs w:val="24"/>
        </w:rPr>
        <w:t>La exposición basada en el Informe General: ¡Basta Ya! Colombia Memorias de Guerra y Dignidad se llevó a ciudades como Cartagena y Medellín, dividiéndose en dos segmentos que daban cuenta de:</w:t>
      </w:r>
    </w:p>
    <w:p w:rsidR="00C310DF" w:rsidRPr="00BC7F3F" w:rsidRDefault="00C310DF" w:rsidP="00C310DF">
      <w:pPr>
        <w:spacing w:after="0" w:line="240" w:lineRule="auto"/>
        <w:contextualSpacing/>
        <w:jc w:val="both"/>
        <w:rPr>
          <w:rFonts w:ascii="Verdana" w:hAnsi="Verdana"/>
          <w:sz w:val="24"/>
          <w:szCs w:val="24"/>
        </w:rPr>
      </w:pPr>
    </w:p>
    <w:p w:rsidR="00C310DF" w:rsidRPr="00E21452" w:rsidRDefault="00C310DF" w:rsidP="00905C49">
      <w:pPr>
        <w:numPr>
          <w:ilvl w:val="0"/>
          <w:numId w:val="69"/>
        </w:numPr>
        <w:spacing w:after="0" w:line="240" w:lineRule="auto"/>
        <w:contextualSpacing/>
        <w:jc w:val="both"/>
        <w:rPr>
          <w:rFonts w:ascii="Verdana" w:hAnsi="Verdana"/>
          <w:sz w:val="24"/>
          <w:szCs w:val="24"/>
          <w:lang w:eastAsia="es-CO"/>
        </w:rPr>
      </w:pPr>
      <w:r w:rsidRPr="00E21452">
        <w:rPr>
          <w:rFonts w:ascii="Verdana" w:hAnsi="Verdana"/>
          <w:bCs/>
          <w:sz w:val="24"/>
          <w:szCs w:val="24"/>
          <w:lang w:eastAsia="es-CO"/>
        </w:rPr>
        <w:t>El Horror:</w:t>
      </w:r>
      <w:r w:rsidRPr="00E21452">
        <w:rPr>
          <w:rFonts w:ascii="Verdana" w:hAnsi="Verdana"/>
          <w:sz w:val="24"/>
          <w:szCs w:val="24"/>
          <w:lang w:eastAsia="es-CO"/>
        </w:rPr>
        <w:t xml:space="preserve"> Violencias de todos los actores armados y violación de Derechos Humanos.</w:t>
      </w:r>
    </w:p>
    <w:p w:rsidR="00C310DF" w:rsidRPr="00E21452" w:rsidRDefault="00C310DF" w:rsidP="00905C49">
      <w:pPr>
        <w:numPr>
          <w:ilvl w:val="0"/>
          <w:numId w:val="69"/>
        </w:numPr>
        <w:spacing w:after="0" w:line="240" w:lineRule="auto"/>
        <w:contextualSpacing/>
        <w:jc w:val="both"/>
        <w:rPr>
          <w:rFonts w:ascii="Verdana" w:hAnsi="Verdana"/>
          <w:sz w:val="24"/>
          <w:szCs w:val="24"/>
          <w:lang w:eastAsia="es-CO"/>
        </w:rPr>
      </w:pPr>
      <w:r w:rsidRPr="00E21452">
        <w:rPr>
          <w:rFonts w:ascii="Verdana" w:hAnsi="Verdana"/>
          <w:bCs/>
          <w:sz w:val="24"/>
          <w:szCs w:val="24"/>
          <w:lang w:eastAsia="es-CO"/>
        </w:rPr>
        <w:t>Los daños, el sufrimiento y el dolor:</w:t>
      </w:r>
      <w:r w:rsidRPr="00E21452">
        <w:rPr>
          <w:rFonts w:ascii="Verdana" w:hAnsi="Verdana"/>
          <w:sz w:val="24"/>
          <w:szCs w:val="24"/>
          <w:lang w:eastAsia="es-CO"/>
        </w:rPr>
        <w:t xml:space="preserve"> Daño e impactos del conflicto en la población civil.</w:t>
      </w:r>
    </w:p>
    <w:p w:rsidR="00C310DF" w:rsidRPr="00BC7F3F" w:rsidRDefault="00C310DF" w:rsidP="00905C49">
      <w:pPr>
        <w:numPr>
          <w:ilvl w:val="0"/>
          <w:numId w:val="69"/>
        </w:numPr>
        <w:spacing w:after="0" w:line="240" w:lineRule="auto"/>
        <w:contextualSpacing/>
        <w:jc w:val="both"/>
        <w:rPr>
          <w:rFonts w:ascii="Verdana" w:hAnsi="Verdana"/>
          <w:sz w:val="24"/>
          <w:szCs w:val="24"/>
          <w:lang w:eastAsia="es-CO"/>
        </w:rPr>
      </w:pPr>
      <w:r w:rsidRPr="00E21452">
        <w:rPr>
          <w:rFonts w:ascii="Verdana" w:hAnsi="Verdana"/>
          <w:bCs/>
          <w:sz w:val="24"/>
          <w:szCs w:val="24"/>
          <w:lang w:eastAsia="es-CO"/>
        </w:rPr>
        <w:t>Dignidad, resistencia e iniciativas de memoria:</w:t>
      </w:r>
      <w:r w:rsidRPr="00E21452">
        <w:rPr>
          <w:rFonts w:ascii="Verdana" w:hAnsi="Verdana"/>
          <w:sz w:val="24"/>
          <w:szCs w:val="24"/>
          <w:lang w:eastAsia="es-CO"/>
        </w:rPr>
        <w:t xml:space="preserve"> como las víctimas y la sociedad resisten ejemplar, valiente y extraordinariamente ante el conflicto, y cuáles son sus iniciativas de memoria</w:t>
      </w:r>
      <w:r w:rsidRPr="00BC7F3F">
        <w:rPr>
          <w:rFonts w:ascii="Verdana" w:hAnsi="Verdana"/>
          <w:sz w:val="24"/>
          <w:szCs w:val="24"/>
          <w:lang w:eastAsia="es-CO"/>
        </w:rPr>
        <w:t>.</w:t>
      </w:r>
    </w:p>
    <w:p w:rsidR="00C310DF" w:rsidRPr="00BC7F3F" w:rsidRDefault="00C310DF" w:rsidP="00C310DF">
      <w:pPr>
        <w:spacing w:after="0" w:line="240" w:lineRule="auto"/>
        <w:contextualSpacing/>
        <w:rPr>
          <w:rFonts w:ascii="Verdana" w:hAnsi="Verdana"/>
          <w:sz w:val="24"/>
          <w:szCs w:val="24"/>
        </w:rPr>
      </w:pPr>
    </w:p>
    <w:p w:rsidR="00C310DF" w:rsidRPr="00BC7F3F" w:rsidRDefault="00C310DF" w:rsidP="00C310DF">
      <w:pPr>
        <w:spacing w:after="0" w:line="240" w:lineRule="auto"/>
        <w:contextualSpacing/>
        <w:jc w:val="both"/>
        <w:rPr>
          <w:rFonts w:ascii="Verdana" w:hAnsi="Verdana"/>
          <w:sz w:val="24"/>
          <w:szCs w:val="24"/>
          <w:lang w:eastAsia="es-CO"/>
        </w:rPr>
      </w:pPr>
      <w:r w:rsidRPr="00BC7F3F">
        <w:rPr>
          <w:rFonts w:ascii="Verdana" w:hAnsi="Verdana"/>
          <w:sz w:val="24"/>
          <w:szCs w:val="24"/>
        </w:rPr>
        <w:t>Adicionalmente, como componente de participación, todas las personas que desearon, entregaron  sus frases, ideas, pensamientos u opiniones enmarcados en el concepto de la paz, depositándolos así en la urna “1000 Propuestas para la No Repetición”.</w:t>
      </w:r>
    </w:p>
    <w:p w:rsidR="00C310DF" w:rsidRPr="00BC7F3F" w:rsidRDefault="00C310DF" w:rsidP="00C310DF">
      <w:pPr>
        <w:spacing w:after="0" w:line="240" w:lineRule="auto"/>
        <w:contextualSpacing/>
        <w:jc w:val="both"/>
        <w:rPr>
          <w:rFonts w:ascii="Verdana" w:hAnsi="Verdana" w:cs="Arial"/>
          <w:sz w:val="24"/>
          <w:szCs w:val="24"/>
        </w:rPr>
      </w:pPr>
    </w:p>
    <w:p w:rsidR="00C310DF" w:rsidRPr="00BC7F3F" w:rsidRDefault="00C310DF" w:rsidP="00C310DF">
      <w:pPr>
        <w:spacing w:after="0" w:line="240" w:lineRule="auto"/>
        <w:contextualSpacing/>
        <w:jc w:val="both"/>
        <w:rPr>
          <w:rFonts w:ascii="Verdana" w:hAnsi="Verdana" w:cs="Arial"/>
          <w:sz w:val="24"/>
          <w:szCs w:val="24"/>
          <w:lang w:val="es-MX"/>
        </w:rPr>
      </w:pPr>
      <w:r w:rsidRPr="00BC7F3F">
        <w:rPr>
          <w:rFonts w:ascii="Verdana" w:hAnsi="Verdana" w:cs="Arial"/>
          <w:sz w:val="24"/>
          <w:szCs w:val="24"/>
        </w:rPr>
        <w:t xml:space="preserve">Así mismo, </w:t>
      </w:r>
      <w:r w:rsidRPr="00BC7F3F">
        <w:rPr>
          <w:rFonts w:ascii="Verdana" w:hAnsi="Verdana" w:cs="Arial"/>
          <w:sz w:val="24"/>
          <w:szCs w:val="24"/>
          <w:lang w:val="es-MX"/>
        </w:rPr>
        <w:t>se realizaron  las exposiciones "Memorias Plurales del Conflicto". (30 de spt. - dic. 8) en Fachada de Embajada Francesa y la realización  de la exposición "Todos somos Memoria" en Terraza del Centro Cultural Gabriel García Márquez (14 oct. - 14 nov.)</w:t>
      </w:r>
    </w:p>
    <w:p w:rsidR="00C310DF" w:rsidRPr="00BC7F3F" w:rsidRDefault="00C310DF" w:rsidP="00C310DF">
      <w:pPr>
        <w:spacing w:after="0" w:line="240" w:lineRule="auto"/>
        <w:contextualSpacing/>
        <w:jc w:val="both"/>
        <w:rPr>
          <w:rFonts w:ascii="Verdana" w:hAnsi="Verdana" w:cs="Arial"/>
          <w:sz w:val="24"/>
          <w:szCs w:val="24"/>
          <w:lang w:val="es-MX"/>
        </w:rPr>
      </w:pPr>
    </w:p>
    <w:p w:rsidR="00C310DF" w:rsidRPr="00BC7F3F" w:rsidRDefault="00C310DF" w:rsidP="00C310DF">
      <w:pPr>
        <w:spacing w:after="0" w:line="240" w:lineRule="auto"/>
        <w:contextualSpacing/>
        <w:jc w:val="both"/>
        <w:rPr>
          <w:rFonts w:ascii="Verdana" w:hAnsi="Verdana" w:cs="Arial"/>
          <w:sz w:val="24"/>
          <w:szCs w:val="24"/>
          <w:lang w:val="es-MX"/>
        </w:rPr>
      </w:pPr>
      <w:r w:rsidRPr="00BC7F3F">
        <w:rPr>
          <w:rFonts w:ascii="Verdana" w:hAnsi="Verdana" w:cs="Arial"/>
          <w:sz w:val="24"/>
          <w:szCs w:val="24"/>
          <w:lang w:val="es-MX"/>
        </w:rPr>
        <w:t xml:space="preserve">Se abrió y premió, en espacios adecuados para la libre expresión, la convocatoria pública Infrarrojo: historias de luz que no se ven - Reconocimiento Nacional de Fotografía de la Memoria, que tuvo como objetivo principal reconocer y hacer </w:t>
      </w:r>
      <w:r w:rsidRPr="00BC7F3F">
        <w:rPr>
          <w:rFonts w:ascii="Verdana" w:hAnsi="Verdana" w:cs="Arial"/>
          <w:sz w:val="24"/>
          <w:szCs w:val="24"/>
          <w:lang w:val="es-MX"/>
        </w:rPr>
        <w:lastRenderedPageBreak/>
        <w:t>visible la labor de fotógrafos profesionales, aficionados, y medios de comunicación comunitarios que hubiesen trabajado el tema de memoria histórica del conflicto armado en Colombia. Para la convocatoria la dirección ejecutó $90.000.000.</w:t>
      </w:r>
    </w:p>
    <w:p w:rsidR="00C310DF" w:rsidRPr="00BC7F3F" w:rsidRDefault="00C310DF" w:rsidP="00C310DF">
      <w:pPr>
        <w:spacing w:after="0" w:line="240" w:lineRule="auto"/>
        <w:contextualSpacing/>
        <w:jc w:val="both"/>
        <w:rPr>
          <w:rFonts w:ascii="Verdana" w:hAnsi="Verdana" w:cs="Arial"/>
          <w:sz w:val="24"/>
          <w:szCs w:val="24"/>
          <w:lang w:val="es-MX"/>
        </w:rPr>
      </w:pPr>
    </w:p>
    <w:p w:rsidR="00C310DF" w:rsidRPr="00BC7F3F" w:rsidRDefault="00C310DF" w:rsidP="00C310DF">
      <w:pPr>
        <w:spacing w:after="0" w:line="240" w:lineRule="auto"/>
        <w:contextualSpacing/>
        <w:jc w:val="both"/>
        <w:rPr>
          <w:rFonts w:ascii="Verdana" w:hAnsi="Verdana" w:cs="Arial"/>
          <w:sz w:val="24"/>
          <w:szCs w:val="24"/>
          <w:lang w:val="es-MX"/>
        </w:rPr>
      </w:pPr>
      <w:r w:rsidRPr="00BC7F3F">
        <w:rPr>
          <w:rFonts w:ascii="Verdana" w:hAnsi="Verdana" w:cs="Arial"/>
          <w:sz w:val="24"/>
          <w:szCs w:val="24"/>
          <w:lang w:val="es-MX"/>
        </w:rPr>
        <w:t xml:space="preserve">De otra parte, para responder a una generación conceptual participativa, se realizó  un convenio con Colciencias para el desarrollo de una estrategia de participación operada por el CINEP dirigida a la consulta territorial sobre la opinión de las víctimas frente al Museo, ejecutado a un 90% a través de 5 talleres nacionales, 12 talleres regionales y 35 grupos focales en diferentes municipios del país, en este momento el proyecto se encuentra en su fase final de sistematización. </w:t>
      </w:r>
    </w:p>
    <w:p w:rsidR="00C310DF" w:rsidRPr="00BC7F3F" w:rsidRDefault="00C310DF" w:rsidP="00C310DF">
      <w:pPr>
        <w:spacing w:after="0" w:line="240" w:lineRule="auto"/>
        <w:contextualSpacing/>
        <w:jc w:val="both"/>
        <w:rPr>
          <w:rFonts w:ascii="Verdana" w:hAnsi="Verdana" w:cs="Arial"/>
          <w:sz w:val="24"/>
          <w:szCs w:val="24"/>
          <w:lang w:val="es-MX"/>
        </w:rPr>
      </w:pPr>
    </w:p>
    <w:p w:rsidR="00C310DF" w:rsidRPr="00BC7F3F" w:rsidRDefault="00C310DF" w:rsidP="00C310DF">
      <w:pPr>
        <w:spacing w:after="0" w:line="240" w:lineRule="auto"/>
        <w:contextualSpacing/>
        <w:jc w:val="both"/>
        <w:rPr>
          <w:rFonts w:ascii="Verdana" w:hAnsi="Verdana" w:cs="Arial"/>
          <w:sz w:val="24"/>
          <w:szCs w:val="24"/>
          <w:lang w:val="es-MX"/>
        </w:rPr>
      </w:pPr>
      <w:r w:rsidRPr="00BC7F3F">
        <w:rPr>
          <w:rFonts w:ascii="Verdana" w:hAnsi="Verdana" w:cs="Arial"/>
          <w:sz w:val="24"/>
          <w:szCs w:val="24"/>
          <w:lang w:val="es-MX"/>
        </w:rPr>
        <w:t xml:space="preserve">Así mismo, y  complementando esta acción, se contó con la vinculación de seis  expertos que desarrollaron en total dieciocho ensayos temáticos, dirigidos a orientar conceptualmente los contenidos y lineamientos teóricos del museo.  Entre los temas emergentes, se hizo referencia a los lineamientos políticos y conceptuales del museo, a su estructura organizativa y espacial, a sus retos comunicativos y en formación de nuevas audiencias, a la necesidad de generar estudios de públicos y experiencias piloto previas a la creación de un guion único del museo, entre otros. </w:t>
      </w:r>
    </w:p>
    <w:p w:rsidR="00C310DF" w:rsidRPr="00BC7F3F" w:rsidRDefault="00C310DF" w:rsidP="00C310DF">
      <w:pPr>
        <w:pStyle w:val="Prrafodelista"/>
        <w:spacing w:line="240" w:lineRule="auto"/>
        <w:ind w:left="0"/>
        <w:jc w:val="both"/>
        <w:rPr>
          <w:rFonts w:ascii="Verdana" w:hAnsi="Verdana" w:cs="Arial"/>
          <w:sz w:val="24"/>
          <w:szCs w:val="24"/>
          <w:lang w:val="es-MX"/>
        </w:rPr>
      </w:pPr>
    </w:p>
    <w:p w:rsidR="00C310DF" w:rsidRPr="00BC7F3F" w:rsidRDefault="00C310DF" w:rsidP="00C310DF">
      <w:pPr>
        <w:pStyle w:val="Prrafodelista"/>
        <w:spacing w:line="240" w:lineRule="auto"/>
        <w:ind w:left="0"/>
        <w:jc w:val="both"/>
        <w:rPr>
          <w:rFonts w:ascii="Verdana" w:hAnsi="Verdana" w:cs="Arial"/>
          <w:sz w:val="24"/>
          <w:szCs w:val="24"/>
          <w:lang w:val="es-MX"/>
        </w:rPr>
      </w:pPr>
      <w:r w:rsidRPr="00E21452">
        <w:rPr>
          <w:rFonts w:ascii="Verdana" w:hAnsi="Verdana" w:cs="Arial"/>
          <w:sz w:val="24"/>
          <w:szCs w:val="24"/>
          <w:lang w:val="es-MX"/>
        </w:rPr>
        <w:t>Objetivo 2: Poner en</w:t>
      </w:r>
      <w:r w:rsidRPr="00BC7F3F">
        <w:rPr>
          <w:rFonts w:ascii="Verdana" w:hAnsi="Verdana" w:cs="Arial"/>
          <w:sz w:val="24"/>
          <w:szCs w:val="24"/>
          <w:lang w:val="es-MX"/>
        </w:rPr>
        <w:t xml:space="preserve"> funcionamiento el Museo Nacional de la Memoria con la infraestructura requerida de acuerdo con las necesidades establecidas</w:t>
      </w:r>
    </w:p>
    <w:p w:rsidR="00C310DF" w:rsidRPr="00BC7F3F" w:rsidRDefault="00C310DF" w:rsidP="00C310DF">
      <w:pPr>
        <w:pStyle w:val="Prrafodelista"/>
        <w:spacing w:after="0" w:line="240" w:lineRule="auto"/>
        <w:ind w:left="0"/>
        <w:jc w:val="both"/>
        <w:rPr>
          <w:rFonts w:ascii="Verdana" w:hAnsi="Verdana" w:cs="Arial"/>
          <w:b/>
          <w:sz w:val="24"/>
          <w:szCs w:val="24"/>
          <w:lang w:val="es-MX"/>
        </w:rPr>
      </w:pPr>
    </w:p>
    <w:p w:rsidR="00C310DF" w:rsidRPr="00BC7F3F" w:rsidRDefault="00C310DF" w:rsidP="00C310DF">
      <w:pPr>
        <w:spacing w:after="0" w:line="240" w:lineRule="auto"/>
        <w:contextualSpacing/>
        <w:jc w:val="both"/>
        <w:rPr>
          <w:rFonts w:ascii="Verdana" w:hAnsi="Verdana" w:cs="Arial"/>
          <w:sz w:val="24"/>
          <w:szCs w:val="24"/>
          <w:lang w:val="es-MX"/>
        </w:rPr>
      </w:pPr>
      <w:r w:rsidRPr="00BC7F3F">
        <w:rPr>
          <w:rFonts w:ascii="Verdana" w:hAnsi="Verdana" w:cs="Arial"/>
          <w:sz w:val="24"/>
          <w:szCs w:val="24"/>
          <w:lang w:val="es-MX"/>
        </w:rPr>
        <w:t>Se contrató una asesoría para definir los aspectos jurídicos relativos al predio donde se adelantará la construcción y los estudios del mismo carácter para los fines del Concurso arquitectónico,  la orientación conceptual sobre los aspectos políticos relacionados con el diseño museológico y  la organización institucional del Museo de la Memoria.</w:t>
      </w:r>
    </w:p>
    <w:p w:rsidR="00C310DF" w:rsidRPr="00BC7F3F" w:rsidRDefault="00C310DF" w:rsidP="00C310DF">
      <w:pPr>
        <w:pStyle w:val="Prrafodelista"/>
        <w:spacing w:after="0" w:line="240" w:lineRule="auto"/>
        <w:ind w:left="175"/>
        <w:jc w:val="both"/>
        <w:rPr>
          <w:rFonts w:ascii="Verdana" w:hAnsi="Verdana" w:cs="Arial"/>
          <w:sz w:val="24"/>
          <w:szCs w:val="24"/>
          <w:lang w:val="es-MX"/>
        </w:rPr>
      </w:pPr>
    </w:p>
    <w:p w:rsidR="00C310DF" w:rsidRPr="00BC7F3F" w:rsidRDefault="00C310DF" w:rsidP="00C310DF">
      <w:pPr>
        <w:spacing w:after="0" w:line="240" w:lineRule="auto"/>
        <w:contextualSpacing/>
        <w:jc w:val="both"/>
        <w:rPr>
          <w:rFonts w:ascii="Verdana" w:hAnsi="Verdana" w:cs="Arial"/>
          <w:sz w:val="24"/>
          <w:szCs w:val="24"/>
          <w:lang w:val="es-MX"/>
        </w:rPr>
      </w:pPr>
      <w:r w:rsidRPr="00BC7F3F">
        <w:rPr>
          <w:rFonts w:ascii="Verdana" w:hAnsi="Verdana" w:cs="Arial"/>
          <w:sz w:val="24"/>
          <w:szCs w:val="24"/>
          <w:lang w:val="es-MX"/>
        </w:rPr>
        <w:t>Además de ello, con el fin de avanzar en las etapas previas a la construcción física, se contrataron los asesoría de un arquitecto-urbanista-planificador urbano que oriente la definición de los aspectos de Desarrollo Urbano, infraestructura, recomendaciones de emplazamiento del edificio y el Programa de necesidades espaciales del Museo de la Memoria de que tratan tanto la Ley 1448 de 2011 como el Decreto 4803 de 2011, con la participación de otras entidades públicas y/o privadas, que contemple la disponibilidad de un predio urbano en Bogotá para la construcción de la edificación del Museo de la Memoria.</w:t>
      </w:r>
    </w:p>
    <w:p w:rsidR="00C310DF" w:rsidRPr="00BC7F3F" w:rsidRDefault="00C310DF" w:rsidP="00C310DF">
      <w:pPr>
        <w:pStyle w:val="Prrafodelista"/>
        <w:spacing w:after="0" w:line="240" w:lineRule="auto"/>
        <w:ind w:left="175"/>
        <w:jc w:val="both"/>
        <w:rPr>
          <w:rFonts w:ascii="Verdana" w:hAnsi="Verdana" w:cs="Arial"/>
          <w:sz w:val="24"/>
          <w:szCs w:val="24"/>
          <w:lang w:val="es-MX"/>
        </w:rPr>
      </w:pPr>
    </w:p>
    <w:p w:rsidR="00C310DF" w:rsidRPr="00BC7F3F" w:rsidRDefault="00C310DF" w:rsidP="00C310DF">
      <w:pPr>
        <w:spacing w:after="0" w:line="240" w:lineRule="auto"/>
        <w:contextualSpacing/>
        <w:jc w:val="both"/>
        <w:rPr>
          <w:rFonts w:ascii="Verdana" w:hAnsi="Verdana" w:cs="Arial"/>
          <w:sz w:val="24"/>
          <w:szCs w:val="24"/>
          <w:lang w:val="es-MX"/>
        </w:rPr>
      </w:pPr>
      <w:r w:rsidRPr="00BC7F3F">
        <w:rPr>
          <w:rFonts w:ascii="Verdana" w:eastAsia="Calibri" w:hAnsi="Verdana" w:cs="Arial"/>
          <w:sz w:val="24"/>
          <w:szCs w:val="24"/>
          <w:lang w:val="es-MX"/>
        </w:rPr>
        <w:t xml:space="preserve">Posteriormente, se </w:t>
      </w:r>
      <w:r w:rsidRPr="00BC7F3F">
        <w:rPr>
          <w:rFonts w:ascii="Verdana" w:hAnsi="Verdana" w:cs="Arial"/>
          <w:sz w:val="24"/>
          <w:szCs w:val="24"/>
          <w:lang w:val="es-MX"/>
        </w:rPr>
        <w:t>firmó un Convenio Especial de Cooperación cuyo objeto fue aunar esfuerzos y recursos para adelantar conjuntamente y mediante aportes de cada una de las partes, estudios y análisis de carácter museológico, curatorial y comunicacional para adelantar una primera fase del proceso de construcción del relato o guion del Museo Nacional de la Memoria de que trata la ley 1448 de 2011, que puedan ser examinados en talleres y seminarios nacionales o internacionales, con el fin de integrarlos en un relato que guíe las posteriores actividades museológicas y museográficas del Museo Nacional de la Memoria.</w:t>
      </w:r>
    </w:p>
    <w:p w:rsidR="00C310DF" w:rsidRPr="00BC7F3F" w:rsidRDefault="00C310DF" w:rsidP="00C310DF">
      <w:pPr>
        <w:spacing w:after="0" w:line="240" w:lineRule="auto"/>
        <w:contextualSpacing/>
        <w:jc w:val="both"/>
        <w:rPr>
          <w:rFonts w:ascii="Verdana" w:hAnsi="Verdana" w:cs="Arial"/>
          <w:sz w:val="24"/>
          <w:szCs w:val="24"/>
          <w:lang w:val="es-MX"/>
        </w:rPr>
      </w:pPr>
    </w:p>
    <w:p w:rsidR="00C310DF" w:rsidRPr="00BC7F3F" w:rsidRDefault="00C310DF" w:rsidP="00C310DF">
      <w:pPr>
        <w:shd w:val="clear" w:color="auto" w:fill="FFFFFF"/>
        <w:spacing w:after="0" w:line="240" w:lineRule="auto"/>
        <w:contextualSpacing/>
        <w:jc w:val="both"/>
        <w:rPr>
          <w:rFonts w:ascii="Verdana" w:hAnsi="Verdana" w:cs="Arial"/>
          <w:sz w:val="24"/>
          <w:szCs w:val="24"/>
          <w:lang w:eastAsia="es-CO"/>
        </w:rPr>
      </w:pPr>
      <w:r w:rsidRPr="00BC7F3F">
        <w:rPr>
          <w:rFonts w:ascii="Verdana" w:hAnsi="Verdana"/>
          <w:sz w:val="24"/>
          <w:szCs w:val="24"/>
          <w:lang w:val="es-MX"/>
        </w:rPr>
        <w:t xml:space="preserve">Para una articulación interinstitucional que dialogara con los propósitos previstos, se </w:t>
      </w:r>
      <w:r w:rsidRPr="00BC7F3F">
        <w:rPr>
          <w:rFonts w:ascii="Verdana" w:hAnsi="Verdana" w:cs="Arial"/>
          <w:sz w:val="24"/>
          <w:szCs w:val="24"/>
          <w:lang w:eastAsia="es-CO"/>
        </w:rPr>
        <w:t>sostuvieron reuniones con representantes del gobierno distrital de Bogotá con el fin  de concretar el convenio de formalización referente al predio para la construcción física del Museo Nacional de la Memoria, logrando que este convenio interadministrativo se firmara en septiembre. El convenio interadministrativo de Cooperación número IDU-1281-2014 celebrado entre el Instituto de Desarrollo Urbano, el Departamento Administrativo de la Defensoría del Espacio Público y el Centro de Memoria Histórica, establece una modificación para la realización del proyecto urbanístico "CAD-Museo de la Memoria" considerando que el diseño y creación del Museo de la Memoria exige desde el punto de vista arquitectónico y ubanístico un predio que por sus características permita una construcción de carácter emblemático con la significación que la ley ha definido, permitiendo la ubicación del Museo en las áreas aledañas a la escultura Ala Solar en los espacios al oriente del edificio del Centro Administrativo Distrital -CAD en Bogotá. (Un lote de aproximadamente 20.000 m2, desde el costado Norte del Box coulvert hasta el límite de la carrera 29 entre calles 26 y Avenida Américas, en la llamada Plaza de la Democracia, en Bogotá).</w:t>
      </w:r>
    </w:p>
    <w:p w:rsidR="00C310DF" w:rsidRPr="00BC7F3F" w:rsidRDefault="00C310DF" w:rsidP="00C310DF">
      <w:pPr>
        <w:shd w:val="clear" w:color="auto" w:fill="FFFFFF"/>
        <w:spacing w:after="0" w:line="240" w:lineRule="auto"/>
        <w:contextualSpacing/>
        <w:jc w:val="both"/>
        <w:rPr>
          <w:rFonts w:ascii="Verdana" w:hAnsi="Verdana" w:cs="Arial"/>
          <w:sz w:val="24"/>
          <w:szCs w:val="24"/>
          <w:lang w:eastAsia="es-CO"/>
        </w:rPr>
      </w:pPr>
    </w:p>
    <w:p w:rsidR="00C310DF" w:rsidRPr="00BC7F3F" w:rsidRDefault="00C310DF" w:rsidP="00C310DF">
      <w:pPr>
        <w:shd w:val="clear" w:color="auto" w:fill="FFFFFF"/>
        <w:spacing w:after="0" w:line="240" w:lineRule="auto"/>
        <w:contextualSpacing/>
        <w:jc w:val="both"/>
        <w:rPr>
          <w:rFonts w:ascii="Verdana" w:hAnsi="Verdana" w:cs="Arial"/>
          <w:sz w:val="24"/>
          <w:szCs w:val="24"/>
          <w:lang w:eastAsia="es-CO"/>
        </w:rPr>
      </w:pPr>
      <w:r w:rsidRPr="00BC7F3F">
        <w:rPr>
          <w:rFonts w:ascii="Verdana" w:hAnsi="Verdana" w:cs="Arial"/>
          <w:sz w:val="24"/>
          <w:szCs w:val="24"/>
          <w:lang w:eastAsia="es-CO"/>
        </w:rPr>
        <w:t>La Secretaría Distrital de Planeación emitió un concepto mediante el radicado 2-2014-39334 (DADEP 2014ER15979) en el cual, la autoridad urbanística del Distrito Capital concluye: "La confluencia entre la destinación al uso dotacional y el señalamiento como plaza en el polígono del Centro Administrativo Distrital CAD se concreta mediante lo dispuesto en el Decreto Distrital 215 de 2005 -PMEP bajo la definición de conjuntos monumentales de espacio público, en la intención de recuperar y afirmar los significados sociales y cívicos de la ciudad vinculados con la noción de espacio público lo cual determina el carácter público del área". </w:t>
      </w:r>
    </w:p>
    <w:p w:rsidR="00C310DF" w:rsidRPr="00BC7F3F" w:rsidRDefault="00C310DF" w:rsidP="00C310DF">
      <w:pPr>
        <w:shd w:val="clear" w:color="auto" w:fill="FFFFFF"/>
        <w:spacing w:after="0" w:line="240" w:lineRule="auto"/>
        <w:contextualSpacing/>
        <w:jc w:val="both"/>
        <w:rPr>
          <w:rFonts w:ascii="Verdana" w:hAnsi="Verdana" w:cs="Arial"/>
          <w:sz w:val="24"/>
          <w:szCs w:val="24"/>
          <w:lang w:eastAsia="es-CO"/>
        </w:rPr>
      </w:pPr>
    </w:p>
    <w:p w:rsidR="00C310DF" w:rsidRPr="00BC7F3F" w:rsidRDefault="00C310DF" w:rsidP="00C310DF">
      <w:pPr>
        <w:shd w:val="clear" w:color="auto" w:fill="FFFFFF"/>
        <w:spacing w:after="0" w:line="240" w:lineRule="auto"/>
        <w:contextualSpacing/>
        <w:jc w:val="both"/>
        <w:rPr>
          <w:rFonts w:ascii="Verdana" w:hAnsi="Verdana" w:cs="Arial"/>
          <w:sz w:val="24"/>
          <w:szCs w:val="24"/>
          <w:lang w:eastAsia="es-CO"/>
        </w:rPr>
      </w:pPr>
      <w:r w:rsidRPr="00BC7F3F">
        <w:rPr>
          <w:rFonts w:ascii="Verdana" w:hAnsi="Verdana" w:cs="Arial"/>
          <w:sz w:val="24"/>
          <w:szCs w:val="24"/>
          <w:lang w:eastAsia="es-CO"/>
        </w:rPr>
        <w:lastRenderedPageBreak/>
        <w:t>Con respecto al globo de terreno destinado al uso del Museo, el IDU ha adelantado labores de diseño y de estudios previos con el objetivo de la realización de obras urbanísticas del proyecto conocido como CAD-Fase 2, el cual es complementario y armónico con el proyecto Museo de la Memoria, de tal manera que pueden integrarse bajo la denominación de Proyecto CAD-Museo de la Memoria que además permitirá reconocer y  garantizar el ejercicio, restablecimiento y reparación de los derechos de la ciudadanía, que es objetivo específico del primer eje estratégico del Plan de Desarrollo 2012-2016 Bogotá Humana.</w:t>
      </w:r>
    </w:p>
    <w:p w:rsidR="00C310DF" w:rsidRPr="00BC7F3F" w:rsidRDefault="00C310DF" w:rsidP="00C310DF">
      <w:pPr>
        <w:shd w:val="clear" w:color="auto" w:fill="FFFFFF"/>
        <w:spacing w:after="0" w:line="240" w:lineRule="auto"/>
        <w:contextualSpacing/>
        <w:jc w:val="both"/>
        <w:rPr>
          <w:rFonts w:ascii="Verdana" w:hAnsi="Verdana" w:cs="Arial"/>
          <w:sz w:val="24"/>
          <w:szCs w:val="24"/>
          <w:lang w:eastAsia="es-CO"/>
        </w:rPr>
      </w:pPr>
    </w:p>
    <w:p w:rsidR="00C310DF" w:rsidRPr="00BC7F3F" w:rsidRDefault="00C310DF" w:rsidP="00C310DF">
      <w:pPr>
        <w:shd w:val="clear" w:color="auto" w:fill="FFFFFF"/>
        <w:spacing w:after="0" w:line="240" w:lineRule="auto"/>
        <w:contextualSpacing/>
        <w:jc w:val="both"/>
        <w:rPr>
          <w:rFonts w:ascii="Verdana" w:hAnsi="Verdana" w:cs="Arial"/>
          <w:sz w:val="24"/>
          <w:szCs w:val="24"/>
          <w:lang w:eastAsia="es-CO"/>
        </w:rPr>
      </w:pPr>
      <w:r w:rsidRPr="00BC7F3F">
        <w:rPr>
          <w:rFonts w:ascii="Verdana" w:hAnsi="Verdana" w:cs="Arial"/>
          <w:sz w:val="24"/>
          <w:szCs w:val="24"/>
          <w:lang w:eastAsia="es-CO"/>
        </w:rPr>
        <w:t>Para el desarrollo del Concurso Público de Anteproyecto Arquitectónico, se firmó en diciembre, un contrato con la Sociedad Colombiana de Arquitectos. </w:t>
      </w:r>
    </w:p>
    <w:p w:rsidR="00C310DF" w:rsidRPr="00BC7F3F" w:rsidRDefault="00C310DF" w:rsidP="00C310DF">
      <w:pPr>
        <w:shd w:val="clear" w:color="auto" w:fill="FFFFFF"/>
        <w:spacing w:after="0" w:line="240" w:lineRule="auto"/>
        <w:contextualSpacing/>
        <w:jc w:val="both"/>
        <w:rPr>
          <w:rFonts w:ascii="Verdana" w:eastAsia="Arial" w:hAnsi="Verdana"/>
          <w:sz w:val="24"/>
          <w:szCs w:val="24"/>
        </w:rPr>
      </w:pPr>
    </w:p>
    <w:p w:rsidR="00C310DF" w:rsidRPr="00E21452" w:rsidRDefault="00E21452" w:rsidP="00E21452">
      <w:pPr>
        <w:pStyle w:val="Subttulo"/>
        <w:numPr>
          <w:ilvl w:val="0"/>
          <w:numId w:val="60"/>
        </w:numPr>
        <w:spacing w:after="0"/>
        <w:ind w:left="426" w:hanging="426"/>
        <w:contextualSpacing/>
        <w:outlineLvl w:val="1"/>
        <w:rPr>
          <w:rFonts w:ascii="Verdana" w:eastAsia="Arial" w:hAnsi="Verdana"/>
          <w:b/>
          <w:color w:val="4F81BD" w:themeColor="accent1"/>
          <w:sz w:val="24"/>
          <w:szCs w:val="24"/>
          <w:lang w:val="es-CO"/>
        </w:rPr>
      </w:pPr>
      <w:bookmarkStart w:id="110" w:name="_Toc411868583"/>
      <w:r w:rsidRPr="00E21452">
        <w:rPr>
          <w:rFonts w:ascii="Verdana" w:eastAsia="Arial" w:hAnsi="Verdana"/>
          <w:b/>
          <w:color w:val="4F81BD" w:themeColor="accent1"/>
          <w:sz w:val="24"/>
          <w:szCs w:val="24"/>
          <w:lang w:val="es-CO"/>
        </w:rPr>
        <w:t>ACUERDOS DE CONTRIBUCIÓN A LA VERDAD</w:t>
      </w:r>
      <w:bookmarkEnd w:id="110"/>
    </w:p>
    <w:p w:rsidR="00C310DF" w:rsidRPr="00BC7F3F" w:rsidRDefault="00C310DF" w:rsidP="00C310DF">
      <w:pPr>
        <w:shd w:val="clear" w:color="auto" w:fill="FFFFFF"/>
        <w:spacing w:after="0" w:line="240" w:lineRule="auto"/>
        <w:contextualSpacing/>
        <w:jc w:val="both"/>
        <w:rPr>
          <w:rFonts w:ascii="Verdana" w:eastAsia="Arial" w:hAnsi="Verdana"/>
          <w:sz w:val="24"/>
          <w:szCs w:val="24"/>
        </w:rPr>
      </w:pPr>
    </w:p>
    <w:p w:rsidR="00C310DF" w:rsidRPr="00BC7F3F" w:rsidRDefault="00C310DF" w:rsidP="00C310DF">
      <w:pPr>
        <w:shd w:val="clear" w:color="auto" w:fill="FFFFFF"/>
        <w:spacing w:after="0" w:line="240" w:lineRule="auto"/>
        <w:contextualSpacing/>
        <w:jc w:val="both"/>
        <w:rPr>
          <w:rFonts w:ascii="Verdana" w:hAnsi="Verdana"/>
          <w:sz w:val="24"/>
          <w:szCs w:val="24"/>
        </w:rPr>
      </w:pPr>
      <w:r w:rsidRPr="00BC7F3F">
        <w:rPr>
          <w:rFonts w:ascii="Verdana" w:eastAsia="Arial" w:hAnsi="Verdana"/>
          <w:sz w:val="24"/>
          <w:szCs w:val="24"/>
        </w:rPr>
        <w:t>Al CNMH le fue asignada la tarea de recolectar, clasificar, sistematizar, analizar y preservar la información que surja de los Acuerdos de Contribución a la Verdad Histórica y la Reparación de que trata la Ley 1424 de 2010, así como de la información que se reciba, de forma individual y colectiva, de los desmovilizados con quienes se haya suscrito el Acuerdo de Contribución a la Verdad Histórica y la Reparación y de aquellas personas que voluntariamente deseen hacer manifestaciones sobre asuntos que guarden relación o sean de interés para el mecanismo no judicial de contribución a la verdad y la memoria histórica. Para desarrollar esta tarea el CNMH formuló el proyecto de inversión “</w:t>
      </w:r>
      <w:r w:rsidRPr="00BC7F3F">
        <w:rPr>
          <w:rFonts w:ascii="Verdana" w:hAnsi="Verdana"/>
          <w:sz w:val="24"/>
          <w:szCs w:val="24"/>
        </w:rPr>
        <w:t>Análisis de los testimonios e información relacionada con los acuerdos de contribución a la verdad histórica  en los 32 departamentos del país”, código BPIN 2012011000180.</w:t>
      </w:r>
    </w:p>
    <w:p w:rsidR="00C310DF" w:rsidRPr="00BC7F3F" w:rsidRDefault="00C310DF" w:rsidP="00C310DF">
      <w:pPr>
        <w:shd w:val="clear" w:color="auto" w:fill="FFFFFF"/>
        <w:spacing w:after="0" w:line="240" w:lineRule="auto"/>
        <w:contextualSpacing/>
        <w:jc w:val="both"/>
        <w:rPr>
          <w:rFonts w:ascii="Verdana" w:hAnsi="Verdana"/>
          <w:sz w:val="24"/>
          <w:szCs w:val="24"/>
        </w:rPr>
      </w:pPr>
    </w:p>
    <w:p w:rsidR="00C310DF" w:rsidRPr="00BC7F3F" w:rsidRDefault="00C310DF" w:rsidP="00C310DF">
      <w:pPr>
        <w:shd w:val="clear" w:color="auto" w:fill="FFFFFF"/>
        <w:spacing w:after="0" w:line="240" w:lineRule="auto"/>
        <w:contextualSpacing/>
        <w:jc w:val="both"/>
        <w:rPr>
          <w:rFonts w:ascii="Verdana" w:hAnsi="Verdana"/>
          <w:sz w:val="24"/>
          <w:szCs w:val="24"/>
        </w:rPr>
      </w:pPr>
      <w:r w:rsidRPr="00BC7F3F">
        <w:rPr>
          <w:rFonts w:ascii="Verdana" w:hAnsi="Verdana"/>
          <w:sz w:val="24"/>
          <w:szCs w:val="24"/>
        </w:rPr>
        <w:t>El proyecto tiene previsto el logro de los siguientes tres objetivos:</w:t>
      </w:r>
    </w:p>
    <w:p w:rsidR="00C310DF" w:rsidRPr="00E21452" w:rsidRDefault="00C310DF" w:rsidP="00582BDE">
      <w:pPr>
        <w:pStyle w:val="Prrafodelista"/>
        <w:numPr>
          <w:ilvl w:val="0"/>
          <w:numId w:val="140"/>
        </w:numPr>
        <w:shd w:val="clear" w:color="auto" w:fill="FFFFFF"/>
        <w:spacing w:after="0" w:line="240" w:lineRule="auto"/>
        <w:ind w:left="709" w:hanging="283"/>
        <w:jc w:val="both"/>
        <w:rPr>
          <w:rFonts w:ascii="Verdana" w:hAnsi="Verdana"/>
          <w:i/>
          <w:sz w:val="24"/>
          <w:szCs w:val="24"/>
        </w:rPr>
      </w:pPr>
      <w:r w:rsidRPr="00BC7F3F">
        <w:rPr>
          <w:rFonts w:ascii="Verdana" w:hAnsi="Verdana"/>
          <w:sz w:val="24"/>
          <w:szCs w:val="24"/>
        </w:rPr>
        <w:t xml:space="preserve">Aplicar </w:t>
      </w:r>
      <w:r w:rsidRPr="00E21452">
        <w:rPr>
          <w:rFonts w:ascii="Verdana" w:hAnsi="Verdana"/>
          <w:i/>
          <w:sz w:val="24"/>
          <w:szCs w:val="24"/>
        </w:rPr>
        <w:t>el mecanismo no judicial de contribución a la verdad histórica ley 1424 de 2010.</w:t>
      </w:r>
    </w:p>
    <w:p w:rsidR="00C310DF" w:rsidRPr="00E21452" w:rsidRDefault="00C310DF" w:rsidP="00582BDE">
      <w:pPr>
        <w:pStyle w:val="Prrafodelista"/>
        <w:numPr>
          <w:ilvl w:val="0"/>
          <w:numId w:val="140"/>
        </w:numPr>
        <w:shd w:val="clear" w:color="auto" w:fill="FFFFFF"/>
        <w:spacing w:after="0" w:line="240" w:lineRule="auto"/>
        <w:ind w:left="709" w:hanging="283"/>
        <w:jc w:val="both"/>
        <w:rPr>
          <w:rFonts w:ascii="Verdana" w:hAnsi="Verdana"/>
          <w:i/>
          <w:sz w:val="24"/>
          <w:szCs w:val="24"/>
        </w:rPr>
      </w:pPr>
      <w:r w:rsidRPr="00E21452">
        <w:rPr>
          <w:rFonts w:ascii="Verdana" w:hAnsi="Verdana"/>
          <w:i/>
          <w:sz w:val="24"/>
          <w:szCs w:val="24"/>
        </w:rPr>
        <w:t>Explicar históricamente el origen, la conformación y la actuación de los grupos paramilitares en Colombia.</w:t>
      </w:r>
    </w:p>
    <w:p w:rsidR="00C310DF" w:rsidRPr="00BC7F3F" w:rsidRDefault="00C310DF" w:rsidP="00582BDE">
      <w:pPr>
        <w:pStyle w:val="Prrafodelista"/>
        <w:numPr>
          <w:ilvl w:val="0"/>
          <w:numId w:val="140"/>
        </w:numPr>
        <w:shd w:val="clear" w:color="auto" w:fill="FFFFFF"/>
        <w:spacing w:after="0" w:line="240" w:lineRule="auto"/>
        <w:ind w:left="709" w:hanging="283"/>
        <w:jc w:val="both"/>
        <w:rPr>
          <w:rFonts w:ascii="Verdana" w:hAnsi="Verdana"/>
          <w:sz w:val="24"/>
          <w:szCs w:val="24"/>
        </w:rPr>
      </w:pPr>
      <w:r w:rsidRPr="00E21452">
        <w:rPr>
          <w:rFonts w:ascii="Verdana" w:hAnsi="Verdana"/>
          <w:i/>
          <w:sz w:val="24"/>
          <w:szCs w:val="24"/>
        </w:rPr>
        <w:t xml:space="preserve">Contribuir a garantizar el derecho a la verdad de las víctimas respecto al accionar de las estructuras paramilitares </w:t>
      </w:r>
      <w:r w:rsidRPr="00BC7F3F">
        <w:rPr>
          <w:rFonts w:ascii="Verdana" w:hAnsi="Verdana"/>
          <w:sz w:val="24"/>
          <w:szCs w:val="24"/>
        </w:rPr>
        <w:t>en Colombia.</w:t>
      </w:r>
    </w:p>
    <w:p w:rsidR="00C310DF" w:rsidRPr="00BC7F3F" w:rsidRDefault="00C310DF" w:rsidP="00C310DF">
      <w:pPr>
        <w:spacing w:after="0" w:line="240" w:lineRule="auto"/>
        <w:contextualSpacing/>
        <w:jc w:val="both"/>
        <w:rPr>
          <w:rFonts w:ascii="Verdana" w:hAnsi="Verdana" w:cs="Arial"/>
          <w:sz w:val="24"/>
          <w:szCs w:val="24"/>
        </w:rPr>
      </w:pPr>
    </w:p>
    <w:p w:rsidR="00C310DF" w:rsidRPr="00BC7F3F" w:rsidRDefault="00C310DF" w:rsidP="00C310DF">
      <w:pPr>
        <w:spacing w:after="0" w:line="240" w:lineRule="auto"/>
        <w:contextualSpacing/>
        <w:jc w:val="both"/>
        <w:rPr>
          <w:rFonts w:ascii="Verdana" w:hAnsi="Verdana" w:cs="Arial"/>
          <w:sz w:val="24"/>
          <w:szCs w:val="24"/>
        </w:rPr>
      </w:pPr>
      <w:r w:rsidRPr="00BC7F3F">
        <w:rPr>
          <w:rFonts w:ascii="Verdana" w:hAnsi="Verdana" w:cs="Arial"/>
          <w:sz w:val="24"/>
          <w:szCs w:val="24"/>
        </w:rPr>
        <w:t xml:space="preserve">Adicionalmente, en el proyecto se definieron las metas que se presentan a continuación y cuyos logros se registran en la siguiente tabla: </w:t>
      </w:r>
    </w:p>
    <w:p w:rsidR="00C310DF" w:rsidRPr="00BC7F3F" w:rsidRDefault="00C310DF" w:rsidP="00C310DF">
      <w:pPr>
        <w:spacing w:after="0" w:line="240" w:lineRule="auto"/>
        <w:contextualSpacing/>
        <w:jc w:val="both"/>
        <w:rPr>
          <w:rFonts w:ascii="Verdana" w:hAnsi="Verdana" w:cs="Arial"/>
          <w:sz w:val="24"/>
          <w:szCs w:val="24"/>
        </w:rPr>
      </w:pPr>
    </w:p>
    <w:tbl>
      <w:tblPr>
        <w:tblStyle w:val="Tabladecuadrcula4-nfasis11"/>
        <w:tblW w:w="5000" w:type="pct"/>
        <w:jc w:val="center"/>
        <w:tblLook w:val="04A0"/>
      </w:tblPr>
      <w:tblGrid>
        <w:gridCol w:w="4083"/>
        <w:gridCol w:w="3812"/>
        <w:gridCol w:w="1110"/>
        <w:gridCol w:w="1237"/>
      </w:tblGrid>
      <w:tr w:rsidR="00C310DF" w:rsidRPr="00E21452" w:rsidTr="00E21452">
        <w:trPr>
          <w:cnfStyle w:val="100000000000"/>
          <w:jc w:val="center"/>
        </w:trPr>
        <w:tc>
          <w:tcPr>
            <w:cnfStyle w:val="001000000000"/>
            <w:tcW w:w="1993" w:type="pct"/>
            <w:vAlign w:val="center"/>
          </w:tcPr>
          <w:p w:rsidR="00C310DF" w:rsidRPr="00E21452" w:rsidRDefault="00C310DF" w:rsidP="00C310DF">
            <w:pPr>
              <w:jc w:val="center"/>
              <w:rPr>
                <w:rFonts w:ascii="Verdana" w:hAnsi="Verdana" w:cs="Arial"/>
                <w:b w:val="0"/>
                <w:sz w:val="22"/>
                <w:szCs w:val="24"/>
                <w:lang w:val="es-CO"/>
              </w:rPr>
            </w:pPr>
            <w:r w:rsidRPr="00E21452">
              <w:rPr>
                <w:rFonts w:ascii="Verdana" w:hAnsi="Verdana" w:cs="Arial"/>
                <w:b w:val="0"/>
                <w:sz w:val="22"/>
                <w:szCs w:val="24"/>
                <w:lang w:val="es-CO"/>
              </w:rPr>
              <w:lastRenderedPageBreak/>
              <w:t>Producto</w:t>
            </w:r>
          </w:p>
        </w:tc>
        <w:tc>
          <w:tcPr>
            <w:tcW w:w="1861" w:type="pct"/>
            <w:vAlign w:val="center"/>
          </w:tcPr>
          <w:p w:rsidR="00C310DF" w:rsidRPr="00E21452" w:rsidRDefault="00C310DF" w:rsidP="00C310DF">
            <w:pPr>
              <w:jc w:val="center"/>
              <w:cnfStyle w:val="100000000000"/>
              <w:rPr>
                <w:rFonts w:ascii="Verdana" w:hAnsi="Verdana" w:cs="Arial"/>
                <w:b w:val="0"/>
                <w:sz w:val="22"/>
                <w:szCs w:val="24"/>
                <w:lang w:val="es-CO"/>
              </w:rPr>
            </w:pPr>
            <w:r w:rsidRPr="00E21452">
              <w:rPr>
                <w:rFonts w:ascii="Verdana" w:hAnsi="Verdana" w:cs="Arial"/>
                <w:b w:val="0"/>
                <w:sz w:val="22"/>
                <w:szCs w:val="24"/>
                <w:lang w:val="es-CO"/>
              </w:rPr>
              <w:t>Indicador</w:t>
            </w:r>
          </w:p>
        </w:tc>
        <w:tc>
          <w:tcPr>
            <w:tcW w:w="542" w:type="pct"/>
            <w:vAlign w:val="center"/>
          </w:tcPr>
          <w:p w:rsidR="00C310DF" w:rsidRPr="00E21452" w:rsidRDefault="00C310DF" w:rsidP="00C310DF">
            <w:pPr>
              <w:jc w:val="center"/>
              <w:cnfStyle w:val="100000000000"/>
              <w:rPr>
                <w:rFonts w:ascii="Verdana" w:hAnsi="Verdana" w:cs="Arial"/>
                <w:b w:val="0"/>
                <w:sz w:val="22"/>
                <w:szCs w:val="24"/>
                <w:lang w:val="es-CO"/>
              </w:rPr>
            </w:pPr>
            <w:r w:rsidRPr="00E21452">
              <w:rPr>
                <w:rFonts w:ascii="Verdana" w:hAnsi="Verdana" w:cs="Arial"/>
                <w:b w:val="0"/>
                <w:sz w:val="22"/>
                <w:szCs w:val="24"/>
                <w:lang w:val="es-CO"/>
              </w:rPr>
              <w:t>Meta 2014</w:t>
            </w:r>
          </w:p>
        </w:tc>
        <w:tc>
          <w:tcPr>
            <w:tcW w:w="604" w:type="pct"/>
            <w:vAlign w:val="center"/>
          </w:tcPr>
          <w:p w:rsidR="00C310DF" w:rsidRPr="00E21452" w:rsidRDefault="00C310DF" w:rsidP="00C310DF">
            <w:pPr>
              <w:jc w:val="center"/>
              <w:cnfStyle w:val="100000000000"/>
              <w:rPr>
                <w:rFonts w:ascii="Verdana" w:hAnsi="Verdana" w:cs="Arial"/>
                <w:b w:val="0"/>
                <w:sz w:val="22"/>
                <w:szCs w:val="24"/>
                <w:lang w:val="es-CO"/>
              </w:rPr>
            </w:pPr>
            <w:r w:rsidRPr="00E21452">
              <w:rPr>
                <w:rFonts w:ascii="Verdana" w:hAnsi="Verdana" w:cs="Arial"/>
                <w:b w:val="0"/>
                <w:sz w:val="22"/>
                <w:szCs w:val="24"/>
                <w:lang w:val="es-CO"/>
              </w:rPr>
              <w:t>Logro 2014</w:t>
            </w:r>
          </w:p>
        </w:tc>
      </w:tr>
      <w:tr w:rsidR="00C310DF" w:rsidRPr="00E21452" w:rsidTr="00E21452">
        <w:trPr>
          <w:cnfStyle w:val="000000100000"/>
          <w:jc w:val="center"/>
        </w:trPr>
        <w:tc>
          <w:tcPr>
            <w:cnfStyle w:val="001000000000"/>
            <w:tcW w:w="1993" w:type="pct"/>
            <w:vAlign w:val="center"/>
          </w:tcPr>
          <w:p w:rsidR="00C310DF" w:rsidRPr="00E21452" w:rsidRDefault="00C310DF" w:rsidP="00C310DF">
            <w:pPr>
              <w:rPr>
                <w:rFonts w:ascii="Verdana" w:hAnsi="Verdana" w:cs="Arial"/>
                <w:b w:val="0"/>
                <w:sz w:val="22"/>
                <w:szCs w:val="24"/>
                <w:lang w:val="es-CO"/>
              </w:rPr>
            </w:pPr>
            <w:r w:rsidRPr="00E21452">
              <w:rPr>
                <w:rFonts w:ascii="Verdana" w:hAnsi="Verdana" w:cs="Arial"/>
                <w:b w:val="0"/>
                <w:sz w:val="22"/>
                <w:szCs w:val="24"/>
                <w:lang w:val="es-CO"/>
              </w:rPr>
              <w:t>Certificaciones elaboradas por la Dirección de Acuerdos de la Verdad en el marco de la Ley 1424 de 2010</w:t>
            </w:r>
          </w:p>
        </w:tc>
        <w:tc>
          <w:tcPr>
            <w:tcW w:w="1861" w:type="pct"/>
            <w:vAlign w:val="center"/>
          </w:tcPr>
          <w:p w:rsidR="00C310DF" w:rsidRPr="00E21452" w:rsidRDefault="00C310DF" w:rsidP="00C310DF">
            <w:pPr>
              <w:cnfStyle w:val="000000100000"/>
              <w:rPr>
                <w:rFonts w:ascii="Verdana" w:hAnsi="Verdana" w:cs="Arial"/>
                <w:sz w:val="22"/>
                <w:szCs w:val="24"/>
                <w:lang w:val="es-CO"/>
              </w:rPr>
            </w:pPr>
            <w:r w:rsidRPr="00E21452">
              <w:rPr>
                <w:rFonts w:ascii="Verdana" w:hAnsi="Verdana" w:cs="Arial"/>
                <w:sz w:val="22"/>
                <w:szCs w:val="24"/>
                <w:lang w:val="es-CO"/>
              </w:rPr>
              <w:t xml:space="preserve">Número de certificaciones elaboradas </w:t>
            </w:r>
          </w:p>
        </w:tc>
        <w:tc>
          <w:tcPr>
            <w:tcW w:w="542" w:type="pct"/>
            <w:vAlign w:val="center"/>
          </w:tcPr>
          <w:p w:rsidR="00C310DF" w:rsidRPr="00E21452" w:rsidRDefault="00C310DF" w:rsidP="00C310DF">
            <w:pPr>
              <w:jc w:val="center"/>
              <w:cnfStyle w:val="000000100000"/>
              <w:rPr>
                <w:rFonts w:ascii="Verdana" w:hAnsi="Verdana" w:cs="Arial"/>
                <w:sz w:val="22"/>
                <w:szCs w:val="24"/>
                <w:lang w:val="es-CO"/>
              </w:rPr>
            </w:pPr>
            <w:r w:rsidRPr="00E21452">
              <w:rPr>
                <w:rFonts w:ascii="Verdana" w:hAnsi="Verdana" w:cs="Arial"/>
                <w:sz w:val="22"/>
                <w:szCs w:val="24"/>
                <w:lang w:val="es-CO"/>
              </w:rPr>
              <w:t>2.500</w:t>
            </w:r>
          </w:p>
        </w:tc>
        <w:tc>
          <w:tcPr>
            <w:tcW w:w="604" w:type="pct"/>
            <w:vAlign w:val="center"/>
          </w:tcPr>
          <w:p w:rsidR="00C310DF" w:rsidRPr="00E21452" w:rsidRDefault="00C310DF" w:rsidP="00C310DF">
            <w:pPr>
              <w:jc w:val="center"/>
              <w:cnfStyle w:val="000000100000"/>
              <w:rPr>
                <w:rFonts w:ascii="Verdana" w:hAnsi="Verdana" w:cs="Arial"/>
                <w:sz w:val="22"/>
                <w:szCs w:val="24"/>
                <w:lang w:val="es-CO"/>
              </w:rPr>
            </w:pPr>
            <w:r w:rsidRPr="00E21452">
              <w:rPr>
                <w:rFonts w:ascii="Verdana" w:hAnsi="Verdana" w:cs="Arial"/>
                <w:sz w:val="22"/>
                <w:szCs w:val="24"/>
                <w:lang w:val="es-CO"/>
              </w:rPr>
              <w:t>1.407</w:t>
            </w:r>
          </w:p>
        </w:tc>
      </w:tr>
      <w:tr w:rsidR="00C310DF" w:rsidRPr="00E21452" w:rsidTr="00E21452">
        <w:trPr>
          <w:jc w:val="center"/>
        </w:trPr>
        <w:tc>
          <w:tcPr>
            <w:cnfStyle w:val="001000000000"/>
            <w:tcW w:w="1993" w:type="pct"/>
            <w:vAlign w:val="center"/>
          </w:tcPr>
          <w:p w:rsidR="00C310DF" w:rsidRPr="00E21452" w:rsidRDefault="00C310DF" w:rsidP="00C310DF">
            <w:pPr>
              <w:rPr>
                <w:rFonts w:ascii="Verdana" w:hAnsi="Verdana" w:cs="Arial"/>
                <w:b w:val="0"/>
                <w:sz w:val="22"/>
                <w:szCs w:val="24"/>
                <w:lang w:val="es-CO"/>
              </w:rPr>
            </w:pPr>
            <w:r w:rsidRPr="00E21452">
              <w:rPr>
                <w:rFonts w:ascii="Verdana" w:hAnsi="Verdana" w:cs="Arial"/>
                <w:b w:val="0"/>
                <w:sz w:val="22"/>
                <w:szCs w:val="24"/>
                <w:lang w:val="es-CO"/>
              </w:rPr>
              <w:t>Informe de hallazgos elaborado</w:t>
            </w:r>
          </w:p>
        </w:tc>
        <w:tc>
          <w:tcPr>
            <w:tcW w:w="1861" w:type="pct"/>
            <w:vAlign w:val="center"/>
          </w:tcPr>
          <w:p w:rsidR="00C310DF" w:rsidRPr="00E21452" w:rsidRDefault="00C310DF" w:rsidP="00C310DF">
            <w:pPr>
              <w:cnfStyle w:val="000000000000"/>
              <w:rPr>
                <w:rFonts w:ascii="Verdana" w:hAnsi="Verdana" w:cs="Arial"/>
                <w:sz w:val="22"/>
                <w:szCs w:val="24"/>
                <w:lang w:val="es-CO"/>
              </w:rPr>
            </w:pPr>
            <w:r w:rsidRPr="00E21452">
              <w:rPr>
                <w:rFonts w:ascii="Verdana" w:hAnsi="Verdana" w:cs="Arial"/>
                <w:sz w:val="22"/>
                <w:szCs w:val="24"/>
                <w:lang w:val="es-CO"/>
              </w:rPr>
              <w:t xml:space="preserve">Avance en la elaboración de informe de hallazgos </w:t>
            </w:r>
          </w:p>
        </w:tc>
        <w:tc>
          <w:tcPr>
            <w:tcW w:w="542" w:type="pct"/>
            <w:vAlign w:val="center"/>
          </w:tcPr>
          <w:p w:rsidR="00C310DF" w:rsidRPr="00E21452" w:rsidRDefault="00C310DF" w:rsidP="00C310DF">
            <w:pPr>
              <w:jc w:val="center"/>
              <w:cnfStyle w:val="000000000000"/>
              <w:rPr>
                <w:rFonts w:ascii="Verdana" w:hAnsi="Verdana" w:cs="Arial"/>
                <w:sz w:val="22"/>
                <w:szCs w:val="24"/>
                <w:lang w:val="es-CO"/>
              </w:rPr>
            </w:pPr>
            <w:r w:rsidRPr="00E21452">
              <w:rPr>
                <w:rFonts w:ascii="Verdana" w:hAnsi="Verdana" w:cs="Arial"/>
                <w:sz w:val="22"/>
                <w:szCs w:val="24"/>
                <w:lang w:val="es-CO"/>
              </w:rPr>
              <w:t>50%</w:t>
            </w:r>
          </w:p>
        </w:tc>
        <w:tc>
          <w:tcPr>
            <w:tcW w:w="604" w:type="pct"/>
            <w:vAlign w:val="center"/>
          </w:tcPr>
          <w:p w:rsidR="00C310DF" w:rsidRPr="00E21452" w:rsidRDefault="00C310DF" w:rsidP="00C310DF">
            <w:pPr>
              <w:jc w:val="center"/>
              <w:cnfStyle w:val="000000000000"/>
              <w:rPr>
                <w:rFonts w:ascii="Verdana" w:hAnsi="Verdana" w:cs="Arial"/>
                <w:sz w:val="22"/>
                <w:szCs w:val="24"/>
                <w:lang w:val="es-CO"/>
              </w:rPr>
            </w:pPr>
            <w:r w:rsidRPr="00E21452">
              <w:rPr>
                <w:rFonts w:ascii="Verdana" w:hAnsi="Verdana" w:cs="Arial"/>
                <w:sz w:val="22"/>
                <w:szCs w:val="24"/>
                <w:lang w:val="es-CO"/>
              </w:rPr>
              <w:t>37,5%</w:t>
            </w:r>
          </w:p>
        </w:tc>
      </w:tr>
      <w:tr w:rsidR="00C310DF" w:rsidRPr="00E21452" w:rsidTr="00E21452">
        <w:trPr>
          <w:cnfStyle w:val="000000100000"/>
          <w:jc w:val="center"/>
        </w:trPr>
        <w:tc>
          <w:tcPr>
            <w:cnfStyle w:val="001000000000"/>
            <w:tcW w:w="1993" w:type="pct"/>
            <w:vAlign w:val="center"/>
          </w:tcPr>
          <w:p w:rsidR="00C310DF" w:rsidRPr="00E21452" w:rsidRDefault="00C310DF" w:rsidP="00C310DF">
            <w:pPr>
              <w:rPr>
                <w:rFonts w:ascii="Verdana" w:hAnsi="Verdana" w:cs="Arial"/>
                <w:b w:val="0"/>
                <w:sz w:val="22"/>
                <w:szCs w:val="24"/>
                <w:lang w:val="es-CO"/>
              </w:rPr>
            </w:pPr>
            <w:r w:rsidRPr="00E21452">
              <w:rPr>
                <w:rFonts w:ascii="Verdana" w:hAnsi="Verdana" w:cs="Arial"/>
                <w:b w:val="0"/>
                <w:sz w:val="22"/>
                <w:szCs w:val="24"/>
                <w:lang w:val="es-CO"/>
              </w:rPr>
              <w:t>Estrategia de comunicación y difusión DAV Implementada</w:t>
            </w:r>
          </w:p>
        </w:tc>
        <w:tc>
          <w:tcPr>
            <w:tcW w:w="1861" w:type="pct"/>
            <w:vAlign w:val="center"/>
          </w:tcPr>
          <w:p w:rsidR="00C310DF" w:rsidRPr="00E21452" w:rsidRDefault="00C310DF" w:rsidP="00C310DF">
            <w:pPr>
              <w:cnfStyle w:val="000000100000"/>
              <w:rPr>
                <w:rFonts w:ascii="Verdana" w:hAnsi="Verdana" w:cs="Arial"/>
                <w:sz w:val="22"/>
                <w:szCs w:val="24"/>
                <w:lang w:val="es-CO"/>
              </w:rPr>
            </w:pPr>
            <w:r w:rsidRPr="00E21452">
              <w:rPr>
                <w:rFonts w:ascii="Verdana" w:hAnsi="Verdana" w:cs="Arial"/>
                <w:sz w:val="22"/>
                <w:szCs w:val="24"/>
                <w:lang w:val="es-CO"/>
              </w:rPr>
              <w:t xml:space="preserve">Avance en la implementación de la estrategia de comunicación y difusión </w:t>
            </w:r>
          </w:p>
        </w:tc>
        <w:tc>
          <w:tcPr>
            <w:tcW w:w="542" w:type="pct"/>
            <w:vAlign w:val="center"/>
          </w:tcPr>
          <w:p w:rsidR="00C310DF" w:rsidRPr="00E21452" w:rsidRDefault="00C310DF" w:rsidP="00C310DF">
            <w:pPr>
              <w:jc w:val="center"/>
              <w:cnfStyle w:val="000000100000"/>
              <w:rPr>
                <w:rFonts w:ascii="Verdana" w:hAnsi="Verdana" w:cs="Arial"/>
                <w:sz w:val="22"/>
                <w:szCs w:val="24"/>
                <w:lang w:val="es-CO"/>
              </w:rPr>
            </w:pPr>
            <w:r w:rsidRPr="00E21452">
              <w:rPr>
                <w:rFonts w:ascii="Verdana" w:hAnsi="Verdana" w:cs="Arial"/>
                <w:sz w:val="22"/>
                <w:szCs w:val="24"/>
                <w:lang w:val="es-CO"/>
              </w:rPr>
              <w:t>50%</w:t>
            </w:r>
          </w:p>
        </w:tc>
        <w:tc>
          <w:tcPr>
            <w:tcW w:w="604" w:type="pct"/>
            <w:vAlign w:val="center"/>
          </w:tcPr>
          <w:p w:rsidR="00C310DF" w:rsidRPr="00E21452" w:rsidRDefault="00C310DF" w:rsidP="00C310DF">
            <w:pPr>
              <w:jc w:val="center"/>
              <w:cnfStyle w:val="000000100000"/>
              <w:rPr>
                <w:rFonts w:ascii="Verdana" w:hAnsi="Verdana" w:cs="Arial"/>
                <w:sz w:val="22"/>
                <w:szCs w:val="24"/>
                <w:lang w:val="es-CO"/>
              </w:rPr>
            </w:pPr>
            <w:r w:rsidRPr="00E21452">
              <w:rPr>
                <w:rFonts w:ascii="Verdana" w:hAnsi="Verdana" w:cs="Arial"/>
                <w:sz w:val="22"/>
                <w:szCs w:val="24"/>
                <w:lang w:val="es-CO"/>
              </w:rPr>
              <w:t>50%</w:t>
            </w:r>
          </w:p>
        </w:tc>
      </w:tr>
    </w:tbl>
    <w:p w:rsidR="00C310DF" w:rsidRPr="00BC7F3F" w:rsidRDefault="00C310DF" w:rsidP="00C310DF">
      <w:pPr>
        <w:spacing w:after="0" w:line="240" w:lineRule="auto"/>
        <w:jc w:val="both"/>
        <w:rPr>
          <w:rFonts w:ascii="Verdana" w:hAnsi="Verdana"/>
          <w:b/>
          <w:sz w:val="24"/>
          <w:szCs w:val="24"/>
        </w:rPr>
      </w:pPr>
    </w:p>
    <w:p w:rsidR="00C310DF" w:rsidRPr="00BC7F3F" w:rsidRDefault="00C310DF" w:rsidP="00C310DF">
      <w:pPr>
        <w:spacing w:after="0" w:line="240" w:lineRule="auto"/>
        <w:jc w:val="both"/>
        <w:rPr>
          <w:rFonts w:ascii="Verdana" w:hAnsi="Verdana"/>
          <w:sz w:val="24"/>
          <w:szCs w:val="24"/>
        </w:rPr>
      </w:pPr>
      <w:r w:rsidRPr="00BC7F3F">
        <w:rPr>
          <w:rFonts w:ascii="Verdana" w:hAnsi="Verdana"/>
          <w:sz w:val="24"/>
          <w:szCs w:val="24"/>
        </w:rPr>
        <w:t>Para el logro de los objetivos propuestos, el proyecto desarrolla las siguientes actividades:</w:t>
      </w:r>
    </w:p>
    <w:p w:rsidR="00C310DF" w:rsidRPr="00BC7F3F" w:rsidRDefault="00C310DF" w:rsidP="00C310DF">
      <w:pPr>
        <w:spacing w:after="0" w:line="240" w:lineRule="auto"/>
        <w:jc w:val="both"/>
        <w:rPr>
          <w:rFonts w:ascii="Verdana" w:hAnsi="Verdana"/>
          <w:sz w:val="24"/>
          <w:szCs w:val="24"/>
        </w:rPr>
      </w:pPr>
    </w:p>
    <w:p w:rsidR="00C310DF" w:rsidRPr="00E21452" w:rsidRDefault="00C310DF" w:rsidP="00E21452">
      <w:pPr>
        <w:pStyle w:val="Subttulo"/>
        <w:numPr>
          <w:ilvl w:val="1"/>
          <w:numId w:val="60"/>
        </w:numPr>
        <w:spacing w:after="0"/>
        <w:ind w:left="426" w:hanging="431"/>
        <w:outlineLvl w:val="2"/>
        <w:rPr>
          <w:rFonts w:ascii="Verdana" w:eastAsia="Arial" w:hAnsi="Verdana"/>
          <w:b/>
          <w:color w:val="4F81BD" w:themeColor="accent1"/>
          <w:sz w:val="24"/>
          <w:szCs w:val="24"/>
          <w:lang w:val="es-CO"/>
        </w:rPr>
      </w:pPr>
      <w:bookmarkStart w:id="111" w:name="_Toc411868584"/>
      <w:r w:rsidRPr="00E21452">
        <w:rPr>
          <w:rFonts w:ascii="Verdana" w:eastAsia="Arial" w:hAnsi="Verdana"/>
          <w:b/>
          <w:color w:val="4F81BD" w:themeColor="accent1"/>
          <w:sz w:val="24"/>
          <w:szCs w:val="24"/>
          <w:lang w:val="es-CO"/>
        </w:rPr>
        <w:t>Instalar, adecuar y sostener el funcionamiento de las sedes regionales.</w:t>
      </w:r>
      <w:bookmarkEnd w:id="111"/>
      <w:r w:rsidRPr="00E21452">
        <w:rPr>
          <w:rFonts w:ascii="Verdana" w:eastAsia="Arial" w:hAnsi="Verdana"/>
          <w:b/>
          <w:color w:val="4F81BD" w:themeColor="accent1"/>
          <w:sz w:val="24"/>
          <w:szCs w:val="24"/>
          <w:lang w:val="es-CO"/>
        </w:rPr>
        <w:tab/>
      </w:r>
    </w:p>
    <w:p w:rsidR="00C310DF" w:rsidRPr="00BC7F3F" w:rsidRDefault="00C310DF" w:rsidP="00C310DF">
      <w:pPr>
        <w:spacing w:after="0" w:line="240" w:lineRule="auto"/>
        <w:jc w:val="both"/>
        <w:rPr>
          <w:rFonts w:ascii="Verdana" w:hAnsi="Verdana"/>
          <w:sz w:val="24"/>
          <w:szCs w:val="24"/>
        </w:rPr>
      </w:pPr>
    </w:p>
    <w:p w:rsidR="00C310DF" w:rsidRPr="00BC7F3F" w:rsidRDefault="00C310DF" w:rsidP="00C310DF">
      <w:pPr>
        <w:spacing w:after="0" w:line="240" w:lineRule="auto"/>
        <w:jc w:val="both"/>
        <w:rPr>
          <w:rFonts w:ascii="Verdana" w:hAnsi="Verdana"/>
          <w:sz w:val="24"/>
          <w:szCs w:val="24"/>
        </w:rPr>
      </w:pPr>
      <w:r w:rsidRPr="00BC7F3F">
        <w:rPr>
          <w:rFonts w:ascii="Verdana" w:hAnsi="Verdana"/>
          <w:sz w:val="24"/>
          <w:szCs w:val="24"/>
        </w:rPr>
        <w:t xml:space="preserve">Durante el año 2014 funcionaron 14 sedes regionales en los departamentos de Antioquia, Atlántico, Bogotá, Cesar, Córdoba, Magdalena, Meta, Santander y Valle del Cauca. Cada una de ellas contó con la dotación de los puestos de trabajo, papelería, espacios adecuados para la toma de entrevistas, valoración de relatos, realización de conceptos y otras labores interinstitucionales realizadas por el equipo regional. </w:t>
      </w:r>
    </w:p>
    <w:p w:rsidR="00C310DF" w:rsidRPr="00BC7F3F" w:rsidRDefault="00C310DF" w:rsidP="00C310DF">
      <w:pPr>
        <w:spacing w:after="0" w:line="240" w:lineRule="auto"/>
        <w:jc w:val="both"/>
        <w:rPr>
          <w:rFonts w:ascii="Verdana" w:hAnsi="Verdana"/>
          <w:b/>
          <w:sz w:val="24"/>
          <w:szCs w:val="24"/>
        </w:rPr>
      </w:pPr>
    </w:p>
    <w:p w:rsidR="00C310DF" w:rsidRPr="00E21452" w:rsidRDefault="00C310DF" w:rsidP="00E21452">
      <w:pPr>
        <w:pStyle w:val="Subttulo"/>
        <w:numPr>
          <w:ilvl w:val="1"/>
          <w:numId w:val="60"/>
        </w:numPr>
        <w:spacing w:after="0"/>
        <w:ind w:left="426" w:hanging="431"/>
        <w:outlineLvl w:val="2"/>
        <w:rPr>
          <w:rFonts w:ascii="Verdana" w:eastAsia="Arial" w:hAnsi="Verdana"/>
          <w:b/>
          <w:color w:val="4F81BD" w:themeColor="accent1"/>
          <w:sz w:val="24"/>
          <w:szCs w:val="24"/>
          <w:lang w:val="es-CO"/>
        </w:rPr>
      </w:pPr>
      <w:bookmarkStart w:id="112" w:name="_Toc411868585"/>
      <w:r w:rsidRPr="00E21452">
        <w:rPr>
          <w:rFonts w:ascii="Verdana" w:eastAsia="Arial" w:hAnsi="Verdana"/>
          <w:b/>
          <w:color w:val="4F81BD" w:themeColor="accent1"/>
          <w:sz w:val="24"/>
          <w:szCs w:val="24"/>
          <w:lang w:val="es-CO"/>
        </w:rPr>
        <w:t>Acopiar los testimonios de las personas desmovilizadas firmantes de los Acuerdos de contribución a la Verdad y la reparación ley 1424 de 2010 y otras contribuciones de actores sociales.</w:t>
      </w:r>
      <w:bookmarkEnd w:id="112"/>
    </w:p>
    <w:p w:rsidR="00C310DF" w:rsidRPr="00BC7F3F" w:rsidRDefault="00C310DF" w:rsidP="00C310DF">
      <w:pPr>
        <w:spacing w:after="0" w:line="240" w:lineRule="auto"/>
        <w:jc w:val="both"/>
        <w:rPr>
          <w:rFonts w:ascii="Verdana" w:hAnsi="Verdana"/>
          <w:sz w:val="24"/>
          <w:szCs w:val="24"/>
        </w:rPr>
      </w:pPr>
    </w:p>
    <w:p w:rsidR="00C310DF" w:rsidRPr="00BC7F3F" w:rsidRDefault="00C310DF" w:rsidP="00C310DF">
      <w:pPr>
        <w:spacing w:after="0" w:line="240" w:lineRule="auto"/>
        <w:jc w:val="both"/>
        <w:rPr>
          <w:rFonts w:ascii="Verdana" w:hAnsi="Verdana"/>
          <w:sz w:val="24"/>
          <w:szCs w:val="24"/>
        </w:rPr>
      </w:pPr>
      <w:r w:rsidRPr="00BC7F3F">
        <w:rPr>
          <w:rFonts w:ascii="Verdana" w:hAnsi="Verdana"/>
          <w:sz w:val="24"/>
          <w:szCs w:val="24"/>
        </w:rPr>
        <w:t>Durante el año 2014 los equipos regionales, con base en la información recibida de la Agencia Colombiana para la Reintegración – ACR (a través de los anexos del Acuerdo de Contribución a la Verdad), han realizado la verificación de los datos de las personas desmovilizadas y la convocatoria, de tal manera que se pudieran desarrollar las entrevistas y valoraciones respectivas. Se cuenta con un avance acumulado de 5.098 testimonios de contribución a la verdad histórica acopiados al 31 de Diciembre del año 2014; específicamente durante el año 2014 se acopiaron 3.447 testimonios.</w:t>
      </w:r>
    </w:p>
    <w:p w:rsidR="00C310DF" w:rsidRPr="00BC7F3F" w:rsidRDefault="00C310DF" w:rsidP="00C310DF">
      <w:pPr>
        <w:spacing w:after="0" w:line="240" w:lineRule="auto"/>
        <w:jc w:val="both"/>
        <w:rPr>
          <w:rFonts w:ascii="Verdana" w:hAnsi="Verdana"/>
          <w:sz w:val="24"/>
          <w:szCs w:val="24"/>
        </w:rPr>
      </w:pPr>
    </w:p>
    <w:p w:rsidR="00C310DF" w:rsidRPr="00E21452" w:rsidRDefault="00C310DF" w:rsidP="00E21452">
      <w:pPr>
        <w:pStyle w:val="Subttulo"/>
        <w:numPr>
          <w:ilvl w:val="1"/>
          <w:numId w:val="60"/>
        </w:numPr>
        <w:spacing w:after="0"/>
        <w:ind w:left="426" w:hanging="431"/>
        <w:outlineLvl w:val="2"/>
        <w:rPr>
          <w:rFonts w:ascii="Verdana" w:eastAsia="Arial" w:hAnsi="Verdana"/>
          <w:b/>
          <w:color w:val="4F81BD" w:themeColor="accent1"/>
          <w:sz w:val="24"/>
          <w:szCs w:val="24"/>
          <w:lang w:val="es-CO"/>
        </w:rPr>
      </w:pPr>
      <w:bookmarkStart w:id="113" w:name="_Toc411868586"/>
      <w:r w:rsidRPr="00E21452">
        <w:rPr>
          <w:rFonts w:ascii="Verdana" w:eastAsia="Arial" w:hAnsi="Verdana"/>
          <w:b/>
          <w:color w:val="4F81BD" w:themeColor="accent1"/>
          <w:sz w:val="24"/>
          <w:szCs w:val="24"/>
          <w:lang w:val="es-CO"/>
        </w:rPr>
        <w:lastRenderedPageBreak/>
        <w:t>Evaluar los testimonios de las personas desmovilizadas.</w:t>
      </w:r>
      <w:bookmarkEnd w:id="113"/>
      <w:r w:rsidRPr="00E21452">
        <w:rPr>
          <w:rFonts w:ascii="Verdana" w:eastAsia="Arial" w:hAnsi="Verdana"/>
          <w:b/>
          <w:color w:val="4F81BD" w:themeColor="accent1"/>
          <w:sz w:val="24"/>
          <w:szCs w:val="24"/>
          <w:lang w:val="es-CO"/>
        </w:rPr>
        <w:tab/>
        <w:t xml:space="preserve"> </w:t>
      </w:r>
    </w:p>
    <w:p w:rsidR="00C310DF" w:rsidRPr="00BC7F3F" w:rsidRDefault="00C310DF" w:rsidP="00C310DF">
      <w:pPr>
        <w:spacing w:after="0" w:line="240" w:lineRule="auto"/>
        <w:jc w:val="both"/>
        <w:rPr>
          <w:rFonts w:ascii="Verdana" w:hAnsi="Verdana"/>
          <w:sz w:val="24"/>
          <w:szCs w:val="24"/>
        </w:rPr>
      </w:pPr>
    </w:p>
    <w:p w:rsidR="00C310DF" w:rsidRPr="00BC7F3F" w:rsidRDefault="00C310DF" w:rsidP="00C310DF">
      <w:pPr>
        <w:spacing w:after="0" w:line="240" w:lineRule="auto"/>
        <w:jc w:val="both"/>
        <w:rPr>
          <w:rFonts w:ascii="Verdana" w:hAnsi="Verdana"/>
          <w:sz w:val="24"/>
          <w:szCs w:val="24"/>
        </w:rPr>
      </w:pPr>
      <w:r w:rsidRPr="00BC7F3F">
        <w:rPr>
          <w:rFonts w:ascii="Verdana" w:hAnsi="Verdana"/>
          <w:sz w:val="24"/>
          <w:szCs w:val="24"/>
        </w:rPr>
        <w:t xml:space="preserve">La evaluación de los testimonios de las personas desmovilizadas se realiza a partir de la metodología de valoración, que implica la escucha del audio de las entrevistas y la identificación de elementos de contribución a la verdad; esto último teniendo en cuenta las características del desmovilizado que brinda su testimonio, en términos de la estructura armada a la cual perteneció, el tiempo de pertenencia a la misma, el rol que desempeñó y los lugares en los cuales desarrolló sus actividades. De forma posterior a la aplicación de la metodología de valoración se inicia una fase de concepto, la cual consiste en una segunda instancia de evaluación que indicará si el desmovilizado contribuyó de manera efectiva a la verdad. </w:t>
      </w:r>
    </w:p>
    <w:p w:rsidR="00C310DF" w:rsidRPr="00BC7F3F" w:rsidRDefault="00C310DF" w:rsidP="00C310DF">
      <w:pPr>
        <w:spacing w:after="0" w:line="240" w:lineRule="auto"/>
        <w:jc w:val="both"/>
        <w:rPr>
          <w:rFonts w:ascii="Verdana" w:hAnsi="Verdana"/>
          <w:sz w:val="24"/>
          <w:szCs w:val="24"/>
        </w:rPr>
      </w:pPr>
      <w:r w:rsidRPr="00BC7F3F">
        <w:rPr>
          <w:rFonts w:ascii="Verdana" w:hAnsi="Verdana"/>
          <w:sz w:val="24"/>
          <w:szCs w:val="24"/>
        </w:rPr>
        <w:t>Se cuenta con un avance acumulado al 31 de Diciembre del año 2014 de 2.790 testimonios evaluados y valorados; específicamente durante el año 2014 se valoraron y evaluaron un total de 2.016 testimonios.</w:t>
      </w:r>
    </w:p>
    <w:p w:rsidR="00C310DF" w:rsidRPr="00BC7F3F" w:rsidRDefault="00C310DF" w:rsidP="00C310DF">
      <w:pPr>
        <w:spacing w:after="0" w:line="240" w:lineRule="auto"/>
        <w:jc w:val="both"/>
        <w:rPr>
          <w:rFonts w:ascii="Verdana" w:hAnsi="Verdana"/>
          <w:sz w:val="24"/>
          <w:szCs w:val="24"/>
        </w:rPr>
      </w:pPr>
    </w:p>
    <w:p w:rsidR="00C310DF" w:rsidRPr="00E21452" w:rsidRDefault="00C310DF" w:rsidP="00E21452">
      <w:pPr>
        <w:pStyle w:val="Subttulo"/>
        <w:numPr>
          <w:ilvl w:val="1"/>
          <w:numId w:val="60"/>
        </w:numPr>
        <w:spacing w:after="0"/>
        <w:ind w:left="426" w:hanging="431"/>
        <w:outlineLvl w:val="2"/>
        <w:rPr>
          <w:rFonts w:ascii="Verdana" w:eastAsia="Arial" w:hAnsi="Verdana"/>
          <w:b/>
          <w:color w:val="4F81BD" w:themeColor="accent1"/>
          <w:sz w:val="24"/>
          <w:szCs w:val="24"/>
          <w:lang w:val="es-CO"/>
        </w:rPr>
      </w:pPr>
      <w:bookmarkStart w:id="114" w:name="_Toc411868587"/>
      <w:r w:rsidRPr="00E21452">
        <w:rPr>
          <w:rFonts w:ascii="Verdana" w:eastAsia="Arial" w:hAnsi="Verdana"/>
          <w:b/>
          <w:color w:val="4F81BD" w:themeColor="accent1"/>
          <w:sz w:val="24"/>
          <w:szCs w:val="24"/>
          <w:lang w:val="es-CO"/>
        </w:rPr>
        <w:t>Expedir las certificaciones de contribución a la verdad.</w:t>
      </w:r>
      <w:bookmarkEnd w:id="114"/>
      <w:r w:rsidRPr="00E21452">
        <w:rPr>
          <w:rFonts w:ascii="Verdana" w:eastAsia="Arial" w:hAnsi="Verdana"/>
          <w:b/>
          <w:color w:val="4F81BD" w:themeColor="accent1"/>
          <w:sz w:val="24"/>
          <w:szCs w:val="24"/>
          <w:lang w:val="es-CO"/>
        </w:rPr>
        <w:t xml:space="preserve"> </w:t>
      </w:r>
    </w:p>
    <w:p w:rsidR="00C310DF" w:rsidRPr="00BC7F3F" w:rsidRDefault="00C310DF" w:rsidP="00C310DF">
      <w:pPr>
        <w:spacing w:after="0" w:line="240" w:lineRule="auto"/>
        <w:jc w:val="both"/>
        <w:rPr>
          <w:rFonts w:ascii="Verdana" w:hAnsi="Verdana"/>
          <w:sz w:val="24"/>
          <w:szCs w:val="24"/>
        </w:rPr>
      </w:pPr>
    </w:p>
    <w:p w:rsidR="00C310DF" w:rsidRPr="00BC7F3F" w:rsidRDefault="00C310DF" w:rsidP="00C310DF">
      <w:pPr>
        <w:spacing w:after="0" w:line="240" w:lineRule="auto"/>
        <w:jc w:val="both"/>
        <w:rPr>
          <w:rFonts w:ascii="Verdana" w:hAnsi="Verdana"/>
          <w:sz w:val="24"/>
          <w:szCs w:val="24"/>
        </w:rPr>
      </w:pPr>
      <w:r w:rsidRPr="00BC7F3F">
        <w:rPr>
          <w:rFonts w:ascii="Verdana" w:hAnsi="Verdana"/>
          <w:sz w:val="24"/>
          <w:szCs w:val="24"/>
        </w:rPr>
        <w:t xml:space="preserve">Durante el año 2014, la Dirección de Acuerdos de la Verdad emitió 1.407 actos administrativos de contribución a la verdad, todos ellos de sentido positivo. </w:t>
      </w:r>
    </w:p>
    <w:p w:rsidR="00C310DF" w:rsidRPr="00BC7F3F" w:rsidRDefault="00C310DF" w:rsidP="00C310DF">
      <w:pPr>
        <w:spacing w:after="0" w:line="240" w:lineRule="auto"/>
        <w:jc w:val="both"/>
        <w:rPr>
          <w:rFonts w:ascii="Verdana" w:hAnsi="Verdana"/>
          <w:sz w:val="24"/>
          <w:szCs w:val="24"/>
        </w:rPr>
      </w:pPr>
    </w:p>
    <w:p w:rsidR="00C310DF" w:rsidRPr="00E21452" w:rsidRDefault="00C310DF" w:rsidP="00E21452">
      <w:pPr>
        <w:pStyle w:val="Subttulo"/>
        <w:numPr>
          <w:ilvl w:val="1"/>
          <w:numId w:val="60"/>
        </w:numPr>
        <w:spacing w:after="0"/>
        <w:ind w:left="426" w:hanging="431"/>
        <w:outlineLvl w:val="2"/>
        <w:rPr>
          <w:rFonts w:ascii="Verdana" w:eastAsia="Arial" w:hAnsi="Verdana"/>
          <w:b/>
          <w:color w:val="4F81BD" w:themeColor="accent1"/>
          <w:sz w:val="24"/>
          <w:szCs w:val="24"/>
          <w:lang w:val="es-CO"/>
        </w:rPr>
      </w:pPr>
      <w:bookmarkStart w:id="115" w:name="_Toc411868588"/>
      <w:r w:rsidRPr="00E21452">
        <w:rPr>
          <w:rFonts w:ascii="Verdana" w:eastAsia="Arial" w:hAnsi="Verdana"/>
          <w:b/>
          <w:color w:val="4F81BD" w:themeColor="accent1"/>
          <w:sz w:val="24"/>
          <w:szCs w:val="24"/>
          <w:lang w:val="es-CO"/>
        </w:rPr>
        <w:t>Sistematizar los testimonios de personas desmovilizadas y otros actores sociales</w:t>
      </w:r>
      <w:bookmarkEnd w:id="115"/>
    </w:p>
    <w:p w:rsidR="00C310DF" w:rsidRPr="00BC7F3F" w:rsidRDefault="00C310DF" w:rsidP="00C310DF">
      <w:pPr>
        <w:spacing w:after="0" w:line="240" w:lineRule="auto"/>
        <w:jc w:val="both"/>
        <w:rPr>
          <w:rFonts w:ascii="Verdana" w:hAnsi="Verdana"/>
          <w:sz w:val="24"/>
          <w:szCs w:val="24"/>
        </w:rPr>
      </w:pPr>
    </w:p>
    <w:p w:rsidR="00C310DF" w:rsidRPr="00BC7F3F" w:rsidRDefault="00C310DF" w:rsidP="00C310DF">
      <w:pPr>
        <w:spacing w:after="0" w:line="240" w:lineRule="auto"/>
        <w:jc w:val="both"/>
        <w:rPr>
          <w:rFonts w:ascii="Verdana" w:hAnsi="Verdana"/>
          <w:sz w:val="24"/>
          <w:szCs w:val="24"/>
        </w:rPr>
      </w:pPr>
      <w:r w:rsidRPr="00BC7F3F">
        <w:rPr>
          <w:rFonts w:ascii="Verdana" w:hAnsi="Verdana"/>
          <w:sz w:val="24"/>
          <w:szCs w:val="24"/>
        </w:rPr>
        <w:t xml:space="preserve">Durante el año 2014 se transcribieron 176 relatos, lo que equivale aproximadamente a 708 horas de audio (42.480 minutos). Desde febrero de 2014 se estableció un esquema de especialización de cada uno de los transcriptores en función de las estructuras armadas de las cuales la Dirección de Acuerdos recibe relatos. Esto para asegurar una disponibilidad proporcionada de relatos de cada estructura armada y que los procesos de codificación y apoyo a diseño de informes analíticos requieren que el equipo de transcripción adquiera experticia temática para el mejor logro de los objetivos.  </w:t>
      </w:r>
    </w:p>
    <w:p w:rsidR="00C310DF" w:rsidRPr="00BC7F3F" w:rsidRDefault="00C310DF" w:rsidP="00C310DF">
      <w:pPr>
        <w:spacing w:after="0" w:line="240" w:lineRule="auto"/>
        <w:jc w:val="both"/>
        <w:rPr>
          <w:rFonts w:ascii="Verdana" w:hAnsi="Verdana"/>
          <w:sz w:val="24"/>
          <w:szCs w:val="24"/>
        </w:rPr>
      </w:pPr>
    </w:p>
    <w:p w:rsidR="00C310DF" w:rsidRPr="00E21452" w:rsidRDefault="00C310DF" w:rsidP="00E21452">
      <w:pPr>
        <w:pStyle w:val="Subttulo"/>
        <w:numPr>
          <w:ilvl w:val="1"/>
          <w:numId w:val="60"/>
        </w:numPr>
        <w:spacing w:after="0"/>
        <w:ind w:left="426" w:hanging="431"/>
        <w:outlineLvl w:val="2"/>
        <w:rPr>
          <w:rFonts w:ascii="Verdana" w:eastAsia="Arial" w:hAnsi="Verdana"/>
          <w:b/>
          <w:color w:val="4F81BD" w:themeColor="accent1"/>
          <w:sz w:val="24"/>
          <w:szCs w:val="24"/>
          <w:lang w:val="es-CO"/>
        </w:rPr>
      </w:pPr>
      <w:bookmarkStart w:id="116" w:name="_Toc411868589"/>
      <w:r w:rsidRPr="00E21452">
        <w:rPr>
          <w:rFonts w:ascii="Verdana" w:eastAsia="Arial" w:hAnsi="Verdana"/>
          <w:b/>
          <w:color w:val="4F81BD" w:themeColor="accent1"/>
          <w:sz w:val="24"/>
          <w:szCs w:val="24"/>
          <w:lang w:val="es-CO"/>
        </w:rPr>
        <w:t>Elaboración de informes de hallazgos</w:t>
      </w:r>
      <w:bookmarkEnd w:id="116"/>
      <w:r w:rsidRPr="00E21452">
        <w:rPr>
          <w:rFonts w:ascii="Verdana" w:eastAsia="Arial" w:hAnsi="Verdana"/>
          <w:b/>
          <w:color w:val="4F81BD" w:themeColor="accent1"/>
          <w:sz w:val="24"/>
          <w:szCs w:val="24"/>
          <w:lang w:val="es-CO"/>
        </w:rPr>
        <w:t xml:space="preserve"> </w:t>
      </w:r>
    </w:p>
    <w:p w:rsidR="00C310DF" w:rsidRPr="00BC7F3F" w:rsidRDefault="00C310DF" w:rsidP="00C310DF">
      <w:pPr>
        <w:spacing w:after="0" w:line="240" w:lineRule="auto"/>
        <w:jc w:val="both"/>
        <w:rPr>
          <w:rFonts w:ascii="Verdana" w:hAnsi="Verdana"/>
          <w:sz w:val="24"/>
          <w:szCs w:val="24"/>
        </w:rPr>
      </w:pPr>
    </w:p>
    <w:p w:rsidR="00C310DF" w:rsidRPr="00E21452" w:rsidRDefault="00C310DF" w:rsidP="00C310DF">
      <w:pPr>
        <w:spacing w:after="0" w:line="240" w:lineRule="auto"/>
        <w:jc w:val="both"/>
        <w:rPr>
          <w:rFonts w:ascii="Verdana" w:hAnsi="Verdana"/>
          <w:sz w:val="24"/>
          <w:szCs w:val="24"/>
        </w:rPr>
      </w:pPr>
      <w:r w:rsidRPr="00E21452">
        <w:rPr>
          <w:rFonts w:ascii="Verdana" w:hAnsi="Verdana"/>
          <w:sz w:val="24"/>
          <w:szCs w:val="24"/>
        </w:rPr>
        <w:t xml:space="preserve">Se publicaron tres (3) informes durante la vigencia 2014. Dos (2) tomos titulados </w:t>
      </w:r>
      <w:r w:rsidRPr="00E21452">
        <w:rPr>
          <w:rFonts w:ascii="Verdana" w:hAnsi="Verdana"/>
          <w:i/>
          <w:sz w:val="24"/>
          <w:szCs w:val="24"/>
        </w:rPr>
        <w:t>“Nuevos escenarios de conflicto armado y violencia. Panorama posacuerdos con AUC”</w:t>
      </w:r>
      <w:r w:rsidRPr="00E21452">
        <w:rPr>
          <w:rFonts w:ascii="Verdana" w:hAnsi="Verdana"/>
          <w:sz w:val="24"/>
          <w:szCs w:val="24"/>
        </w:rPr>
        <w:t>, organizados en función de las regiones del país:</w:t>
      </w:r>
    </w:p>
    <w:p w:rsidR="00C310DF" w:rsidRPr="00BC7F3F" w:rsidRDefault="00C310DF" w:rsidP="00C310DF">
      <w:pPr>
        <w:spacing w:after="0" w:line="240" w:lineRule="auto"/>
        <w:jc w:val="both"/>
        <w:rPr>
          <w:rFonts w:ascii="Verdana" w:hAnsi="Verdana"/>
          <w:sz w:val="24"/>
          <w:szCs w:val="24"/>
        </w:rPr>
      </w:pPr>
    </w:p>
    <w:p w:rsidR="00C310DF" w:rsidRPr="00BC7F3F" w:rsidRDefault="00C310DF" w:rsidP="00C310DF">
      <w:pPr>
        <w:pStyle w:val="Prrafodelista"/>
        <w:numPr>
          <w:ilvl w:val="0"/>
          <w:numId w:val="64"/>
        </w:numPr>
        <w:spacing w:after="0" w:line="240" w:lineRule="auto"/>
        <w:ind w:left="357" w:hanging="357"/>
        <w:contextualSpacing w:val="0"/>
        <w:jc w:val="both"/>
        <w:rPr>
          <w:rFonts w:ascii="Verdana" w:hAnsi="Verdana"/>
          <w:sz w:val="24"/>
          <w:szCs w:val="24"/>
        </w:rPr>
      </w:pPr>
      <w:r w:rsidRPr="00BC7F3F">
        <w:rPr>
          <w:rFonts w:ascii="Verdana" w:hAnsi="Verdana"/>
          <w:sz w:val="24"/>
          <w:szCs w:val="24"/>
        </w:rPr>
        <w:t xml:space="preserve">“Región Caribe, Departamento de Antioquia, Departamento de Chocó”. Su </w:t>
      </w:r>
      <w:r w:rsidRPr="00BC7F3F">
        <w:rPr>
          <w:rFonts w:ascii="Verdana" w:hAnsi="Verdana" w:cs="Arial"/>
          <w:sz w:val="24"/>
          <w:szCs w:val="24"/>
        </w:rPr>
        <w:t xml:space="preserve">contenido se refiere al impacto de la aplicación de los acuerdos de desmovilización, desarme y reintegración con agrupaciones paramilitares, que dieron lugar a ceremonias de desarme y desmovilización entre 2003 y 2006, a la implementación del programa de reintegración a la vida civil con sus exintegrantes vigente hasta la actualidad y a expresiones de rearme que han involucrado a parte de esta población. </w:t>
      </w:r>
    </w:p>
    <w:p w:rsidR="00C310DF" w:rsidRPr="00BC7F3F" w:rsidRDefault="00C310DF" w:rsidP="00C310DF">
      <w:pPr>
        <w:pStyle w:val="Prrafodelista"/>
        <w:numPr>
          <w:ilvl w:val="0"/>
          <w:numId w:val="64"/>
        </w:numPr>
        <w:spacing w:after="0" w:line="240" w:lineRule="auto"/>
        <w:ind w:left="357" w:hanging="357"/>
        <w:contextualSpacing w:val="0"/>
        <w:jc w:val="both"/>
        <w:rPr>
          <w:rFonts w:ascii="Verdana" w:hAnsi="Verdana"/>
          <w:sz w:val="24"/>
          <w:szCs w:val="24"/>
        </w:rPr>
      </w:pPr>
      <w:r w:rsidRPr="00BC7F3F">
        <w:rPr>
          <w:rFonts w:ascii="Verdana" w:hAnsi="Verdana"/>
          <w:sz w:val="24"/>
          <w:szCs w:val="24"/>
        </w:rPr>
        <w:t xml:space="preserve">“Nororiente y Magdalena Medio, Llanos orientales, Suroriente y Bogotá D.C.”  </w:t>
      </w:r>
      <w:r w:rsidRPr="00BC7F3F">
        <w:rPr>
          <w:rFonts w:ascii="Verdana" w:hAnsi="Verdana" w:cs="Helvetica"/>
          <w:sz w:val="24"/>
          <w:szCs w:val="24"/>
        </w:rPr>
        <w:t xml:space="preserve">Con informes regionales sobre la situación entre 2010 y 2013 del programa de reintegración de paramilitares desmovilizados de las AUC y guerrilleros entregados ante autoridades estatales, apreciada en contraste con el análisis de las expresiones de rearme que han dado lugar al surgimiento de nuevos grupos armados ilegales. </w:t>
      </w:r>
    </w:p>
    <w:p w:rsidR="00C310DF" w:rsidRPr="00BC7F3F" w:rsidRDefault="00C310DF" w:rsidP="00C310DF">
      <w:pPr>
        <w:spacing w:after="0" w:line="240" w:lineRule="auto"/>
        <w:jc w:val="both"/>
        <w:rPr>
          <w:rFonts w:ascii="Verdana" w:hAnsi="Verdana"/>
          <w:sz w:val="24"/>
          <w:szCs w:val="24"/>
        </w:rPr>
      </w:pPr>
    </w:p>
    <w:p w:rsidR="00C310DF" w:rsidRPr="00E21452" w:rsidRDefault="00C310DF" w:rsidP="00C310DF">
      <w:pPr>
        <w:spacing w:after="0" w:line="240" w:lineRule="auto"/>
        <w:jc w:val="both"/>
        <w:rPr>
          <w:rFonts w:ascii="Verdana" w:hAnsi="Verdana"/>
          <w:sz w:val="24"/>
          <w:szCs w:val="24"/>
        </w:rPr>
      </w:pPr>
      <w:r w:rsidRPr="00E21452">
        <w:rPr>
          <w:rFonts w:ascii="Verdana" w:hAnsi="Verdana"/>
          <w:sz w:val="24"/>
          <w:szCs w:val="24"/>
        </w:rPr>
        <w:t xml:space="preserve">Además se publicó el primer informe de gestión de la Dirección de Acuerdos de la Verdad, titulado “Yo aporto a la verdad, acuerdos de contribución a la verdad y la memoria histórica, mecanismo no judicial”. Con este documento  se abre la serie de informes de del CNMH relativos al diseño, implementación y resultados conseguidos con la aplicación del mecanismo no judicial de memoria histórica, denominado como Acuerdos de Contribución a la Verdad y la Memoria Histórica por la Ley 1424 de 2010. </w:t>
      </w:r>
    </w:p>
    <w:p w:rsidR="00C310DF" w:rsidRPr="00BC7F3F" w:rsidRDefault="00C310DF" w:rsidP="00C310DF">
      <w:pPr>
        <w:spacing w:after="0" w:line="240" w:lineRule="auto"/>
        <w:jc w:val="both"/>
        <w:rPr>
          <w:rFonts w:ascii="Verdana" w:hAnsi="Verdana"/>
          <w:sz w:val="24"/>
          <w:szCs w:val="24"/>
        </w:rPr>
      </w:pPr>
    </w:p>
    <w:p w:rsidR="00C310DF" w:rsidRPr="00E21452" w:rsidRDefault="00C310DF" w:rsidP="00E21452">
      <w:pPr>
        <w:pStyle w:val="Subttulo"/>
        <w:numPr>
          <w:ilvl w:val="1"/>
          <w:numId w:val="60"/>
        </w:numPr>
        <w:spacing w:after="0"/>
        <w:ind w:left="426" w:hanging="431"/>
        <w:outlineLvl w:val="2"/>
        <w:rPr>
          <w:rFonts w:ascii="Verdana" w:eastAsia="Arial" w:hAnsi="Verdana"/>
          <w:b/>
          <w:color w:val="4F81BD" w:themeColor="accent1"/>
          <w:sz w:val="24"/>
          <w:szCs w:val="24"/>
          <w:lang w:val="es-CO"/>
        </w:rPr>
      </w:pPr>
      <w:bookmarkStart w:id="117" w:name="_Toc411868590"/>
      <w:r w:rsidRPr="00E21452">
        <w:rPr>
          <w:rFonts w:ascii="Verdana" w:eastAsia="Arial" w:hAnsi="Verdana"/>
          <w:b/>
          <w:color w:val="4F81BD" w:themeColor="accent1"/>
          <w:sz w:val="24"/>
          <w:szCs w:val="24"/>
          <w:lang w:val="es-CO"/>
        </w:rPr>
        <w:t>Diseñar e implementar una estrategia de comunicación y difusión amplia y masiva de los informes de hallazgos de la DAV.</w:t>
      </w:r>
      <w:bookmarkEnd w:id="117"/>
    </w:p>
    <w:p w:rsidR="00C310DF" w:rsidRPr="00BC7F3F" w:rsidRDefault="00C310DF" w:rsidP="00C310DF">
      <w:pPr>
        <w:spacing w:after="0" w:line="240" w:lineRule="auto"/>
        <w:jc w:val="both"/>
        <w:rPr>
          <w:rFonts w:ascii="Verdana" w:hAnsi="Verdana"/>
          <w:sz w:val="24"/>
          <w:szCs w:val="24"/>
        </w:rPr>
      </w:pPr>
    </w:p>
    <w:p w:rsidR="00C310DF" w:rsidRPr="00BC7F3F" w:rsidRDefault="00C310DF" w:rsidP="00C310DF">
      <w:pPr>
        <w:spacing w:after="0" w:line="240" w:lineRule="auto"/>
        <w:jc w:val="both"/>
        <w:rPr>
          <w:rFonts w:ascii="Verdana" w:hAnsi="Verdana"/>
          <w:sz w:val="24"/>
          <w:szCs w:val="24"/>
        </w:rPr>
      </w:pPr>
      <w:r w:rsidRPr="00BC7F3F">
        <w:rPr>
          <w:rFonts w:ascii="Verdana" w:hAnsi="Verdana"/>
          <w:sz w:val="24"/>
          <w:szCs w:val="24"/>
        </w:rPr>
        <w:t>Durante el año 2014 más de 1.200 representantes de instituciones y organizaciones de la sociedad civil y en general la sociedad colombiana, conocieron la campaña “</w:t>
      </w:r>
      <w:r w:rsidRPr="00BC7F3F">
        <w:rPr>
          <w:rFonts w:ascii="Verdana" w:hAnsi="Verdana"/>
          <w:i/>
          <w:sz w:val="24"/>
          <w:szCs w:val="24"/>
        </w:rPr>
        <w:t>Yo Aporto a la Verdad”</w:t>
      </w:r>
      <w:r w:rsidRPr="00BC7F3F">
        <w:rPr>
          <w:rFonts w:ascii="Verdana" w:hAnsi="Verdana"/>
          <w:sz w:val="24"/>
          <w:szCs w:val="24"/>
        </w:rPr>
        <w:t>, realizada por el CNMH para difundir el mecanismo no judicial de contribución a la verdad en 13 ciudades del país; esta campaña contó con el apoyo de OIM – USAID. Además se elaboró, publicó y difundió un cómic con fines de promoción del mecanismo no judicial de contribución a la verdad. También se elaboró un manual de escritura de textos que actualmente está en aprobación de la Dirección General del CNMH. En total se imprimieron 5.500 ejemplares de las diferentes publicaciones y de estos se entregaron 4.630 a las personas y entidades objetivo de la campaña.</w:t>
      </w:r>
    </w:p>
    <w:p w:rsidR="00C310DF" w:rsidRPr="00BC7F3F" w:rsidRDefault="00C310DF" w:rsidP="00C310DF">
      <w:pPr>
        <w:spacing w:after="0" w:line="240" w:lineRule="auto"/>
        <w:jc w:val="both"/>
        <w:rPr>
          <w:rFonts w:ascii="Verdana" w:hAnsi="Verdana"/>
          <w:sz w:val="24"/>
          <w:szCs w:val="24"/>
        </w:rPr>
      </w:pPr>
    </w:p>
    <w:p w:rsidR="00C310DF" w:rsidRPr="00BC7F3F" w:rsidRDefault="00C310DF" w:rsidP="00C310DF">
      <w:pPr>
        <w:spacing w:after="0" w:line="240" w:lineRule="auto"/>
        <w:jc w:val="both"/>
        <w:rPr>
          <w:rFonts w:ascii="Verdana" w:hAnsi="Verdana"/>
          <w:sz w:val="24"/>
          <w:szCs w:val="24"/>
        </w:rPr>
      </w:pPr>
      <w:r w:rsidRPr="00BC7F3F">
        <w:rPr>
          <w:rFonts w:ascii="Verdana" w:hAnsi="Verdana"/>
          <w:sz w:val="24"/>
          <w:szCs w:val="24"/>
        </w:rPr>
        <w:lastRenderedPageBreak/>
        <w:t>El mayor logro cualitativo de la campaña “</w:t>
      </w:r>
      <w:r w:rsidRPr="00BC7F3F">
        <w:rPr>
          <w:rFonts w:ascii="Verdana" w:hAnsi="Verdana"/>
          <w:i/>
          <w:sz w:val="24"/>
          <w:szCs w:val="24"/>
        </w:rPr>
        <w:t>Yo Aporto a la Verdad”</w:t>
      </w:r>
      <w:r w:rsidRPr="00BC7F3F">
        <w:rPr>
          <w:rFonts w:ascii="Verdana" w:hAnsi="Verdana"/>
          <w:sz w:val="24"/>
          <w:szCs w:val="24"/>
        </w:rPr>
        <w:t xml:space="preserve"> fue ofrecer un punto de partida para el posicionamiento del mecanismo no judicial de contribución a la verdad tanto a nivel nacional como regional, con énfasis en el trabajo en las regiones con presencia de la Dirección de Acuerdos de la Verdad, al tiempo que ha sido el espacio de socialización de los informes publicados, a través de la difusión y aprehensión social de las piezas pedagógicas de la campaña. </w:t>
      </w:r>
    </w:p>
    <w:p w:rsidR="00C310DF" w:rsidRPr="00BC7F3F" w:rsidRDefault="00C310DF" w:rsidP="00C310DF">
      <w:pPr>
        <w:spacing w:after="0" w:line="240" w:lineRule="auto"/>
        <w:jc w:val="both"/>
        <w:rPr>
          <w:rFonts w:ascii="Verdana" w:hAnsi="Verdana"/>
          <w:sz w:val="24"/>
          <w:szCs w:val="24"/>
        </w:rPr>
      </w:pPr>
    </w:p>
    <w:p w:rsidR="00C310DF" w:rsidRPr="00E21452" w:rsidRDefault="00E21452" w:rsidP="00E21452">
      <w:pPr>
        <w:pStyle w:val="Subttulo"/>
        <w:numPr>
          <w:ilvl w:val="0"/>
          <w:numId w:val="60"/>
        </w:numPr>
        <w:ind w:left="426" w:hanging="426"/>
        <w:outlineLvl w:val="1"/>
        <w:rPr>
          <w:rFonts w:ascii="Verdana" w:eastAsia="Arial" w:hAnsi="Verdana"/>
          <w:b/>
          <w:color w:val="4F81BD" w:themeColor="accent1"/>
          <w:sz w:val="24"/>
          <w:szCs w:val="24"/>
          <w:lang w:val="es-CO"/>
        </w:rPr>
      </w:pPr>
      <w:r>
        <w:rPr>
          <w:rFonts w:ascii="Verdana" w:eastAsia="Arial" w:hAnsi="Verdana"/>
          <w:b/>
          <w:color w:val="4F81BD" w:themeColor="accent1"/>
          <w:sz w:val="24"/>
          <w:szCs w:val="24"/>
          <w:lang w:val="es-CO"/>
        </w:rPr>
        <w:t>SENTENCIAS</w:t>
      </w:r>
    </w:p>
    <w:p w:rsidR="00C310DF" w:rsidRPr="00BC7F3F" w:rsidRDefault="00C310DF" w:rsidP="00C310DF">
      <w:pPr>
        <w:shd w:val="clear" w:color="auto" w:fill="FFFFFF"/>
        <w:jc w:val="both"/>
        <w:rPr>
          <w:rFonts w:ascii="Verdana" w:eastAsia="Arial" w:hAnsi="Verdana"/>
          <w:sz w:val="24"/>
          <w:szCs w:val="24"/>
        </w:rPr>
      </w:pPr>
      <w:r w:rsidRPr="00BC7F3F">
        <w:rPr>
          <w:rFonts w:ascii="Verdana" w:eastAsia="Arial" w:hAnsi="Verdana"/>
          <w:sz w:val="24"/>
          <w:szCs w:val="24"/>
        </w:rPr>
        <w:t>El CNMH ha trabajado en la respuesta judicial a las siguientes sentencias:</w:t>
      </w:r>
    </w:p>
    <w:p w:rsidR="00C310DF" w:rsidRPr="00BC7F3F" w:rsidRDefault="00C310DF" w:rsidP="00582BDE">
      <w:pPr>
        <w:pStyle w:val="Prrafodelista"/>
        <w:numPr>
          <w:ilvl w:val="0"/>
          <w:numId w:val="141"/>
        </w:numPr>
        <w:shd w:val="clear" w:color="auto" w:fill="FFFFFF"/>
        <w:spacing w:after="0" w:line="240" w:lineRule="auto"/>
        <w:jc w:val="both"/>
        <w:rPr>
          <w:rFonts w:ascii="Verdana" w:eastAsia="Arial" w:hAnsi="Verdana"/>
          <w:sz w:val="24"/>
          <w:szCs w:val="24"/>
        </w:rPr>
      </w:pPr>
      <w:r w:rsidRPr="00BC7F3F">
        <w:rPr>
          <w:rFonts w:ascii="Verdana" w:eastAsia="Arial" w:hAnsi="Verdana"/>
          <w:sz w:val="24"/>
          <w:szCs w:val="24"/>
        </w:rPr>
        <w:t>Sentencia proferida por el Tribunal Superior del Distrito Judicial de Bogotá, Sala de Justicia y Paz, dentro de los procesos 2008-83194 y 2007-83070, del 26 de marzo de 2012, contra los postulados José Rubén Peña Tobón, Wilmer Morelo Castro y José Manuel Hernández Caldera, exintegrantes del Bloque Vencedores de Arauca de las Autodefensas Unidas de Colombia (A.U.C.)</w:t>
      </w:r>
    </w:p>
    <w:p w:rsidR="00C310DF" w:rsidRPr="00BC7F3F" w:rsidRDefault="00C310DF" w:rsidP="00582BDE">
      <w:pPr>
        <w:pStyle w:val="Prrafodelista"/>
        <w:numPr>
          <w:ilvl w:val="0"/>
          <w:numId w:val="141"/>
        </w:numPr>
        <w:shd w:val="clear" w:color="auto" w:fill="FFFFFF"/>
        <w:spacing w:after="0" w:line="240" w:lineRule="auto"/>
        <w:jc w:val="both"/>
        <w:rPr>
          <w:rFonts w:ascii="Verdana" w:eastAsia="Arial" w:hAnsi="Verdana"/>
          <w:sz w:val="24"/>
          <w:szCs w:val="24"/>
        </w:rPr>
      </w:pPr>
      <w:r w:rsidRPr="00BC7F3F">
        <w:rPr>
          <w:rFonts w:ascii="Verdana" w:eastAsia="Arial" w:hAnsi="Verdana"/>
          <w:sz w:val="24"/>
          <w:szCs w:val="24"/>
        </w:rPr>
        <w:t>Sentencia proferida por el Tribunal Superior del Distrito Judicial de Bogotá, Sala de Justicia y Paz, del 7 de diciembre de 2011, dentro de los procesos 2006-81366 y 2007-82800, contra los postulados Edgar Ignacio Fierro Flores y Andrés Mauricio Torres León, exintegrantes del Bloque Norte de las Autodefensas Unidas de Colombia (A.U.C.)</w:t>
      </w:r>
    </w:p>
    <w:p w:rsidR="00C310DF" w:rsidRPr="00BC7F3F" w:rsidRDefault="00C310DF" w:rsidP="00582BDE">
      <w:pPr>
        <w:pStyle w:val="Prrafodelista"/>
        <w:numPr>
          <w:ilvl w:val="0"/>
          <w:numId w:val="141"/>
        </w:numPr>
        <w:shd w:val="clear" w:color="auto" w:fill="FFFFFF"/>
        <w:spacing w:after="0" w:line="240" w:lineRule="auto"/>
        <w:jc w:val="both"/>
        <w:rPr>
          <w:rFonts w:ascii="Verdana" w:eastAsia="Arial" w:hAnsi="Verdana"/>
          <w:sz w:val="24"/>
          <w:szCs w:val="24"/>
        </w:rPr>
      </w:pPr>
      <w:r w:rsidRPr="00BC7F3F">
        <w:rPr>
          <w:rFonts w:ascii="Verdana" w:eastAsia="Arial" w:hAnsi="Verdana"/>
          <w:sz w:val="24"/>
          <w:szCs w:val="24"/>
        </w:rPr>
        <w:t>Sentencia proferida por el Tribunal Superior del Distrito Judicial de Bogotá, Sala de Justicia y Paz, del 4 de septiembre de 2012, dentro de los procesos 2008-80786, contra el postulado Gian Carlo Gutiérrez Suárez, exintegrante del Bloque Calima de las Autodefensas Unidas de Colombia (A.U.C.)</w:t>
      </w:r>
    </w:p>
    <w:p w:rsidR="00C310DF" w:rsidRPr="00BC7F3F" w:rsidRDefault="00C310DF" w:rsidP="00582BDE">
      <w:pPr>
        <w:pStyle w:val="Prrafodelista"/>
        <w:numPr>
          <w:ilvl w:val="0"/>
          <w:numId w:val="141"/>
        </w:numPr>
        <w:shd w:val="clear" w:color="auto" w:fill="FFFFFF"/>
        <w:spacing w:after="0" w:line="240" w:lineRule="auto"/>
        <w:jc w:val="both"/>
        <w:rPr>
          <w:rFonts w:ascii="Verdana" w:eastAsia="Arial" w:hAnsi="Verdana"/>
          <w:sz w:val="24"/>
          <w:szCs w:val="24"/>
        </w:rPr>
      </w:pPr>
      <w:r w:rsidRPr="00BC7F3F">
        <w:rPr>
          <w:rFonts w:ascii="Verdana" w:eastAsia="Arial" w:hAnsi="Verdana"/>
          <w:sz w:val="24"/>
          <w:szCs w:val="24"/>
        </w:rPr>
        <w:t xml:space="preserve">Sentencias proferidas por los Juzgados Especializados en Restitución de Tierras a nivel nacional. </w:t>
      </w:r>
    </w:p>
    <w:p w:rsidR="00C310DF" w:rsidRPr="00BC7F3F" w:rsidRDefault="00C310DF" w:rsidP="00C310DF">
      <w:pPr>
        <w:shd w:val="clear" w:color="auto" w:fill="FFFFFF"/>
        <w:spacing w:after="0" w:line="240" w:lineRule="auto"/>
        <w:contextualSpacing/>
        <w:jc w:val="both"/>
        <w:rPr>
          <w:rFonts w:ascii="Verdana" w:eastAsia="Arial" w:hAnsi="Verdana"/>
          <w:sz w:val="24"/>
          <w:szCs w:val="24"/>
        </w:rPr>
      </w:pPr>
    </w:p>
    <w:p w:rsidR="00C310DF" w:rsidRPr="00BC7F3F" w:rsidRDefault="00C310DF" w:rsidP="00C310DF">
      <w:pPr>
        <w:shd w:val="clear" w:color="auto" w:fill="FFFFFF"/>
        <w:spacing w:after="0" w:line="240" w:lineRule="auto"/>
        <w:contextualSpacing/>
        <w:jc w:val="both"/>
        <w:rPr>
          <w:rFonts w:ascii="Verdana" w:eastAsia="Arial" w:hAnsi="Verdana"/>
          <w:sz w:val="24"/>
          <w:szCs w:val="24"/>
        </w:rPr>
      </w:pPr>
      <w:r w:rsidRPr="00BC7F3F">
        <w:rPr>
          <w:rFonts w:ascii="Verdana" w:eastAsia="Arial" w:hAnsi="Verdana"/>
          <w:sz w:val="24"/>
          <w:szCs w:val="24"/>
        </w:rPr>
        <w:t>También se ha dado respuesta a las solicitudes de información elevadas por los diferentes juzgados de restitución de tierras del país:</w:t>
      </w:r>
    </w:p>
    <w:p w:rsidR="00C310DF" w:rsidRPr="00BC7F3F" w:rsidRDefault="00C310DF" w:rsidP="00C310DF">
      <w:pPr>
        <w:shd w:val="clear" w:color="auto" w:fill="FFFFFF"/>
        <w:spacing w:after="0" w:line="240" w:lineRule="auto"/>
        <w:contextualSpacing/>
        <w:jc w:val="both"/>
        <w:rPr>
          <w:rFonts w:ascii="Verdana" w:eastAsia="Arial" w:hAnsi="Verdana"/>
          <w:sz w:val="24"/>
          <w:szCs w:val="24"/>
        </w:rPr>
      </w:pPr>
    </w:p>
    <w:p w:rsidR="00C310DF" w:rsidRPr="00E21452" w:rsidRDefault="00C310DF" w:rsidP="00905C49">
      <w:pPr>
        <w:pStyle w:val="Prrafodelista"/>
        <w:numPr>
          <w:ilvl w:val="0"/>
          <w:numId w:val="70"/>
        </w:numPr>
        <w:shd w:val="clear" w:color="auto" w:fill="FFFFFF"/>
        <w:spacing w:after="0" w:line="240" w:lineRule="auto"/>
        <w:ind w:left="709" w:hanging="283"/>
        <w:jc w:val="both"/>
        <w:rPr>
          <w:rFonts w:ascii="Verdana" w:eastAsia="Arial" w:hAnsi="Verdana"/>
          <w:i/>
          <w:sz w:val="24"/>
          <w:szCs w:val="24"/>
        </w:rPr>
      </w:pPr>
      <w:r w:rsidRPr="00E21452">
        <w:rPr>
          <w:rFonts w:ascii="Verdana" w:hAnsi="Verdana" w:cs="Arial"/>
          <w:i/>
          <w:color w:val="000000"/>
          <w:sz w:val="24"/>
          <w:szCs w:val="24"/>
        </w:rPr>
        <w:t>Se solicita al CNMH la certificación de hechos victimizantes en los predios y/o regiones del país donde se adelantan procesos de formalización y/o restitución de tierras</w:t>
      </w:r>
    </w:p>
    <w:p w:rsidR="00C310DF" w:rsidRPr="00E21452" w:rsidRDefault="00C310DF" w:rsidP="00E21452">
      <w:pPr>
        <w:pStyle w:val="Prrafodelista"/>
        <w:numPr>
          <w:ilvl w:val="0"/>
          <w:numId w:val="65"/>
        </w:numPr>
        <w:shd w:val="clear" w:color="auto" w:fill="FFFFFF"/>
        <w:spacing w:after="0" w:line="240" w:lineRule="auto"/>
        <w:ind w:left="709" w:hanging="283"/>
        <w:jc w:val="both"/>
        <w:rPr>
          <w:rFonts w:ascii="Verdana" w:eastAsia="Arial" w:hAnsi="Verdana"/>
          <w:i/>
          <w:sz w:val="24"/>
          <w:szCs w:val="24"/>
        </w:rPr>
      </w:pPr>
      <w:r w:rsidRPr="00E21452">
        <w:rPr>
          <w:rFonts w:ascii="Verdana" w:eastAsia="Arial" w:hAnsi="Verdana"/>
          <w:i/>
          <w:sz w:val="24"/>
          <w:szCs w:val="24"/>
        </w:rPr>
        <w:t xml:space="preserve">Adelantar procesos de construcción de memoria histórica con las víctimas directas y comunidades afectadas por el despojo y abandono de predios para contribuir a establecer y esclarecer las causas de las violaciones ocurridas dentro del conflicto armado interno, conocer la verdad y contribuir a evitar en el futuro la repetición de los hechos, asegurar la preservación de </w:t>
      </w:r>
      <w:r w:rsidRPr="00E21452">
        <w:rPr>
          <w:rFonts w:ascii="Verdana" w:eastAsia="Arial" w:hAnsi="Verdana"/>
          <w:i/>
          <w:sz w:val="24"/>
          <w:szCs w:val="24"/>
        </w:rPr>
        <w:lastRenderedPageBreak/>
        <w:t>la memoria histórica, la no repetición de los hechos victimizantes, la aceptación pública de los hechos y el restablecimiento de la dignidad de las víctimas:</w:t>
      </w:r>
    </w:p>
    <w:p w:rsidR="00C310DF" w:rsidRPr="00BC7F3F" w:rsidRDefault="00C310DF" w:rsidP="00C310DF">
      <w:pPr>
        <w:pStyle w:val="Prrafodelista"/>
        <w:numPr>
          <w:ilvl w:val="1"/>
          <w:numId w:val="65"/>
        </w:numPr>
        <w:shd w:val="clear" w:color="auto" w:fill="FFFFFF"/>
        <w:spacing w:after="0" w:line="240" w:lineRule="auto"/>
        <w:jc w:val="both"/>
        <w:rPr>
          <w:rFonts w:ascii="Verdana" w:eastAsia="Arial" w:hAnsi="Verdana"/>
          <w:sz w:val="24"/>
          <w:szCs w:val="24"/>
        </w:rPr>
      </w:pPr>
      <w:r w:rsidRPr="00BC7F3F">
        <w:rPr>
          <w:rFonts w:ascii="Verdana" w:hAnsi="Verdana" w:cs="Arial"/>
          <w:color w:val="000000"/>
          <w:sz w:val="24"/>
          <w:szCs w:val="24"/>
        </w:rPr>
        <w:t>Al CNMH que incluya dentro de las actividades que desarrolla según su objeto y funciones fijadas en el decreto 4803 de 2011, a la población víctima del Corregimiento de Santa Bárbara, Municipio de Pasto para contribuir a establecer y esclarecer las causas de las violaciones ocurridas dentro del conflicto armado interno, conocer la verdad y contribuir a evitar en el futuro la repetición de los hechos que dieron lugar al desplazamiento, asegurar la preservación de la memoria histórica, la no repetición de los hechos victimizantes, la aceptación pública de los hechos, la solicitud de perdón público y el restablecimiento de la dignidad de las víctimas, de conformidad con el artículo 141 y siguientes de la ley 1448 de 2011.</w:t>
      </w:r>
    </w:p>
    <w:p w:rsidR="00C310DF" w:rsidRPr="00BC7F3F" w:rsidRDefault="00C310DF" w:rsidP="00C310DF">
      <w:pPr>
        <w:pStyle w:val="Prrafodelista"/>
        <w:numPr>
          <w:ilvl w:val="1"/>
          <w:numId w:val="65"/>
        </w:numPr>
        <w:shd w:val="clear" w:color="auto" w:fill="FFFFFF"/>
        <w:spacing w:after="0" w:line="240" w:lineRule="auto"/>
        <w:jc w:val="both"/>
        <w:rPr>
          <w:rFonts w:ascii="Verdana" w:eastAsia="Arial" w:hAnsi="Verdana"/>
          <w:sz w:val="24"/>
          <w:szCs w:val="24"/>
        </w:rPr>
      </w:pPr>
      <w:r w:rsidRPr="00BC7F3F">
        <w:rPr>
          <w:rFonts w:ascii="Verdana" w:hAnsi="Verdana" w:cs="Arial"/>
          <w:color w:val="000000"/>
          <w:sz w:val="24"/>
          <w:szCs w:val="24"/>
        </w:rPr>
        <w:t>Apoyo y asesoría técnica para el cumplimiento de órdenes en materia de archivo de derechos humanos y actos de reconocimiento.</w:t>
      </w:r>
    </w:p>
    <w:p w:rsidR="00C310DF" w:rsidRPr="00BC7F3F" w:rsidRDefault="00C310DF" w:rsidP="00C310DF">
      <w:pPr>
        <w:shd w:val="clear" w:color="auto" w:fill="FFFFFF"/>
        <w:spacing w:after="0" w:line="240" w:lineRule="auto"/>
        <w:jc w:val="both"/>
        <w:rPr>
          <w:rFonts w:ascii="Verdana" w:eastAsia="Arial" w:hAnsi="Verdana"/>
          <w:sz w:val="24"/>
          <w:szCs w:val="24"/>
        </w:rPr>
      </w:pPr>
    </w:p>
    <w:p w:rsidR="00C310DF" w:rsidRPr="00E21452" w:rsidRDefault="00E21452" w:rsidP="00E21452">
      <w:pPr>
        <w:pStyle w:val="Subttulo"/>
        <w:numPr>
          <w:ilvl w:val="0"/>
          <w:numId w:val="60"/>
        </w:numPr>
        <w:outlineLvl w:val="1"/>
        <w:rPr>
          <w:rFonts w:ascii="Verdana" w:eastAsia="Arial" w:hAnsi="Verdana"/>
          <w:b/>
          <w:color w:val="4F81BD" w:themeColor="accent1"/>
          <w:sz w:val="24"/>
          <w:szCs w:val="24"/>
          <w:lang w:val="es-CO"/>
        </w:rPr>
      </w:pPr>
      <w:r>
        <w:rPr>
          <w:rFonts w:ascii="Verdana" w:eastAsia="Arial" w:hAnsi="Verdana"/>
          <w:b/>
          <w:color w:val="4F81BD" w:themeColor="accent1"/>
          <w:sz w:val="24"/>
          <w:szCs w:val="24"/>
          <w:lang w:val="es-CO"/>
        </w:rPr>
        <w:t>REPARACIONES COLECTIVAS</w:t>
      </w:r>
    </w:p>
    <w:p w:rsidR="00C310DF" w:rsidRPr="00BC7F3F" w:rsidRDefault="00C310DF" w:rsidP="00C310DF">
      <w:pPr>
        <w:shd w:val="clear" w:color="auto" w:fill="FFFFFF"/>
        <w:jc w:val="both"/>
        <w:rPr>
          <w:rFonts w:ascii="Verdana" w:eastAsia="Arial" w:hAnsi="Verdana"/>
          <w:sz w:val="24"/>
          <w:szCs w:val="24"/>
        </w:rPr>
      </w:pPr>
      <w:r w:rsidRPr="00BC7F3F">
        <w:rPr>
          <w:rFonts w:ascii="Verdana" w:eastAsia="Arial" w:hAnsi="Verdana"/>
          <w:sz w:val="24"/>
          <w:szCs w:val="24"/>
        </w:rPr>
        <w:t>El CNMH ha brindado acompañamiento a los siguientes planes de reparación colectiva:</w:t>
      </w:r>
    </w:p>
    <w:p w:rsidR="00C310DF" w:rsidRPr="00E21452" w:rsidRDefault="00C310DF" w:rsidP="00582BDE">
      <w:pPr>
        <w:pStyle w:val="Prrafodelista"/>
        <w:numPr>
          <w:ilvl w:val="0"/>
          <w:numId w:val="142"/>
        </w:numPr>
        <w:shd w:val="clear" w:color="auto" w:fill="FFFFFF"/>
        <w:spacing w:after="0" w:line="240" w:lineRule="auto"/>
        <w:ind w:left="709"/>
        <w:jc w:val="both"/>
        <w:rPr>
          <w:rFonts w:ascii="Verdana" w:eastAsia="Arial" w:hAnsi="Verdana"/>
          <w:b/>
          <w:i/>
          <w:sz w:val="24"/>
          <w:szCs w:val="24"/>
        </w:rPr>
      </w:pPr>
      <w:r w:rsidRPr="00E21452">
        <w:rPr>
          <w:rFonts w:ascii="Verdana" w:eastAsia="Arial" w:hAnsi="Verdana"/>
          <w:b/>
          <w:i/>
          <w:sz w:val="24"/>
          <w:szCs w:val="24"/>
        </w:rPr>
        <w:t xml:space="preserve">Caso ATCC: </w:t>
      </w:r>
      <w:r w:rsidRPr="00E21452">
        <w:rPr>
          <w:rFonts w:ascii="Verdana" w:hAnsi="Verdana"/>
          <w:i/>
          <w:sz w:val="24"/>
          <w:szCs w:val="24"/>
        </w:rPr>
        <w:t>Implementar las medidas de competencia del CNMH en el marco del PRC de la ATCC</w:t>
      </w:r>
    </w:p>
    <w:p w:rsidR="00C310DF" w:rsidRPr="00E21452" w:rsidRDefault="00C310DF" w:rsidP="00582BDE">
      <w:pPr>
        <w:pStyle w:val="Prrafodelista"/>
        <w:numPr>
          <w:ilvl w:val="0"/>
          <w:numId w:val="142"/>
        </w:numPr>
        <w:shd w:val="clear" w:color="auto" w:fill="FFFFFF"/>
        <w:spacing w:after="0" w:line="240" w:lineRule="auto"/>
        <w:ind w:left="709"/>
        <w:jc w:val="both"/>
        <w:rPr>
          <w:rFonts w:ascii="Verdana" w:eastAsia="Arial" w:hAnsi="Verdana"/>
          <w:b/>
          <w:i/>
          <w:sz w:val="24"/>
          <w:szCs w:val="24"/>
        </w:rPr>
      </w:pPr>
      <w:r w:rsidRPr="00E21452">
        <w:rPr>
          <w:rFonts w:ascii="Verdana" w:eastAsia="Arial" w:hAnsi="Verdana"/>
          <w:b/>
          <w:i/>
          <w:sz w:val="24"/>
          <w:szCs w:val="24"/>
        </w:rPr>
        <w:t xml:space="preserve">Caso San Luis: </w:t>
      </w:r>
      <w:r w:rsidRPr="00E21452">
        <w:rPr>
          <w:rFonts w:ascii="Verdana" w:hAnsi="Verdana"/>
          <w:i/>
          <w:sz w:val="24"/>
          <w:szCs w:val="24"/>
        </w:rPr>
        <w:t>Un proceso de formación con gestores de memoria completado y gestión para el apoyo a las iniciativas de memoria que de éste surjan.</w:t>
      </w:r>
    </w:p>
    <w:p w:rsidR="00C310DF" w:rsidRPr="00E21452" w:rsidRDefault="00C310DF" w:rsidP="00582BDE">
      <w:pPr>
        <w:pStyle w:val="Prrafodelista"/>
        <w:numPr>
          <w:ilvl w:val="0"/>
          <w:numId w:val="142"/>
        </w:numPr>
        <w:shd w:val="clear" w:color="auto" w:fill="FFFFFF"/>
        <w:spacing w:after="0" w:line="240" w:lineRule="auto"/>
        <w:ind w:left="709"/>
        <w:jc w:val="both"/>
        <w:rPr>
          <w:rFonts w:ascii="Verdana" w:eastAsia="Arial" w:hAnsi="Verdana"/>
          <w:b/>
          <w:i/>
          <w:sz w:val="24"/>
          <w:szCs w:val="24"/>
        </w:rPr>
      </w:pPr>
      <w:r w:rsidRPr="00E21452">
        <w:rPr>
          <w:rFonts w:ascii="Verdana" w:eastAsia="Arial" w:hAnsi="Verdana"/>
          <w:b/>
          <w:i/>
          <w:sz w:val="24"/>
          <w:szCs w:val="24"/>
        </w:rPr>
        <w:t xml:space="preserve">Caso OFP: </w:t>
      </w:r>
      <w:r w:rsidRPr="00E21452">
        <w:rPr>
          <w:rFonts w:ascii="Verdana" w:hAnsi="Verdana"/>
          <w:i/>
          <w:sz w:val="24"/>
          <w:szCs w:val="24"/>
        </w:rPr>
        <w:t>Un proceso de formación para las mujeres de la OFP como estrategia para la implementación de las medidas de competencia del CNMH según la concertación con la OFP</w:t>
      </w:r>
    </w:p>
    <w:p w:rsidR="00C310DF" w:rsidRPr="00E21452" w:rsidRDefault="00C310DF" w:rsidP="00582BDE">
      <w:pPr>
        <w:pStyle w:val="Prrafodelista"/>
        <w:numPr>
          <w:ilvl w:val="0"/>
          <w:numId w:val="142"/>
        </w:numPr>
        <w:shd w:val="clear" w:color="auto" w:fill="FFFFFF"/>
        <w:spacing w:after="0" w:line="240" w:lineRule="auto"/>
        <w:ind w:left="709"/>
        <w:jc w:val="both"/>
        <w:rPr>
          <w:rFonts w:ascii="Verdana" w:eastAsia="Arial" w:hAnsi="Verdana"/>
          <w:b/>
          <w:i/>
          <w:sz w:val="24"/>
          <w:szCs w:val="24"/>
        </w:rPr>
      </w:pPr>
      <w:r w:rsidRPr="00E21452">
        <w:rPr>
          <w:rFonts w:ascii="Verdana" w:eastAsia="Arial" w:hAnsi="Verdana"/>
          <w:b/>
          <w:i/>
          <w:sz w:val="24"/>
          <w:szCs w:val="24"/>
        </w:rPr>
        <w:t xml:space="preserve">Caso Universidad de Córdoba: </w:t>
      </w:r>
      <w:r w:rsidRPr="00E21452">
        <w:rPr>
          <w:rFonts w:ascii="Verdana" w:hAnsi="Verdana" w:cs="Arial"/>
          <w:i/>
          <w:color w:val="000000"/>
          <w:sz w:val="24"/>
          <w:szCs w:val="24"/>
        </w:rPr>
        <w:t>Apoyo a la creación y funcionamiento de una comisión multiestamentaria para la construcción de la memoria histórica. Apoyo a la construcción del monumento a la vida en coordinación con la Unidad de Víctimas. Identificación de iniciativas de memoria</w:t>
      </w:r>
    </w:p>
    <w:p w:rsidR="00C310DF" w:rsidRPr="00E21452" w:rsidRDefault="00C310DF" w:rsidP="00582BDE">
      <w:pPr>
        <w:pStyle w:val="Prrafodelista"/>
        <w:numPr>
          <w:ilvl w:val="0"/>
          <w:numId w:val="142"/>
        </w:numPr>
        <w:shd w:val="clear" w:color="auto" w:fill="FFFFFF"/>
        <w:spacing w:after="0" w:line="240" w:lineRule="auto"/>
        <w:ind w:left="709"/>
        <w:jc w:val="both"/>
        <w:rPr>
          <w:rFonts w:ascii="Verdana" w:eastAsia="Arial" w:hAnsi="Verdana"/>
          <w:b/>
          <w:i/>
          <w:sz w:val="24"/>
          <w:szCs w:val="24"/>
        </w:rPr>
      </w:pPr>
      <w:r w:rsidRPr="00E21452">
        <w:rPr>
          <w:rFonts w:ascii="Verdana" w:eastAsia="Arial" w:hAnsi="Verdana"/>
          <w:b/>
          <w:i/>
          <w:sz w:val="24"/>
          <w:szCs w:val="24"/>
        </w:rPr>
        <w:t xml:space="preserve">Caso Movimiento Sindical: </w:t>
      </w:r>
      <w:r w:rsidRPr="00E21452">
        <w:rPr>
          <w:rFonts w:ascii="Verdana" w:hAnsi="Verdana" w:cs="Arial"/>
          <w:i/>
          <w:color w:val="000000"/>
          <w:sz w:val="24"/>
          <w:szCs w:val="24"/>
        </w:rPr>
        <w:t xml:space="preserve">Reuniones con  las  centrales obreras para la identificación de sus expectativas de acompañamiento en procesos de reconstrucción de memoria histórica  y  daños colectivos. Realización de  reuniones con la Unidad de Víctimas en las diferentes fases del PRC, para concretar acciones de coordinación interinstitucional. Participación en </w:t>
      </w:r>
      <w:r w:rsidRPr="00E21452">
        <w:rPr>
          <w:rFonts w:ascii="Verdana" w:hAnsi="Verdana" w:cs="Arial"/>
          <w:i/>
          <w:color w:val="000000"/>
          <w:sz w:val="24"/>
          <w:szCs w:val="24"/>
        </w:rPr>
        <w:lastRenderedPageBreak/>
        <w:t>seminarios y talleres como insumos para la formulación de una propuesta de reparación colectiva del Movimiento sindical</w:t>
      </w:r>
    </w:p>
    <w:p w:rsidR="00C310DF" w:rsidRPr="00E21452" w:rsidRDefault="00C310DF" w:rsidP="00582BDE">
      <w:pPr>
        <w:pStyle w:val="Prrafodelista"/>
        <w:numPr>
          <w:ilvl w:val="0"/>
          <w:numId w:val="142"/>
        </w:numPr>
        <w:shd w:val="clear" w:color="auto" w:fill="FFFFFF"/>
        <w:spacing w:after="0" w:line="240" w:lineRule="auto"/>
        <w:ind w:left="709"/>
        <w:jc w:val="both"/>
        <w:rPr>
          <w:rFonts w:ascii="Verdana" w:eastAsia="Arial" w:hAnsi="Verdana"/>
          <w:b/>
          <w:i/>
          <w:sz w:val="24"/>
          <w:szCs w:val="24"/>
        </w:rPr>
      </w:pPr>
      <w:r w:rsidRPr="00E21452">
        <w:rPr>
          <w:rFonts w:ascii="Verdana" w:eastAsia="Arial" w:hAnsi="Verdana"/>
          <w:b/>
          <w:i/>
          <w:sz w:val="24"/>
          <w:szCs w:val="24"/>
        </w:rPr>
        <w:t xml:space="preserve">Caso El Tigre: </w:t>
      </w:r>
      <w:r w:rsidRPr="00E21452">
        <w:rPr>
          <w:rFonts w:ascii="Verdana" w:hAnsi="Verdana" w:cs="Lucida Grande"/>
          <w:i/>
          <w:color w:val="000000"/>
          <w:sz w:val="24"/>
          <w:szCs w:val="24"/>
        </w:rPr>
        <w:t xml:space="preserve">Elaborar y difundir un informe de memoria histórica sobre las causas, los hechos y las consecuencias del conflicto armado en el Valle del Guamuez, como medida de satisfacción, dentro del Plan de Reparación Colectiva de El Tigre. Asesoría técnica para el diseño y construcción del parque histórico y monumento a las víctimas, como medidas de satisfacción, dentro del Plan de Reparación Colectiva de El Tigre, en el marco del proceso que para tales efectos defina la UARIV. Asesorar a la comunidad y coordinar con la UARIV la medida de reconocimiento público por medios masivos de comunicación, de la población como civil y no como guerrilleros o paramilitares, como medida de satisfacción, dentro del PRC de El Tigre. </w:t>
      </w:r>
    </w:p>
    <w:p w:rsidR="00C310DF" w:rsidRPr="00E21452" w:rsidRDefault="00C310DF" w:rsidP="00582BDE">
      <w:pPr>
        <w:pStyle w:val="Prrafodelista"/>
        <w:numPr>
          <w:ilvl w:val="0"/>
          <w:numId w:val="142"/>
        </w:numPr>
        <w:shd w:val="clear" w:color="auto" w:fill="FFFFFF"/>
        <w:spacing w:after="0" w:line="240" w:lineRule="auto"/>
        <w:ind w:left="709"/>
        <w:jc w:val="both"/>
        <w:rPr>
          <w:rFonts w:ascii="Verdana" w:eastAsia="Arial" w:hAnsi="Verdana"/>
          <w:b/>
          <w:i/>
          <w:sz w:val="24"/>
          <w:szCs w:val="24"/>
        </w:rPr>
      </w:pPr>
      <w:r w:rsidRPr="00E21452">
        <w:rPr>
          <w:rFonts w:ascii="Verdana" w:eastAsia="Arial" w:hAnsi="Verdana"/>
          <w:b/>
          <w:i/>
          <w:sz w:val="24"/>
          <w:szCs w:val="24"/>
        </w:rPr>
        <w:t xml:space="preserve">Caso El Placer: </w:t>
      </w:r>
      <w:r w:rsidRPr="00E21452">
        <w:rPr>
          <w:rFonts w:ascii="Verdana" w:hAnsi="Verdana" w:cs="Lucida Grande"/>
          <w:i/>
          <w:color w:val="000000"/>
          <w:sz w:val="24"/>
          <w:szCs w:val="24"/>
        </w:rPr>
        <w:t>Apoyar las actividades pertinentes para contribuir a la formulación e implementación de algunas medidas de satisfacción, en el marco de otros Planes de Reparación Colectiva que acompañe el Centro Nacional de Memoria Histórica.</w:t>
      </w:r>
    </w:p>
    <w:p w:rsidR="00C310DF" w:rsidRPr="00E21452" w:rsidRDefault="00C310DF" w:rsidP="00582BDE">
      <w:pPr>
        <w:pStyle w:val="Prrafodelista"/>
        <w:numPr>
          <w:ilvl w:val="0"/>
          <w:numId w:val="142"/>
        </w:numPr>
        <w:shd w:val="clear" w:color="auto" w:fill="FFFFFF"/>
        <w:spacing w:after="0" w:line="240" w:lineRule="auto"/>
        <w:ind w:left="709"/>
        <w:jc w:val="both"/>
        <w:rPr>
          <w:rFonts w:ascii="Verdana" w:eastAsia="Arial" w:hAnsi="Verdana"/>
          <w:b/>
          <w:i/>
          <w:sz w:val="24"/>
          <w:szCs w:val="24"/>
        </w:rPr>
      </w:pPr>
      <w:r w:rsidRPr="00E21452">
        <w:rPr>
          <w:rFonts w:ascii="Verdana" w:eastAsia="Arial" w:hAnsi="Verdana"/>
          <w:b/>
          <w:i/>
          <w:sz w:val="24"/>
          <w:szCs w:val="24"/>
        </w:rPr>
        <w:t xml:space="preserve">Caso La Pola: </w:t>
      </w:r>
      <w:r w:rsidRPr="00E21452">
        <w:rPr>
          <w:rFonts w:ascii="Verdana" w:hAnsi="Verdana"/>
          <w:i/>
          <w:sz w:val="24"/>
          <w:szCs w:val="24"/>
        </w:rPr>
        <w:t xml:space="preserve">Acompañar a la comunidad en el proceso de reconstrucción de su historia, para generar insumos al proceso de reparación colectiva que este sujeto colectivo adelanta con la UARIV. Apoyo en la formación  de un grupo de gestores de memoria de la comunidad. Acompañamiento a la comunidad y asesoría técnica para la formulación de medidas de reparación simbólica que puedan hacer  parte del Plan de reparación colectiva coordinado por la UARIV. </w:t>
      </w:r>
    </w:p>
    <w:p w:rsidR="00C310DF" w:rsidRPr="00E21452" w:rsidRDefault="00C310DF" w:rsidP="00582BDE">
      <w:pPr>
        <w:pStyle w:val="Prrafodelista"/>
        <w:numPr>
          <w:ilvl w:val="0"/>
          <w:numId w:val="142"/>
        </w:numPr>
        <w:shd w:val="clear" w:color="auto" w:fill="FFFFFF"/>
        <w:spacing w:after="0" w:line="240" w:lineRule="auto"/>
        <w:ind w:left="709"/>
        <w:jc w:val="both"/>
        <w:rPr>
          <w:rFonts w:ascii="Verdana" w:eastAsia="Arial" w:hAnsi="Verdana"/>
          <w:b/>
          <w:i/>
          <w:sz w:val="24"/>
          <w:szCs w:val="24"/>
        </w:rPr>
      </w:pPr>
      <w:r w:rsidRPr="00E21452">
        <w:rPr>
          <w:rFonts w:ascii="Verdana" w:eastAsia="Arial" w:hAnsi="Verdana"/>
          <w:b/>
          <w:i/>
          <w:sz w:val="24"/>
          <w:szCs w:val="24"/>
        </w:rPr>
        <w:t xml:space="preserve">Caso La Palizua: </w:t>
      </w:r>
      <w:r w:rsidRPr="00E21452">
        <w:rPr>
          <w:rFonts w:ascii="Verdana" w:hAnsi="Verdana"/>
          <w:i/>
          <w:sz w:val="24"/>
          <w:szCs w:val="24"/>
        </w:rPr>
        <w:t>Acompañar a la comunidad en el proceso de reconstrucción de su historia, para generar insumos al proceso de reparación colectiva que este sujeto colectivo adelanta con la UARIV. Apoyo en la formación  de un grupo de gestores de memoria de la comunidad. Acompañamiento a la comunidad y asesoría técnica para la formulación de medidas de reparación simbólica que puedan hacer  parte del Plan de reparación colectiva coordinado por la UARIV. Articulación con la Dirección de Archivos del CNMH, para realizar el archivo de la documentación recopilada en el marco del proceso de trabajo  del CNMH y la comunidad durante el año 2013, 2014 e identificar actividades que se puedan acompañar desde el área de archivos para la conformación del archivo en la comunidad. Brindar apoyo a la comunidad respecto de iniciativas de memoria. Articulación con la UARIV para determinar apoyos puntuales en el proceso de reparación colectiva</w:t>
      </w:r>
    </w:p>
    <w:p w:rsidR="00C310DF" w:rsidRPr="00BC7F3F" w:rsidRDefault="00C310DF" w:rsidP="00C310DF">
      <w:pPr>
        <w:shd w:val="clear" w:color="auto" w:fill="FFFFFF"/>
        <w:spacing w:after="0" w:line="240" w:lineRule="auto"/>
        <w:contextualSpacing/>
        <w:jc w:val="both"/>
        <w:rPr>
          <w:rFonts w:ascii="Verdana" w:eastAsia="Arial" w:hAnsi="Verdana"/>
          <w:sz w:val="24"/>
          <w:szCs w:val="24"/>
        </w:rPr>
      </w:pPr>
    </w:p>
    <w:p w:rsidR="00C310DF" w:rsidRPr="00E21452" w:rsidRDefault="00E21452" w:rsidP="00E21452">
      <w:pPr>
        <w:pStyle w:val="Subttulo"/>
        <w:numPr>
          <w:ilvl w:val="0"/>
          <w:numId w:val="60"/>
        </w:numPr>
        <w:spacing w:after="0"/>
        <w:contextualSpacing/>
        <w:outlineLvl w:val="1"/>
        <w:rPr>
          <w:rFonts w:ascii="Verdana" w:eastAsia="Arial" w:hAnsi="Verdana"/>
          <w:b/>
          <w:color w:val="4F81BD" w:themeColor="accent1"/>
          <w:sz w:val="24"/>
          <w:szCs w:val="24"/>
          <w:lang w:val="es-CO"/>
        </w:rPr>
      </w:pPr>
      <w:bookmarkStart w:id="118" w:name="_Toc411868593"/>
      <w:r w:rsidRPr="00E21452">
        <w:rPr>
          <w:rFonts w:ascii="Verdana" w:eastAsia="Arial" w:hAnsi="Verdana"/>
          <w:b/>
          <w:color w:val="4F81BD" w:themeColor="accent1"/>
          <w:sz w:val="24"/>
          <w:szCs w:val="24"/>
          <w:lang w:val="es-CO"/>
        </w:rPr>
        <w:lastRenderedPageBreak/>
        <w:t>ESTRATEGIA NACIÓN TERRITORIO</w:t>
      </w:r>
      <w:bookmarkEnd w:id="118"/>
    </w:p>
    <w:p w:rsidR="00C310DF" w:rsidRPr="00BC7F3F" w:rsidRDefault="00C310DF" w:rsidP="00C310DF">
      <w:pPr>
        <w:pStyle w:val="Sinespaciado"/>
        <w:contextualSpacing/>
        <w:jc w:val="both"/>
        <w:rPr>
          <w:rFonts w:ascii="Verdana" w:hAnsi="Verdana"/>
          <w:noProof/>
          <w:lang w:val="es-CO" w:eastAsia="es-CO"/>
        </w:rPr>
      </w:pPr>
    </w:p>
    <w:p w:rsidR="00C310DF" w:rsidRPr="00BC7F3F" w:rsidRDefault="00C310DF" w:rsidP="00C310DF">
      <w:pPr>
        <w:pStyle w:val="Sinespaciado"/>
        <w:contextualSpacing/>
        <w:jc w:val="both"/>
        <w:rPr>
          <w:rFonts w:ascii="Verdana" w:hAnsi="Verdana"/>
          <w:noProof/>
          <w:lang w:val="es-CO" w:eastAsia="es-CO"/>
        </w:rPr>
      </w:pPr>
      <w:r w:rsidRPr="00BC7F3F">
        <w:rPr>
          <w:rFonts w:ascii="Verdana" w:hAnsi="Verdana"/>
          <w:noProof/>
          <w:lang w:val="es-CO" w:eastAsia="es-CO"/>
        </w:rPr>
        <w:t xml:space="preserve">La Estrategia Nación – Territorio (ENT) hace parte del esfuerzo del CNMH por dotar de mecanismos de articulación la relación entre el nivel central de la entidad y los distintos territorios, dado que el CNMH no cuenta con una estructura descentralizada que haga presencia permanente en las regiones. </w:t>
      </w:r>
    </w:p>
    <w:p w:rsidR="00C310DF" w:rsidRPr="00BC7F3F" w:rsidRDefault="00C310DF" w:rsidP="00C310DF">
      <w:pPr>
        <w:pStyle w:val="Sinespaciado"/>
        <w:contextualSpacing/>
        <w:jc w:val="both"/>
        <w:rPr>
          <w:rFonts w:ascii="Verdana" w:hAnsi="Verdana"/>
        </w:rPr>
      </w:pPr>
    </w:p>
    <w:p w:rsidR="00C310DF" w:rsidRPr="00BC7F3F" w:rsidRDefault="00C310DF" w:rsidP="00C310DF">
      <w:pPr>
        <w:spacing w:after="0" w:line="240" w:lineRule="auto"/>
        <w:contextualSpacing/>
        <w:jc w:val="both"/>
        <w:rPr>
          <w:rFonts w:ascii="Verdana" w:hAnsi="Verdana"/>
          <w:sz w:val="24"/>
          <w:szCs w:val="24"/>
        </w:rPr>
      </w:pPr>
      <w:r w:rsidRPr="00BC7F3F">
        <w:rPr>
          <w:rFonts w:ascii="Verdana" w:hAnsi="Verdana"/>
          <w:sz w:val="24"/>
          <w:szCs w:val="24"/>
        </w:rPr>
        <w:t xml:space="preserve">La ENT ha avanzado en desarrollos conceptuales y metodológicos para apoyar, gestionar y difundir acciones de memoria de entidades territoriales y articular el apoyo a Iniciativas de Memoria Histórica de las víctimas, así como para promover la inclusión del enfoque de memoria histórica en los lineamientos nacionales sobre medidas de satisfacción. </w:t>
      </w:r>
    </w:p>
    <w:p w:rsidR="00C310DF" w:rsidRPr="00BC7F3F" w:rsidRDefault="00C310DF" w:rsidP="00C310DF">
      <w:pPr>
        <w:spacing w:after="0" w:line="240" w:lineRule="auto"/>
        <w:contextualSpacing/>
        <w:jc w:val="both"/>
        <w:rPr>
          <w:rFonts w:ascii="Verdana" w:hAnsi="Verdana"/>
          <w:sz w:val="24"/>
          <w:szCs w:val="24"/>
        </w:rPr>
      </w:pPr>
    </w:p>
    <w:p w:rsidR="00C310DF" w:rsidRPr="00BC7F3F" w:rsidRDefault="00C310DF" w:rsidP="00C310DF">
      <w:pPr>
        <w:spacing w:after="0" w:line="240" w:lineRule="auto"/>
        <w:contextualSpacing/>
        <w:jc w:val="both"/>
        <w:rPr>
          <w:rFonts w:ascii="Verdana" w:eastAsia="Cambria" w:hAnsi="Verdana" w:cs="Arial"/>
          <w:sz w:val="24"/>
          <w:szCs w:val="24"/>
        </w:rPr>
      </w:pPr>
      <w:r w:rsidRPr="00BC7F3F">
        <w:rPr>
          <w:rFonts w:ascii="Verdana" w:eastAsia="Cambria" w:hAnsi="Verdana" w:cs="Arial"/>
          <w:sz w:val="24"/>
          <w:szCs w:val="24"/>
        </w:rPr>
        <w:t>A continuación se indican los principales avances en relación a cada una de estas áreas de efectividad, así como retos para el futuro:</w:t>
      </w:r>
    </w:p>
    <w:p w:rsidR="00C310DF" w:rsidRPr="00BC7F3F" w:rsidRDefault="00C310DF" w:rsidP="00C310DF">
      <w:pPr>
        <w:spacing w:after="0" w:line="240" w:lineRule="auto"/>
        <w:contextualSpacing/>
        <w:jc w:val="both"/>
        <w:rPr>
          <w:rFonts w:ascii="Verdana" w:hAnsi="Verdana" w:cs="Arial"/>
          <w:sz w:val="24"/>
          <w:szCs w:val="24"/>
        </w:rPr>
      </w:pPr>
    </w:p>
    <w:p w:rsidR="00C310DF" w:rsidRPr="003860AD" w:rsidRDefault="00C310DF" w:rsidP="003860AD">
      <w:pPr>
        <w:pStyle w:val="Subttulo"/>
        <w:numPr>
          <w:ilvl w:val="1"/>
          <w:numId w:val="60"/>
        </w:numPr>
        <w:spacing w:after="0"/>
        <w:ind w:left="709" w:hanging="709"/>
        <w:contextualSpacing/>
        <w:outlineLvl w:val="2"/>
        <w:rPr>
          <w:rFonts w:ascii="Verdana" w:eastAsia="Arial" w:hAnsi="Verdana"/>
          <w:b/>
          <w:color w:val="4F81BD" w:themeColor="accent1"/>
          <w:sz w:val="24"/>
          <w:szCs w:val="24"/>
          <w:lang w:val="es-CO"/>
        </w:rPr>
      </w:pPr>
      <w:bookmarkStart w:id="119" w:name="_Toc411868594"/>
      <w:r w:rsidRPr="003860AD">
        <w:rPr>
          <w:rFonts w:ascii="Verdana" w:eastAsia="Arial" w:hAnsi="Verdana"/>
          <w:b/>
          <w:color w:val="4F81BD" w:themeColor="accent1"/>
          <w:sz w:val="24"/>
          <w:szCs w:val="24"/>
          <w:lang w:val="es-CO"/>
        </w:rPr>
        <w:t>Avances en la articulación del apoyo a Iniciativas de Memoria Histórica (IMH)</w:t>
      </w:r>
      <w:bookmarkEnd w:id="119"/>
    </w:p>
    <w:p w:rsidR="00C310DF" w:rsidRPr="00BC7F3F" w:rsidRDefault="00C310DF" w:rsidP="00C310DF">
      <w:pPr>
        <w:pStyle w:val="Sinespaciado"/>
        <w:contextualSpacing/>
        <w:jc w:val="both"/>
        <w:rPr>
          <w:rFonts w:ascii="Verdana" w:eastAsia="Cambria" w:hAnsi="Verdana" w:cs="Arial"/>
          <w:lang w:val="es-CO"/>
        </w:rPr>
      </w:pPr>
    </w:p>
    <w:p w:rsidR="00C310DF" w:rsidRDefault="00C310DF" w:rsidP="00C310DF">
      <w:pPr>
        <w:pStyle w:val="Sinespaciado"/>
        <w:contextualSpacing/>
        <w:jc w:val="both"/>
        <w:rPr>
          <w:rFonts w:ascii="Verdana" w:eastAsia="Cambria" w:hAnsi="Verdana" w:cs="Arial"/>
          <w:lang w:val="es-CO"/>
        </w:rPr>
      </w:pPr>
      <w:r w:rsidRPr="00BC7F3F">
        <w:rPr>
          <w:rFonts w:ascii="Verdana" w:eastAsia="Cambria" w:hAnsi="Verdana" w:cs="Arial"/>
          <w:lang w:val="es-CO"/>
        </w:rPr>
        <w:t>Durante la vigencia 2014, con el apoyo de las Direcciones y Grupos y, en particular de los enlaces regionales del CNMH, la ENT logró identificar 381 ejercicios de memoria en el territorio nacional. De ellos, 53 fueron registrados mediante un formato diseñado para ese propósito, en el que se consignan las características básicas de las acciones e iniciativas de memoria histórica como ubicación, descripción, objetivos, etapa en la que se encuentra, dimensiones en las que se manifiestan (artísticas, archivísticas, investigativas, etc.), entre otras. Distribuidas por macroregiones, las IMH registradas corresponden a las siguientes zonas:</w:t>
      </w:r>
    </w:p>
    <w:p w:rsidR="003860AD" w:rsidRPr="00BC7F3F" w:rsidRDefault="003860AD" w:rsidP="00C310DF">
      <w:pPr>
        <w:pStyle w:val="Sinespaciado"/>
        <w:contextualSpacing/>
        <w:jc w:val="both"/>
        <w:rPr>
          <w:rFonts w:ascii="Verdana" w:eastAsia="Cambria" w:hAnsi="Verdana" w:cs="Arial"/>
          <w:lang w:val="es-CO"/>
        </w:rPr>
      </w:pPr>
    </w:p>
    <w:tbl>
      <w:tblPr>
        <w:tblStyle w:val="Tabladecuadrcula4-nfasis11"/>
        <w:tblW w:w="5000" w:type="pct"/>
        <w:jc w:val="center"/>
        <w:tblLook w:val="04A0"/>
      </w:tblPr>
      <w:tblGrid>
        <w:gridCol w:w="7458"/>
        <w:gridCol w:w="2784"/>
      </w:tblGrid>
      <w:tr w:rsidR="00C310DF" w:rsidRPr="003860AD" w:rsidTr="003860AD">
        <w:trPr>
          <w:cnfStyle w:val="100000000000"/>
          <w:trHeight w:val="44"/>
          <w:jc w:val="center"/>
        </w:trPr>
        <w:tc>
          <w:tcPr>
            <w:cnfStyle w:val="001000000000"/>
            <w:tcW w:w="3641" w:type="pct"/>
            <w:vAlign w:val="center"/>
            <w:hideMark/>
          </w:tcPr>
          <w:p w:rsidR="00C310DF" w:rsidRPr="003860AD" w:rsidRDefault="00C310DF" w:rsidP="00C310DF">
            <w:pPr>
              <w:pStyle w:val="Sinespaciado"/>
              <w:jc w:val="center"/>
              <w:rPr>
                <w:rFonts w:ascii="Verdana" w:eastAsia="Cambria" w:hAnsi="Verdana" w:cs="Arial"/>
                <w:b w:val="0"/>
                <w:lang w:val="es-CO"/>
              </w:rPr>
            </w:pPr>
            <w:r w:rsidRPr="003860AD">
              <w:rPr>
                <w:rFonts w:ascii="Verdana" w:eastAsia="Cambria" w:hAnsi="Verdana" w:cs="Arial"/>
                <w:b w:val="0"/>
                <w:lang w:val="es-CO"/>
              </w:rPr>
              <w:t>Región</w:t>
            </w:r>
          </w:p>
        </w:tc>
        <w:tc>
          <w:tcPr>
            <w:tcW w:w="1359" w:type="pct"/>
            <w:vAlign w:val="center"/>
            <w:hideMark/>
          </w:tcPr>
          <w:p w:rsidR="00C310DF" w:rsidRPr="003860AD" w:rsidRDefault="00C310DF" w:rsidP="00C310DF">
            <w:pPr>
              <w:pStyle w:val="Sinespaciado"/>
              <w:jc w:val="center"/>
              <w:cnfStyle w:val="100000000000"/>
              <w:rPr>
                <w:rFonts w:ascii="Verdana" w:eastAsia="Cambria" w:hAnsi="Verdana" w:cs="Arial"/>
                <w:b w:val="0"/>
                <w:lang w:val="es-CO"/>
              </w:rPr>
            </w:pPr>
            <w:r w:rsidRPr="003860AD">
              <w:rPr>
                <w:rFonts w:ascii="Verdana" w:eastAsia="Cambria" w:hAnsi="Verdana" w:cs="Arial"/>
                <w:b w:val="0"/>
                <w:lang w:val="es-CO"/>
              </w:rPr>
              <w:t>No. de IMH</w:t>
            </w:r>
          </w:p>
        </w:tc>
      </w:tr>
      <w:tr w:rsidR="00C310DF" w:rsidRPr="003860AD" w:rsidTr="003860AD">
        <w:trPr>
          <w:cnfStyle w:val="000000100000"/>
          <w:trHeight w:val="44"/>
          <w:jc w:val="center"/>
        </w:trPr>
        <w:tc>
          <w:tcPr>
            <w:cnfStyle w:val="001000000000"/>
            <w:tcW w:w="3641" w:type="pct"/>
            <w:vAlign w:val="center"/>
            <w:hideMark/>
          </w:tcPr>
          <w:p w:rsidR="00C310DF" w:rsidRPr="003860AD" w:rsidRDefault="00C310DF" w:rsidP="00C310DF">
            <w:pPr>
              <w:pStyle w:val="Sinespaciado"/>
              <w:jc w:val="both"/>
              <w:rPr>
                <w:rFonts w:ascii="Verdana" w:eastAsia="Cambria" w:hAnsi="Verdana" w:cs="Arial"/>
                <w:b w:val="0"/>
                <w:lang w:val="es-CO"/>
              </w:rPr>
            </w:pPr>
            <w:r w:rsidRPr="003860AD">
              <w:rPr>
                <w:rFonts w:ascii="Verdana" w:eastAsia="Cambria" w:hAnsi="Verdana" w:cs="Arial"/>
                <w:b w:val="0"/>
                <w:lang w:val="es-CO"/>
              </w:rPr>
              <w:t>Andina</w:t>
            </w:r>
          </w:p>
        </w:tc>
        <w:tc>
          <w:tcPr>
            <w:tcW w:w="1359" w:type="pct"/>
            <w:vAlign w:val="center"/>
            <w:hideMark/>
          </w:tcPr>
          <w:p w:rsidR="00C310DF" w:rsidRPr="003860AD" w:rsidRDefault="00C310DF" w:rsidP="00C310DF">
            <w:pPr>
              <w:pStyle w:val="Sinespaciado"/>
              <w:jc w:val="center"/>
              <w:cnfStyle w:val="000000100000"/>
              <w:rPr>
                <w:rFonts w:ascii="Verdana" w:eastAsia="Cambria" w:hAnsi="Verdana" w:cs="Arial"/>
                <w:lang w:val="es-CO"/>
              </w:rPr>
            </w:pPr>
            <w:r w:rsidRPr="003860AD">
              <w:rPr>
                <w:rFonts w:ascii="Verdana" w:eastAsia="Cambria" w:hAnsi="Verdana" w:cs="Arial"/>
                <w:lang w:val="es-CO"/>
              </w:rPr>
              <w:t>17</w:t>
            </w:r>
          </w:p>
        </w:tc>
      </w:tr>
      <w:tr w:rsidR="00C310DF" w:rsidRPr="003860AD" w:rsidTr="003860AD">
        <w:trPr>
          <w:trHeight w:val="44"/>
          <w:jc w:val="center"/>
        </w:trPr>
        <w:tc>
          <w:tcPr>
            <w:cnfStyle w:val="001000000000"/>
            <w:tcW w:w="3641" w:type="pct"/>
            <w:vAlign w:val="center"/>
            <w:hideMark/>
          </w:tcPr>
          <w:p w:rsidR="00C310DF" w:rsidRPr="003860AD" w:rsidRDefault="00C310DF" w:rsidP="00C310DF">
            <w:pPr>
              <w:pStyle w:val="Sinespaciado"/>
              <w:jc w:val="both"/>
              <w:rPr>
                <w:rFonts w:ascii="Verdana" w:eastAsia="Cambria" w:hAnsi="Verdana" w:cs="Arial"/>
                <w:b w:val="0"/>
                <w:lang w:val="es-CO"/>
              </w:rPr>
            </w:pPr>
            <w:r w:rsidRPr="003860AD">
              <w:rPr>
                <w:rFonts w:ascii="Verdana" w:eastAsia="Cambria" w:hAnsi="Verdana" w:cs="Arial"/>
                <w:b w:val="0"/>
                <w:lang w:val="es-CO"/>
              </w:rPr>
              <w:t>Caribe</w:t>
            </w:r>
          </w:p>
        </w:tc>
        <w:tc>
          <w:tcPr>
            <w:tcW w:w="1359" w:type="pct"/>
            <w:vAlign w:val="center"/>
            <w:hideMark/>
          </w:tcPr>
          <w:p w:rsidR="00C310DF" w:rsidRPr="003860AD" w:rsidRDefault="00C310DF" w:rsidP="00C310DF">
            <w:pPr>
              <w:pStyle w:val="Sinespaciado"/>
              <w:jc w:val="center"/>
              <w:cnfStyle w:val="000000000000"/>
              <w:rPr>
                <w:rFonts w:ascii="Verdana" w:eastAsia="Cambria" w:hAnsi="Verdana" w:cs="Arial"/>
                <w:lang w:val="es-CO"/>
              </w:rPr>
            </w:pPr>
            <w:r w:rsidRPr="003860AD">
              <w:rPr>
                <w:rFonts w:ascii="Verdana" w:eastAsia="Cambria" w:hAnsi="Verdana" w:cs="Arial"/>
                <w:lang w:val="es-CO"/>
              </w:rPr>
              <w:t>13</w:t>
            </w:r>
          </w:p>
        </w:tc>
      </w:tr>
      <w:tr w:rsidR="00C310DF" w:rsidRPr="003860AD" w:rsidTr="003860AD">
        <w:trPr>
          <w:cnfStyle w:val="000000100000"/>
          <w:trHeight w:val="44"/>
          <w:jc w:val="center"/>
        </w:trPr>
        <w:tc>
          <w:tcPr>
            <w:cnfStyle w:val="001000000000"/>
            <w:tcW w:w="3641" w:type="pct"/>
            <w:vAlign w:val="center"/>
            <w:hideMark/>
          </w:tcPr>
          <w:p w:rsidR="00C310DF" w:rsidRPr="003860AD" w:rsidRDefault="00C310DF" w:rsidP="00C310DF">
            <w:pPr>
              <w:pStyle w:val="Sinespaciado"/>
              <w:jc w:val="both"/>
              <w:rPr>
                <w:rFonts w:ascii="Verdana" w:eastAsia="Cambria" w:hAnsi="Verdana" w:cs="Arial"/>
                <w:b w:val="0"/>
                <w:lang w:val="es-CO"/>
              </w:rPr>
            </w:pPr>
            <w:r w:rsidRPr="003860AD">
              <w:rPr>
                <w:rFonts w:ascii="Verdana" w:eastAsia="Cambria" w:hAnsi="Verdana" w:cs="Arial"/>
                <w:b w:val="0"/>
                <w:lang w:val="es-CO"/>
              </w:rPr>
              <w:t>Orinoquía-Amazonía</w:t>
            </w:r>
          </w:p>
        </w:tc>
        <w:tc>
          <w:tcPr>
            <w:tcW w:w="1359" w:type="pct"/>
            <w:vAlign w:val="center"/>
            <w:hideMark/>
          </w:tcPr>
          <w:p w:rsidR="00C310DF" w:rsidRPr="003860AD" w:rsidRDefault="00C310DF" w:rsidP="00C310DF">
            <w:pPr>
              <w:pStyle w:val="Sinespaciado"/>
              <w:jc w:val="center"/>
              <w:cnfStyle w:val="000000100000"/>
              <w:rPr>
                <w:rFonts w:ascii="Verdana" w:eastAsia="Cambria" w:hAnsi="Verdana" w:cs="Arial"/>
                <w:lang w:val="es-CO"/>
              </w:rPr>
            </w:pPr>
            <w:r w:rsidRPr="003860AD">
              <w:rPr>
                <w:rFonts w:ascii="Verdana" w:eastAsia="Cambria" w:hAnsi="Verdana" w:cs="Arial"/>
                <w:lang w:val="es-CO"/>
              </w:rPr>
              <w:t>5</w:t>
            </w:r>
          </w:p>
        </w:tc>
      </w:tr>
      <w:tr w:rsidR="00C310DF" w:rsidRPr="003860AD" w:rsidTr="003860AD">
        <w:trPr>
          <w:trHeight w:val="90"/>
          <w:jc w:val="center"/>
        </w:trPr>
        <w:tc>
          <w:tcPr>
            <w:cnfStyle w:val="001000000000"/>
            <w:tcW w:w="3641" w:type="pct"/>
            <w:vAlign w:val="center"/>
            <w:hideMark/>
          </w:tcPr>
          <w:p w:rsidR="00C310DF" w:rsidRPr="003860AD" w:rsidRDefault="00C310DF" w:rsidP="00C310DF">
            <w:pPr>
              <w:pStyle w:val="Sinespaciado"/>
              <w:jc w:val="both"/>
              <w:rPr>
                <w:rFonts w:ascii="Verdana" w:eastAsia="Cambria" w:hAnsi="Verdana" w:cs="Arial"/>
                <w:b w:val="0"/>
                <w:lang w:val="es-CO"/>
              </w:rPr>
            </w:pPr>
            <w:r w:rsidRPr="003860AD">
              <w:rPr>
                <w:rFonts w:ascii="Verdana" w:eastAsia="Cambria" w:hAnsi="Verdana" w:cs="Arial"/>
                <w:b w:val="0"/>
                <w:lang w:val="es-CO"/>
              </w:rPr>
              <w:t>Nororiente</w:t>
            </w:r>
          </w:p>
        </w:tc>
        <w:tc>
          <w:tcPr>
            <w:tcW w:w="1359" w:type="pct"/>
            <w:vAlign w:val="center"/>
            <w:hideMark/>
          </w:tcPr>
          <w:p w:rsidR="00C310DF" w:rsidRPr="003860AD" w:rsidRDefault="00C310DF" w:rsidP="00C310DF">
            <w:pPr>
              <w:pStyle w:val="Sinespaciado"/>
              <w:jc w:val="center"/>
              <w:cnfStyle w:val="000000000000"/>
              <w:rPr>
                <w:rFonts w:ascii="Verdana" w:eastAsia="Cambria" w:hAnsi="Verdana" w:cs="Arial"/>
                <w:lang w:val="es-CO"/>
              </w:rPr>
            </w:pPr>
            <w:r w:rsidRPr="003860AD">
              <w:rPr>
                <w:rFonts w:ascii="Verdana" w:eastAsia="Cambria" w:hAnsi="Verdana" w:cs="Arial"/>
                <w:lang w:val="es-CO"/>
              </w:rPr>
              <w:t>3</w:t>
            </w:r>
          </w:p>
        </w:tc>
      </w:tr>
      <w:tr w:rsidR="00C310DF" w:rsidRPr="003860AD" w:rsidTr="003860AD">
        <w:trPr>
          <w:cnfStyle w:val="000000100000"/>
          <w:trHeight w:val="44"/>
          <w:jc w:val="center"/>
        </w:trPr>
        <w:tc>
          <w:tcPr>
            <w:cnfStyle w:val="001000000000"/>
            <w:tcW w:w="3641" w:type="pct"/>
            <w:vAlign w:val="center"/>
            <w:hideMark/>
          </w:tcPr>
          <w:p w:rsidR="00C310DF" w:rsidRPr="003860AD" w:rsidRDefault="00C310DF" w:rsidP="00C310DF">
            <w:pPr>
              <w:pStyle w:val="Sinespaciado"/>
              <w:jc w:val="both"/>
              <w:rPr>
                <w:rFonts w:ascii="Verdana" w:eastAsia="Cambria" w:hAnsi="Verdana" w:cs="Arial"/>
                <w:b w:val="0"/>
                <w:lang w:val="es-CO"/>
              </w:rPr>
            </w:pPr>
            <w:r w:rsidRPr="003860AD">
              <w:rPr>
                <w:rFonts w:ascii="Verdana" w:eastAsia="Cambria" w:hAnsi="Verdana" w:cs="Arial"/>
                <w:b w:val="0"/>
                <w:lang w:val="es-CO"/>
              </w:rPr>
              <w:t>Suroccidente</w:t>
            </w:r>
          </w:p>
        </w:tc>
        <w:tc>
          <w:tcPr>
            <w:tcW w:w="1359" w:type="pct"/>
            <w:vAlign w:val="center"/>
            <w:hideMark/>
          </w:tcPr>
          <w:p w:rsidR="00C310DF" w:rsidRPr="003860AD" w:rsidRDefault="00C310DF" w:rsidP="00C310DF">
            <w:pPr>
              <w:pStyle w:val="Sinespaciado"/>
              <w:jc w:val="center"/>
              <w:cnfStyle w:val="000000100000"/>
              <w:rPr>
                <w:rFonts w:ascii="Verdana" w:eastAsia="Cambria" w:hAnsi="Verdana" w:cs="Arial"/>
                <w:lang w:val="es-CO"/>
              </w:rPr>
            </w:pPr>
            <w:r w:rsidRPr="003860AD">
              <w:rPr>
                <w:rFonts w:ascii="Verdana" w:eastAsia="Cambria" w:hAnsi="Verdana" w:cs="Arial"/>
                <w:lang w:val="es-CO"/>
              </w:rPr>
              <w:t>14</w:t>
            </w:r>
          </w:p>
        </w:tc>
      </w:tr>
      <w:tr w:rsidR="00C310DF" w:rsidRPr="003860AD" w:rsidTr="003860AD">
        <w:trPr>
          <w:trHeight w:val="44"/>
          <w:jc w:val="center"/>
        </w:trPr>
        <w:tc>
          <w:tcPr>
            <w:cnfStyle w:val="001000000000"/>
            <w:tcW w:w="3641" w:type="pct"/>
            <w:vAlign w:val="center"/>
            <w:hideMark/>
          </w:tcPr>
          <w:p w:rsidR="00C310DF" w:rsidRPr="003860AD" w:rsidRDefault="00C310DF" w:rsidP="00C310DF">
            <w:pPr>
              <w:pStyle w:val="Sinespaciado"/>
              <w:jc w:val="both"/>
              <w:rPr>
                <w:rFonts w:ascii="Verdana" w:eastAsia="Cambria" w:hAnsi="Verdana" w:cs="Arial"/>
                <w:b w:val="0"/>
                <w:lang w:val="es-CO"/>
              </w:rPr>
            </w:pPr>
            <w:r w:rsidRPr="003860AD">
              <w:rPr>
                <w:rFonts w:ascii="Verdana" w:eastAsia="Cambria" w:hAnsi="Verdana" w:cs="Arial"/>
                <w:b w:val="0"/>
                <w:lang w:val="es-CO"/>
              </w:rPr>
              <w:t>Total de IMH registradas*</w:t>
            </w:r>
          </w:p>
        </w:tc>
        <w:tc>
          <w:tcPr>
            <w:tcW w:w="1359" w:type="pct"/>
            <w:vAlign w:val="center"/>
            <w:hideMark/>
          </w:tcPr>
          <w:p w:rsidR="00C310DF" w:rsidRPr="003860AD" w:rsidRDefault="00C310DF" w:rsidP="00C310DF">
            <w:pPr>
              <w:pStyle w:val="Sinespaciado"/>
              <w:jc w:val="center"/>
              <w:cnfStyle w:val="000000000000"/>
              <w:rPr>
                <w:rFonts w:ascii="Verdana" w:eastAsia="Cambria" w:hAnsi="Verdana" w:cs="Arial"/>
                <w:lang w:val="es-CO"/>
              </w:rPr>
            </w:pPr>
            <w:r w:rsidRPr="003860AD">
              <w:rPr>
                <w:rFonts w:ascii="Verdana" w:eastAsia="Cambria" w:hAnsi="Verdana" w:cs="Arial"/>
                <w:bCs/>
                <w:lang w:val="es-CO"/>
              </w:rPr>
              <w:t>53</w:t>
            </w:r>
          </w:p>
        </w:tc>
      </w:tr>
    </w:tbl>
    <w:p w:rsidR="00C310DF" w:rsidRPr="00BC7F3F" w:rsidRDefault="00C310DF" w:rsidP="003860AD">
      <w:pPr>
        <w:pStyle w:val="Sinespaciado"/>
        <w:jc w:val="right"/>
        <w:rPr>
          <w:rFonts w:ascii="Verdana" w:eastAsia="Cambria" w:hAnsi="Verdana" w:cs="Arial"/>
          <w:i/>
          <w:lang w:val="es-CO"/>
        </w:rPr>
      </w:pPr>
      <w:r w:rsidRPr="003860AD">
        <w:rPr>
          <w:rFonts w:ascii="Verdana" w:eastAsia="Cambria" w:hAnsi="Verdana" w:cs="Arial"/>
          <w:i/>
          <w:sz w:val="18"/>
          <w:lang w:val="es-CO"/>
        </w:rPr>
        <w:t>* Con corte al 15 de diciembre de 2014</w:t>
      </w:r>
    </w:p>
    <w:p w:rsidR="00C310DF" w:rsidRPr="00BC7F3F" w:rsidRDefault="00C310DF" w:rsidP="00C310DF">
      <w:pPr>
        <w:pStyle w:val="Sinespaciado"/>
        <w:jc w:val="both"/>
        <w:rPr>
          <w:rFonts w:ascii="Verdana" w:eastAsia="Cambria" w:hAnsi="Verdana" w:cs="Arial"/>
          <w:highlight w:val="white"/>
          <w:lang w:val="es-CO"/>
        </w:rPr>
      </w:pPr>
    </w:p>
    <w:p w:rsidR="00C310DF" w:rsidRPr="00BC7F3F" w:rsidRDefault="00C310DF" w:rsidP="00C310DF">
      <w:pPr>
        <w:pStyle w:val="Sinespaciado"/>
        <w:jc w:val="both"/>
        <w:rPr>
          <w:rFonts w:ascii="Verdana" w:eastAsia="Cambria" w:hAnsi="Verdana" w:cs="Arial"/>
          <w:lang w:val="es-CO"/>
        </w:rPr>
      </w:pPr>
      <w:r w:rsidRPr="00BC7F3F">
        <w:rPr>
          <w:rFonts w:ascii="Verdana" w:eastAsia="Cambria" w:hAnsi="Verdana" w:cs="Arial"/>
          <w:lang w:val="es-CO"/>
        </w:rPr>
        <w:lastRenderedPageBreak/>
        <w:t>A medida que la información es registrada por la Estrategia Nación-Territorio, es remitida al Grupo de Comunicaciones de la entidad, dado que está en proceso de construcción una herramienta interactiva llamada “Mapa de la memoria”, que estará alojada en el sitio Web de la entidad (</w:t>
      </w:r>
      <w:hyperlink r:id="rId61" w:history="1">
        <w:r w:rsidRPr="00BC7F3F">
          <w:rPr>
            <w:rStyle w:val="Hipervnculo"/>
            <w:rFonts w:ascii="Verdana" w:eastAsia="Cambria" w:hAnsi="Verdana" w:cs="Arial"/>
            <w:lang w:val="es-CO"/>
          </w:rPr>
          <w:t>www.centrodememoriahistorica.gov.co</w:t>
        </w:r>
      </w:hyperlink>
      <w:r w:rsidRPr="00BC7F3F">
        <w:rPr>
          <w:rFonts w:ascii="Verdana" w:eastAsia="Cambria" w:hAnsi="Verdana" w:cs="Arial"/>
          <w:lang w:val="es-CO"/>
        </w:rPr>
        <w:t>). Allí, cualquier ciudadano podrá consultar la descripción básica y la ubicación de los ejercicios de memoria que se desarrollan y se han desarrollado en el país. Esta herramienta, así como el proceso de identificación y registro, son alimentados de manera permanente por el equipo de la Estrategia Nación-Territorio y del Grupo de Comunicaciones.</w:t>
      </w:r>
    </w:p>
    <w:p w:rsidR="00C310DF" w:rsidRPr="00BC7F3F" w:rsidRDefault="00C310DF" w:rsidP="00C310DF">
      <w:pPr>
        <w:pStyle w:val="Sinespaciado"/>
        <w:jc w:val="both"/>
        <w:rPr>
          <w:rFonts w:ascii="Verdana" w:eastAsia="Cambria" w:hAnsi="Verdana" w:cs="Arial"/>
          <w:highlight w:val="white"/>
          <w:lang w:val="es-CO"/>
        </w:rPr>
      </w:pPr>
    </w:p>
    <w:p w:rsidR="00C310DF" w:rsidRPr="00BC7F3F" w:rsidRDefault="00C310DF" w:rsidP="00C310DF">
      <w:pPr>
        <w:pStyle w:val="Sinespaciado"/>
        <w:jc w:val="both"/>
        <w:rPr>
          <w:rFonts w:ascii="Verdana" w:hAnsi="Verdana" w:cs="Arial"/>
          <w:lang w:val="es-CO"/>
        </w:rPr>
      </w:pPr>
      <w:r w:rsidRPr="00BC7F3F">
        <w:rPr>
          <w:rFonts w:ascii="Verdana" w:hAnsi="Verdana" w:cs="Arial"/>
          <w:highlight w:val="white"/>
          <w:lang w:val="es-CO"/>
        </w:rPr>
        <w:t xml:space="preserve">Durante la vigencia 2014, el apoyo a las Iniciativas se brindó desde las Direcciones de Museo, Archivos y Construcción de Memoria, así como desde los Grupos de Comunicaciones, Planeación, de los Enfoques Diferenciales y de la Estrategia Nación-Territorio. En total se acompañaron 21 de estos procesos en diferentes lugares del país, a los cuales se les brindó asesoría técnica en asuntos conceptuales de museos y lugares de memoria, aspectos artísticos y culturales, conformación de archivos de DDHH y memoria histórica, reconstrucción de memoria, gestión y formulación de proyectos, así </w:t>
      </w:r>
      <w:r w:rsidRPr="00BC7F3F">
        <w:rPr>
          <w:rFonts w:ascii="Verdana" w:hAnsi="Verdana" w:cs="Arial"/>
          <w:lang w:val="es-CO"/>
        </w:rPr>
        <w:t>como alfabetizaciones digitales (para que las IMH elaboren y administren sus propias páginas Web)</w:t>
      </w:r>
      <w:r w:rsidRPr="00BC7F3F">
        <w:rPr>
          <w:rFonts w:ascii="Verdana" w:hAnsi="Verdana" w:cs="Arial"/>
          <w:highlight w:val="white"/>
          <w:lang w:val="es-CO"/>
        </w:rPr>
        <w:t>.</w:t>
      </w:r>
      <w:r w:rsidRPr="00BC7F3F">
        <w:rPr>
          <w:rFonts w:ascii="Verdana" w:hAnsi="Verdana" w:cs="Arial"/>
          <w:lang w:val="es-CO"/>
        </w:rPr>
        <w:t xml:space="preserve"> Las siguientes son las iniciativas que fueron apoyadas en 2014:</w:t>
      </w:r>
    </w:p>
    <w:p w:rsidR="00C310DF" w:rsidRPr="00BC7F3F" w:rsidRDefault="00C310DF" w:rsidP="00C310DF">
      <w:pPr>
        <w:pStyle w:val="Sinespaciado"/>
        <w:jc w:val="both"/>
        <w:rPr>
          <w:rFonts w:ascii="Verdana" w:eastAsia="Cambria" w:hAnsi="Verdana" w:cs="Cambria"/>
          <w:lang w:val="es-CO"/>
        </w:rPr>
      </w:pPr>
    </w:p>
    <w:p w:rsidR="00C310DF" w:rsidRPr="003860AD" w:rsidRDefault="00C310DF" w:rsidP="003860AD">
      <w:pPr>
        <w:pStyle w:val="Sinespaciado"/>
        <w:rPr>
          <w:rFonts w:ascii="Verdana" w:hAnsi="Verdana" w:cs="Arial"/>
          <w:color w:val="4F81BD" w:themeColor="accent1"/>
          <w:lang w:val="es-CO"/>
        </w:rPr>
      </w:pPr>
      <w:r w:rsidRPr="003860AD">
        <w:rPr>
          <w:rFonts w:ascii="Verdana" w:hAnsi="Verdana" w:cs="Arial"/>
          <w:color w:val="4F81BD" w:themeColor="accent1"/>
          <w:lang w:val="es-CO"/>
        </w:rPr>
        <w:t>Iniciativas de Memoria Histórica apoyadas por el CNMH en 2014</w:t>
      </w:r>
    </w:p>
    <w:tbl>
      <w:tblPr>
        <w:tblStyle w:val="Tabladecuadrcula4-nfasis11"/>
        <w:tblW w:w="4876" w:type="pct"/>
        <w:jc w:val="center"/>
        <w:tblLook w:val="04A0"/>
      </w:tblPr>
      <w:tblGrid>
        <w:gridCol w:w="595"/>
        <w:gridCol w:w="2657"/>
        <w:gridCol w:w="1515"/>
        <w:gridCol w:w="3079"/>
        <w:gridCol w:w="2142"/>
      </w:tblGrid>
      <w:tr w:rsidR="00C310DF" w:rsidRPr="003860AD" w:rsidTr="00C310DF">
        <w:trPr>
          <w:cnfStyle w:val="100000000000"/>
          <w:trHeight w:val="273"/>
          <w:tblHeader/>
          <w:jc w:val="center"/>
        </w:trPr>
        <w:tc>
          <w:tcPr>
            <w:cnfStyle w:val="001000000000"/>
            <w:tcW w:w="270" w:type="pct"/>
            <w:vAlign w:val="center"/>
            <w:hideMark/>
          </w:tcPr>
          <w:p w:rsidR="00C310DF" w:rsidRPr="003860AD" w:rsidRDefault="00C310DF" w:rsidP="00C310DF">
            <w:pPr>
              <w:jc w:val="center"/>
              <w:rPr>
                <w:rFonts w:ascii="Verdana" w:hAnsi="Verdana" w:cs="Arial"/>
                <w:b w:val="0"/>
                <w:bCs w:val="0"/>
                <w:sz w:val="22"/>
                <w:szCs w:val="22"/>
                <w:lang w:val="es-CO" w:eastAsia="es-CO"/>
              </w:rPr>
            </w:pPr>
            <w:r w:rsidRPr="003860AD">
              <w:rPr>
                <w:rFonts w:ascii="Verdana" w:hAnsi="Verdana" w:cs="Arial"/>
                <w:b w:val="0"/>
                <w:sz w:val="22"/>
                <w:szCs w:val="22"/>
                <w:lang w:val="es-CO" w:eastAsia="es-CO"/>
              </w:rPr>
              <w:t>No.</w:t>
            </w:r>
          </w:p>
        </w:tc>
        <w:tc>
          <w:tcPr>
            <w:tcW w:w="1393" w:type="pct"/>
            <w:vAlign w:val="center"/>
            <w:hideMark/>
          </w:tcPr>
          <w:p w:rsidR="00C310DF" w:rsidRPr="003860AD" w:rsidRDefault="00C310DF" w:rsidP="00C310DF">
            <w:pPr>
              <w:jc w:val="center"/>
              <w:cnfStyle w:val="100000000000"/>
              <w:rPr>
                <w:rFonts w:ascii="Verdana" w:hAnsi="Verdana" w:cs="Arial"/>
                <w:b w:val="0"/>
                <w:bCs w:val="0"/>
                <w:sz w:val="22"/>
                <w:szCs w:val="22"/>
                <w:lang w:val="es-CO" w:eastAsia="es-CO"/>
              </w:rPr>
            </w:pPr>
            <w:r w:rsidRPr="003860AD">
              <w:rPr>
                <w:rFonts w:ascii="Verdana" w:hAnsi="Verdana" w:cs="Arial"/>
                <w:b w:val="0"/>
                <w:sz w:val="22"/>
                <w:szCs w:val="22"/>
                <w:lang w:val="es-CO" w:eastAsia="es-CO"/>
              </w:rPr>
              <w:t>Nombre de la acción o iniciativa</w:t>
            </w:r>
          </w:p>
        </w:tc>
        <w:tc>
          <w:tcPr>
            <w:tcW w:w="598" w:type="pct"/>
            <w:vAlign w:val="center"/>
            <w:hideMark/>
          </w:tcPr>
          <w:p w:rsidR="00C310DF" w:rsidRPr="003860AD" w:rsidRDefault="00C310DF" w:rsidP="00C310DF">
            <w:pPr>
              <w:jc w:val="center"/>
              <w:cnfStyle w:val="100000000000"/>
              <w:rPr>
                <w:rFonts w:ascii="Verdana" w:hAnsi="Verdana" w:cs="Arial"/>
                <w:b w:val="0"/>
                <w:bCs w:val="0"/>
                <w:sz w:val="22"/>
                <w:szCs w:val="22"/>
                <w:lang w:val="es-CO" w:eastAsia="es-CO"/>
              </w:rPr>
            </w:pPr>
            <w:r w:rsidRPr="003860AD">
              <w:rPr>
                <w:rFonts w:ascii="Verdana" w:hAnsi="Verdana" w:cs="Arial"/>
                <w:b w:val="0"/>
                <w:sz w:val="22"/>
                <w:szCs w:val="22"/>
                <w:lang w:val="es-CO" w:eastAsia="es-CO"/>
              </w:rPr>
              <w:t>Depto.</w:t>
            </w:r>
          </w:p>
        </w:tc>
        <w:tc>
          <w:tcPr>
            <w:tcW w:w="1604" w:type="pct"/>
            <w:vAlign w:val="center"/>
            <w:hideMark/>
          </w:tcPr>
          <w:p w:rsidR="00C310DF" w:rsidRPr="003860AD" w:rsidRDefault="00C310DF" w:rsidP="00C310DF">
            <w:pPr>
              <w:jc w:val="center"/>
              <w:cnfStyle w:val="100000000000"/>
              <w:rPr>
                <w:rFonts w:ascii="Verdana" w:hAnsi="Verdana" w:cs="Arial"/>
                <w:b w:val="0"/>
                <w:bCs w:val="0"/>
                <w:sz w:val="22"/>
                <w:szCs w:val="22"/>
                <w:lang w:val="es-CO" w:eastAsia="es-CO"/>
              </w:rPr>
            </w:pPr>
            <w:r w:rsidRPr="003860AD">
              <w:rPr>
                <w:rFonts w:ascii="Verdana" w:hAnsi="Verdana" w:cs="Arial"/>
                <w:b w:val="0"/>
                <w:sz w:val="22"/>
                <w:szCs w:val="22"/>
                <w:lang w:val="es-CO" w:eastAsia="es-CO"/>
              </w:rPr>
              <w:t>Municipio</w:t>
            </w:r>
          </w:p>
        </w:tc>
        <w:tc>
          <w:tcPr>
            <w:tcW w:w="1136" w:type="pct"/>
            <w:vAlign w:val="center"/>
            <w:hideMark/>
          </w:tcPr>
          <w:p w:rsidR="00C310DF" w:rsidRPr="003860AD" w:rsidRDefault="00C310DF" w:rsidP="00C310DF">
            <w:pPr>
              <w:jc w:val="center"/>
              <w:cnfStyle w:val="100000000000"/>
              <w:rPr>
                <w:rFonts w:ascii="Verdana" w:hAnsi="Verdana" w:cs="Arial"/>
                <w:b w:val="0"/>
                <w:bCs w:val="0"/>
                <w:sz w:val="22"/>
                <w:szCs w:val="22"/>
                <w:lang w:val="es-CO" w:eastAsia="es-CO"/>
              </w:rPr>
            </w:pPr>
            <w:r w:rsidRPr="003860AD">
              <w:rPr>
                <w:rFonts w:ascii="Verdana" w:hAnsi="Verdana" w:cs="Arial"/>
                <w:b w:val="0"/>
                <w:sz w:val="22"/>
                <w:szCs w:val="22"/>
                <w:lang w:val="es-CO" w:eastAsia="es-CO"/>
              </w:rPr>
              <w:t>Organización</w:t>
            </w:r>
          </w:p>
        </w:tc>
      </w:tr>
      <w:tr w:rsidR="00C310DF" w:rsidRPr="003860AD" w:rsidTr="00C310DF">
        <w:trPr>
          <w:cnfStyle w:val="000000100000"/>
          <w:trHeight w:val="273"/>
          <w:jc w:val="center"/>
        </w:trPr>
        <w:tc>
          <w:tcPr>
            <w:cnfStyle w:val="001000000000"/>
            <w:tcW w:w="270" w:type="pct"/>
            <w:vAlign w:val="center"/>
            <w:hideMark/>
          </w:tcPr>
          <w:p w:rsidR="00C310DF" w:rsidRPr="003860AD" w:rsidRDefault="00C310DF" w:rsidP="00C310DF">
            <w:pPr>
              <w:jc w:val="center"/>
              <w:rPr>
                <w:rFonts w:ascii="Verdana" w:hAnsi="Verdana" w:cs="Arial"/>
                <w:b w:val="0"/>
                <w:color w:val="000000"/>
                <w:sz w:val="22"/>
                <w:szCs w:val="22"/>
                <w:lang w:val="es-CO" w:eastAsia="es-CO"/>
              </w:rPr>
            </w:pPr>
            <w:r w:rsidRPr="003860AD">
              <w:rPr>
                <w:rFonts w:ascii="Verdana" w:hAnsi="Verdana" w:cs="Arial"/>
                <w:b w:val="0"/>
                <w:color w:val="000000"/>
                <w:sz w:val="22"/>
                <w:szCs w:val="22"/>
                <w:lang w:val="es-CO" w:eastAsia="es-CO"/>
              </w:rPr>
              <w:t>1</w:t>
            </w:r>
          </w:p>
        </w:tc>
        <w:tc>
          <w:tcPr>
            <w:tcW w:w="1393"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Casa de la Memoria de la costa pacífica nariñense</w:t>
            </w:r>
          </w:p>
        </w:tc>
        <w:tc>
          <w:tcPr>
            <w:tcW w:w="598"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Nariño</w:t>
            </w:r>
          </w:p>
        </w:tc>
        <w:tc>
          <w:tcPr>
            <w:tcW w:w="1604"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Tumaco, La Tola, Maguí, Roberto Payán, Olaya Herrera (Satinga), Barbacoas, El Charco, Francisco Pizarro, Mosquera</w:t>
            </w:r>
          </w:p>
        </w:tc>
        <w:tc>
          <w:tcPr>
            <w:tcW w:w="1136"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Diócesis de Tumaco</w:t>
            </w:r>
          </w:p>
        </w:tc>
      </w:tr>
      <w:tr w:rsidR="00C310DF" w:rsidRPr="003860AD" w:rsidTr="00C310DF">
        <w:trPr>
          <w:trHeight w:val="406"/>
          <w:jc w:val="center"/>
        </w:trPr>
        <w:tc>
          <w:tcPr>
            <w:cnfStyle w:val="001000000000"/>
            <w:tcW w:w="270" w:type="pct"/>
            <w:vAlign w:val="center"/>
            <w:hideMark/>
          </w:tcPr>
          <w:p w:rsidR="00C310DF" w:rsidRPr="003860AD" w:rsidRDefault="00C310DF" w:rsidP="00C310DF">
            <w:pPr>
              <w:jc w:val="center"/>
              <w:rPr>
                <w:rFonts w:ascii="Verdana" w:hAnsi="Verdana" w:cs="Arial"/>
                <w:b w:val="0"/>
                <w:color w:val="000000"/>
                <w:sz w:val="22"/>
                <w:szCs w:val="22"/>
                <w:lang w:val="es-CO" w:eastAsia="es-CO"/>
              </w:rPr>
            </w:pPr>
            <w:r w:rsidRPr="003860AD">
              <w:rPr>
                <w:rFonts w:ascii="Verdana" w:hAnsi="Verdana" w:cs="Arial"/>
                <w:b w:val="0"/>
                <w:color w:val="000000"/>
                <w:sz w:val="22"/>
                <w:szCs w:val="22"/>
                <w:lang w:val="es-CO" w:eastAsia="es-CO"/>
              </w:rPr>
              <w:t>2</w:t>
            </w:r>
          </w:p>
        </w:tc>
        <w:tc>
          <w:tcPr>
            <w:tcW w:w="1393"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Centro de Memoria del Conflicto</w:t>
            </w:r>
          </w:p>
        </w:tc>
        <w:tc>
          <w:tcPr>
            <w:tcW w:w="598"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Cesar</w:t>
            </w:r>
          </w:p>
        </w:tc>
        <w:tc>
          <w:tcPr>
            <w:tcW w:w="1604"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Valledupar</w:t>
            </w:r>
          </w:p>
        </w:tc>
        <w:tc>
          <w:tcPr>
            <w:tcW w:w="1136"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Corporación Grupo de Memoria Histórica</w:t>
            </w:r>
          </w:p>
        </w:tc>
      </w:tr>
      <w:tr w:rsidR="00C310DF" w:rsidRPr="003860AD" w:rsidTr="00C310DF">
        <w:trPr>
          <w:cnfStyle w:val="000000100000"/>
          <w:trHeight w:val="188"/>
          <w:jc w:val="center"/>
        </w:trPr>
        <w:tc>
          <w:tcPr>
            <w:cnfStyle w:val="001000000000"/>
            <w:tcW w:w="270" w:type="pct"/>
            <w:vAlign w:val="center"/>
            <w:hideMark/>
          </w:tcPr>
          <w:p w:rsidR="00C310DF" w:rsidRPr="003860AD" w:rsidRDefault="00C310DF" w:rsidP="00C310DF">
            <w:pPr>
              <w:jc w:val="center"/>
              <w:rPr>
                <w:rFonts w:ascii="Verdana" w:hAnsi="Verdana" w:cs="Arial"/>
                <w:b w:val="0"/>
                <w:color w:val="000000"/>
                <w:sz w:val="22"/>
                <w:szCs w:val="22"/>
                <w:lang w:val="es-CO" w:eastAsia="es-CO"/>
              </w:rPr>
            </w:pPr>
            <w:r w:rsidRPr="003860AD">
              <w:rPr>
                <w:rFonts w:ascii="Verdana" w:hAnsi="Verdana" w:cs="Arial"/>
                <w:b w:val="0"/>
                <w:color w:val="000000"/>
                <w:sz w:val="22"/>
                <w:szCs w:val="22"/>
                <w:lang w:val="es-CO" w:eastAsia="es-CO"/>
              </w:rPr>
              <w:t>3</w:t>
            </w:r>
          </w:p>
        </w:tc>
        <w:tc>
          <w:tcPr>
            <w:tcW w:w="1393"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Felicidad perdida de un pueblo que la minería borró</w:t>
            </w:r>
          </w:p>
        </w:tc>
        <w:tc>
          <w:tcPr>
            <w:tcW w:w="598"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La Guajira</w:t>
            </w:r>
          </w:p>
        </w:tc>
        <w:tc>
          <w:tcPr>
            <w:tcW w:w="1604"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Tabaco</w:t>
            </w:r>
          </w:p>
        </w:tc>
        <w:tc>
          <w:tcPr>
            <w:tcW w:w="1136"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Consejo Comunitario de Tabaco.</w:t>
            </w:r>
          </w:p>
        </w:tc>
      </w:tr>
      <w:tr w:rsidR="00C310DF" w:rsidRPr="003860AD" w:rsidTr="00C310DF">
        <w:trPr>
          <w:trHeight w:val="298"/>
          <w:jc w:val="center"/>
        </w:trPr>
        <w:tc>
          <w:tcPr>
            <w:cnfStyle w:val="001000000000"/>
            <w:tcW w:w="270" w:type="pct"/>
            <w:vAlign w:val="center"/>
            <w:hideMark/>
          </w:tcPr>
          <w:p w:rsidR="00C310DF" w:rsidRPr="003860AD" w:rsidRDefault="00C310DF" w:rsidP="00C310DF">
            <w:pPr>
              <w:jc w:val="center"/>
              <w:rPr>
                <w:rFonts w:ascii="Verdana" w:hAnsi="Verdana" w:cs="Arial"/>
                <w:b w:val="0"/>
                <w:color w:val="000000"/>
                <w:sz w:val="22"/>
                <w:szCs w:val="22"/>
                <w:lang w:val="es-CO" w:eastAsia="es-CO"/>
              </w:rPr>
            </w:pPr>
            <w:r w:rsidRPr="003860AD">
              <w:rPr>
                <w:rFonts w:ascii="Verdana" w:hAnsi="Verdana" w:cs="Arial"/>
                <w:b w:val="0"/>
                <w:color w:val="000000"/>
                <w:sz w:val="22"/>
                <w:szCs w:val="22"/>
                <w:lang w:val="es-CO" w:eastAsia="es-CO"/>
              </w:rPr>
              <w:t>4</w:t>
            </w:r>
          </w:p>
        </w:tc>
        <w:tc>
          <w:tcPr>
            <w:tcW w:w="1393"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Construcción de espacio de memoria en antiguo Bellavista</w:t>
            </w:r>
          </w:p>
        </w:tc>
        <w:tc>
          <w:tcPr>
            <w:tcW w:w="598"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Chocó</w:t>
            </w:r>
          </w:p>
        </w:tc>
        <w:tc>
          <w:tcPr>
            <w:tcW w:w="1604"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Bojayá, Quibdó, Vigía del Fuerte</w:t>
            </w:r>
          </w:p>
        </w:tc>
        <w:tc>
          <w:tcPr>
            <w:tcW w:w="1136"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 xml:space="preserve">Comité 2 de mayo, Consejos Comunitarios de </w:t>
            </w:r>
            <w:r w:rsidRPr="003860AD">
              <w:rPr>
                <w:rFonts w:ascii="Verdana" w:hAnsi="Verdana" w:cs="Arial"/>
                <w:color w:val="000000"/>
                <w:sz w:val="22"/>
                <w:szCs w:val="22"/>
                <w:lang w:val="es-CO" w:eastAsia="es-CO"/>
              </w:rPr>
              <w:lastRenderedPageBreak/>
              <w:t>Tanguí y Pogue y COCOMACIA</w:t>
            </w:r>
          </w:p>
        </w:tc>
      </w:tr>
      <w:tr w:rsidR="00C310DF" w:rsidRPr="003860AD" w:rsidTr="00C310DF">
        <w:trPr>
          <w:cnfStyle w:val="000000100000"/>
          <w:trHeight w:val="431"/>
          <w:jc w:val="center"/>
        </w:trPr>
        <w:tc>
          <w:tcPr>
            <w:cnfStyle w:val="001000000000"/>
            <w:tcW w:w="270" w:type="pct"/>
            <w:vAlign w:val="center"/>
            <w:hideMark/>
          </w:tcPr>
          <w:p w:rsidR="00C310DF" w:rsidRPr="003860AD" w:rsidRDefault="00C310DF" w:rsidP="00C310DF">
            <w:pPr>
              <w:jc w:val="center"/>
              <w:rPr>
                <w:rFonts w:ascii="Verdana" w:hAnsi="Verdana" w:cs="Arial"/>
                <w:b w:val="0"/>
                <w:color w:val="000000"/>
                <w:sz w:val="22"/>
                <w:szCs w:val="22"/>
                <w:lang w:val="es-CO" w:eastAsia="es-CO"/>
              </w:rPr>
            </w:pPr>
            <w:r w:rsidRPr="003860AD">
              <w:rPr>
                <w:rFonts w:ascii="Verdana" w:hAnsi="Verdana" w:cs="Arial"/>
                <w:b w:val="0"/>
                <w:color w:val="000000"/>
                <w:sz w:val="22"/>
                <w:szCs w:val="22"/>
                <w:lang w:val="es-CO" w:eastAsia="es-CO"/>
              </w:rPr>
              <w:lastRenderedPageBreak/>
              <w:t>5</w:t>
            </w:r>
          </w:p>
        </w:tc>
        <w:tc>
          <w:tcPr>
            <w:tcW w:w="1393"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Museo Itinerante de la Memoria de los Montes de María.</w:t>
            </w:r>
          </w:p>
        </w:tc>
        <w:tc>
          <w:tcPr>
            <w:tcW w:w="598"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Bolívar y Sucre</w:t>
            </w:r>
          </w:p>
        </w:tc>
        <w:tc>
          <w:tcPr>
            <w:tcW w:w="1604"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Carmen de Bolívar, San Juan Nepomuceno, María La Baja, Mahates, El Guamo, San Jacinto, Zambrano, Córdoba /</w:t>
            </w:r>
          </w:p>
        </w:tc>
        <w:tc>
          <w:tcPr>
            <w:tcW w:w="1136"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Colectivo de Comunicaciones Montes de María Línea 21</w:t>
            </w:r>
          </w:p>
        </w:tc>
      </w:tr>
      <w:tr w:rsidR="00C310DF" w:rsidRPr="003860AD" w:rsidTr="00C310DF">
        <w:trPr>
          <w:trHeight w:val="302"/>
          <w:jc w:val="center"/>
        </w:trPr>
        <w:tc>
          <w:tcPr>
            <w:cnfStyle w:val="001000000000"/>
            <w:tcW w:w="270" w:type="pct"/>
            <w:vAlign w:val="center"/>
            <w:hideMark/>
          </w:tcPr>
          <w:p w:rsidR="00C310DF" w:rsidRPr="003860AD" w:rsidRDefault="00C310DF" w:rsidP="00C310DF">
            <w:pPr>
              <w:jc w:val="center"/>
              <w:rPr>
                <w:rFonts w:ascii="Verdana" w:hAnsi="Verdana" w:cs="Arial"/>
                <w:b w:val="0"/>
                <w:color w:val="000000"/>
                <w:sz w:val="22"/>
                <w:szCs w:val="22"/>
                <w:lang w:val="es-CO" w:eastAsia="es-CO"/>
              </w:rPr>
            </w:pPr>
            <w:r w:rsidRPr="003860AD">
              <w:rPr>
                <w:rFonts w:ascii="Verdana" w:hAnsi="Verdana" w:cs="Arial"/>
                <w:b w:val="0"/>
                <w:color w:val="000000"/>
                <w:sz w:val="22"/>
                <w:szCs w:val="22"/>
                <w:lang w:val="es-CO" w:eastAsia="es-CO"/>
              </w:rPr>
              <w:t>6</w:t>
            </w:r>
          </w:p>
        </w:tc>
        <w:tc>
          <w:tcPr>
            <w:tcW w:w="1393"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Iniciativas artísticas de Fundehumac</w:t>
            </w:r>
          </w:p>
        </w:tc>
        <w:tc>
          <w:tcPr>
            <w:tcW w:w="598"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Magdalena</w:t>
            </w:r>
          </w:p>
        </w:tc>
        <w:tc>
          <w:tcPr>
            <w:tcW w:w="1604"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Santa Marta</w:t>
            </w:r>
          </w:p>
        </w:tc>
        <w:tc>
          <w:tcPr>
            <w:tcW w:w="1136"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Fundehumac</w:t>
            </w:r>
          </w:p>
        </w:tc>
      </w:tr>
      <w:tr w:rsidR="00C310DF" w:rsidRPr="003860AD" w:rsidTr="00C310DF">
        <w:trPr>
          <w:cnfStyle w:val="000000100000"/>
          <w:trHeight w:val="60"/>
          <w:jc w:val="center"/>
        </w:trPr>
        <w:tc>
          <w:tcPr>
            <w:cnfStyle w:val="001000000000"/>
            <w:tcW w:w="270" w:type="pct"/>
            <w:vAlign w:val="center"/>
            <w:hideMark/>
          </w:tcPr>
          <w:p w:rsidR="00C310DF" w:rsidRPr="003860AD" w:rsidRDefault="00C310DF" w:rsidP="00C310DF">
            <w:pPr>
              <w:jc w:val="center"/>
              <w:rPr>
                <w:rFonts w:ascii="Verdana" w:hAnsi="Verdana" w:cs="Arial"/>
                <w:b w:val="0"/>
                <w:color w:val="000000"/>
                <w:sz w:val="22"/>
                <w:szCs w:val="22"/>
                <w:lang w:val="es-CO" w:eastAsia="es-CO"/>
              </w:rPr>
            </w:pPr>
            <w:r w:rsidRPr="003860AD">
              <w:rPr>
                <w:rFonts w:ascii="Verdana" w:hAnsi="Verdana" w:cs="Arial"/>
                <w:b w:val="0"/>
                <w:color w:val="000000"/>
                <w:sz w:val="22"/>
                <w:szCs w:val="22"/>
                <w:lang w:val="es-CO" w:eastAsia="es-CO"/>
              </w:rPr>
              <w:t>7</w:t>
            </w:r>
          </w:p>
        </w:tc>
        <w:tc>
          <w:tcPr>
            <w:tcW w:w="1393"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Marcando territorio</w:t>
            </w:r>
          </w:p>
        </w:tc>
        <w:tc>
          <w:tcPr>
            <w:tcW w:w="598"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Valle del Cauca</w:t>
            </w:r>
          </w:p>
        </w:tc>
        <w:tc>
          <w:tcPr>
            <w:tcW w:w="1604"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Buenaventura</w:t>
            </w:r>
          </w:p>
        </w:tc>
        <w:tc>
          <w:tcPr>
            <w:tcW w:w="1136"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Fundescodes</w:t>
            </w:r>
          </w:p>
        </w:tc>
      </w:tr>
      <w:tr w:rsidR="00C310DF" w:rsidRPr="003860AD" w:rsidTr="00C310DF">
        <w:trPr>
          <w:trHeight w:val="144"/>
          <w:jc w:val="center"/>
        </w:trPr>
        <w:tc>
          <w:tcPr>
            <w:cnfStyle w:val="001000000000"/>
            <w:tcW w:w="270" w:type="pct"/>
            <w:vAlign w:val="center"/>
            <w:hideMark/>
          </w:tcPr>
          <w:p w:rsidR="00C310DF" w:rsidRPr="003860AD" w:rsidRDefault="00C310DF" w:rsidP="00C310DF">
            <w:pPr>
              <w:jc w:val="center"/>
              <w:rPr>
                <w:rFonts w:ascii="Verdana" w:hAnsi="Verdana" w:cs="Arial"/>
                <w:b w:val="0"/>
                <w:color w:val="000000"/>
                <w:sz w:val="22"/>
                <w:szCs w:val="22"/>
                <w:lang w:val="es-CO" w:eastAsia="es-CO"/>
              </w:rPr>
            </w:pPr>
            <w:r w:rsidRPr="003860AD">
              <w:rPr>
                <w:rFonts w:ascii="Verdana" w:hAnsi="Verdana" w:cs="Arial"/>
                <w:b w:val="0"/>
                <w:color w:val="000000"/>
                <w:sz w:val="22"/>
                <w:szCs w:val="22"/>
                <w:lang w:val="es-CO" w:eastAsia="es-CO"/>
              </w:rPr>
              <w:t>8</w:t>
            </w:r>
          </w:p>
        </w:tc>
        <w:tc>
          <w:tcPr>
            <w:tcW w:w="1393"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Red de Jóvenes de artes escénicas en Barranquilla y Monumento a la dignidad y la vida</w:t>
            </w:r>
          </w:p>
        </w:tc>
        <w:tc>
          <w:tcPr>
            <w:tcW w:w="598"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Atlántico</w:t>
            </w:r>
          </w:p>
        </w:tc>
        <w:tc>
          <w:tcPr>
            <w:tcW w:w="1604"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Barranquilla</w:t>
            </w:r>
          </w:p>
        </w:tc>
        <w:tc>
          <w:tcPr>
            <w:tcW w:w="1136"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Teatro efímero</w:t>
            </w:r>
          </w:p>
        </w:tc>
      </w:tr>
      <w:tr w:rsidR="00C310DF" w:rsidRPr="003860AD" w:rsidTr="00C310DF">
        <w:trPr>
          <w:cnfStyle w:val="000000100000"/>
          <w:trHeight w:val="136"/>
          <w:jc w:val="center"/>
        </w:trPr>
        <w:tc>
          <w:tcPr>
            <w:cnfStyle w:val="001000000000"/>
            <w:tcW w:w="270" w:type="pct"/>
            <w:vAlign w:val="center"/>
            <w:hideMark/>
          </w:tcPr>
          <w:p w:rsidR="00C310DF" w:rsidRPr="003860AD" w:rsidRDefault="00C310DF" w:rsidP="00C310DF">
            <w:pPr>
              <w:jc w:val="center"/>
              <w:rPr>
                <w:rFonts w:ascii="Verdana" w:hAnsi="Verdana" w:cs="Arial"/>
                <w:b w:val="0"/>
                <w:color w:val="000000"/>
                <w:sz w:val="22"/>
                <w:szCs w:val="22"/>
                <w:lang w:val="es-CO" w:eastAsia="es-CO"/>
              </w:rPr>
            </w:pPr>
            <w:r w:rsidRPr="003860AD">
              <w:rPr>
                <w:rFonts w:ascii="Verdana" w:hAnsi="Verdana" w:cs="Arial"/>
                <w:b w:val="0"/>
                <w:color w:val="000000"/>
                <w:sz w:val="22"/>
                <w:szCs w:val="22"/>
                <w:lang w:val="es-CO" w:eastAsia="es-CO"/>
              </w:rPr>
              <w:t>9</w:t>
            </w:r>
          </w:p>
        </w:tc>
        <w:tc>
          <w:tcPr>
            <w:tcW w:w="1393"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Parque Monumento a las víctimas de Trujillo - Galería de la Memoria - La memoria camina en Trujillo.</w:t>
            </w:r>
          </w:p>
        </w:tc>
        <w:tc>
          <w:tcPr>
            <w:tcW w:w="598" w:type="pct"/>
            <w:vAlign w:val="center"/>
          </w:tcPr>
          <w:p w:rsidR="00C310DF" w:rsidRPr="003860AD" w:rsidRDefault="00C310DF" w:rsidP="00C310DF">
            <w:pPr>
              <w:cnfStyle w:val="000000100000"/>
              <w:rPr>
                <w:rFonts w:ascii="Verdana" w:hAnsi="Verdana" w:cs="Arial"/>
                <w:color w:val="000000"/>
                <w:sz w:val="22"/>
                <w:szCs w:val="22"/>
                <w:lang w:val="es-CO" w:eastAsia="es-CO"/>
              </w:rPr>
            </w:pPr>
          </w:p>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Valle del Cauca</w:t>
            </w:r>
          </w:p>
        </w:tc>
        <w:tc>
          <w:tcPr>
            <w:tcW w:w="1604"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Ovejas, Los Palmitos, San Onofre, Toluviejo, Chalán, Colosó, Morroa, San Antonio de Palmito</w:t>
            </w:r>
          </w:p>
        </w:tc>
        <w:tc>
          <w:tcPr>
            <w:tcW w:w="1136" w:type="pct"/>
            <w:vAlign w:val="center"/>
          </w:tcPr>
          <w:p w:rsidR="00C310DF" w:rsidRPr="003860AD" w:rsidRDefault="00C310DF" w:rsidP="00C310DF">
            <w:pPr>
              <w:cnfStyle w:val="000000100000"/>
              <w:rPr>
                <w:rFonts w:ascii="Verdana" w:hAnsi="Verdana" w:cs="Arial"/>
                <w:color w:val="000000"/>
                <w:sz w:val="22"/>
                <w:szCs w:val="22"/>
                <w:lang w:val="es-CO" w:eastAsia="es-CO"/>
              </w:rPr>
            </w:pPr>
          </w:p>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Asociación de Familiares de Víctimas de Trujillo, AFAVIT.</w:t>
            </w:r>
          </w:p>
        </w:tc>
      </w:tr>
      <w:tr w:rsidR="00C310DF" w:rsidRPr="003860AD" w:rsidTr="00C310DF">
        <w:trPr>
          <w:trHeight w:val="289"/>
          <w:jc w:val="center"/>
        </w:trPr>
        <w:tc>
          <w:tcPr>
            <w:cnfStyle w:val="001000000000"/>
            <w:tcW w:w="270" w:type="pct"/>
            <w:vMerge w:val="restart"/>
            <w:vAlign w:val="center"/>
            <w:hideMark/>
          </w:tcPr>
          <w:p w:rsidR="00C310DF" w:rsidRPr="003860AD" w:rsidRDefault="00C310DF" w:rsidP="00C310DF">
            <w:pPr>
              <w:jc w:val="center"/>
              <w:rPr>
                <w:rFonts w:ascii="Verdana" w:hAnsi="Verdana" w:cs="Arial"/>
                <w:b w:val="0"/>
                <w:color w:val="000000"/>
                <w:sz w:val="22"/>
                <w:szCs w:val="22"/>
                <w:lang w:val="es-CO" w:eastAsia="es-CO"/>
              </w:rPr>
            </w:pPr>
            <w:r w:rsidRPr="003860AD">
              <w:rPr>
                <w:rFonts w:ascii="Verdana" w:hAnsi="Verdana" w:cs="Arial"/>
                <w:b w:val="0"/>
                <w:color w:val="000000"/>
                <w:sz w:val="22"/>
                <w:szCs w:val="22"/>
                <w:lang w:val="es-CO" w:eastAsia="es-CO"/>
              </w:rPr>
              <w:t>10</w:t>
            </w:r>
          </w:p>
        </w:tc>
        <w:tc>
          <w:tcPr>
            <w:tcW w:w="1393" w:type="pct"/>
            <w:vMerge w:val="restar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Salón del Nunca Más</w:t>
            </w:r>
          </w:p>
        </w:tc>
        <w:tc>
          <w:tcPr>
            <w:tcW w:w="598" w:type="pct"/>
            <w:vMerge w:val="restar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Antioquia</w:t>
            </w:r>
          </w:p>
        </w:tc>
        <w:tc>
          <w:tcPr>
            <w:tcW w:w="1604"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Trujillo</w:t>
            </w:r>
          </w:p>
        </w:tc>
        <w:tc>
          <w:tcPr>
            <w:tcW w:w="1136" w:type="pct"/>
            <w:vMerge w:val="restar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Asociación de Víctimas de Granada ASOVIDA</w:t>
            </w:r>
          </w:p>
        </w:tc>
      </w:tr>
      <w:tr w:rsidR="00C310DF" w:rsidRPr="003860AD" w:rsidTr="00C310DF">
        <w:trPr>
          <w:cnfStyle w:val="000000100000"/>
          <w:trHeight w:val="79"/>
          <w:jc w:val="center"/>
        </w:trPr>
        <w:tc>
          <w:tcPr>
            <w:cnfStyle w:val="001000000000"/>
            <w:tcW w:w="270" w:type="pct"/>
            <w:vMerge/>
            <w:vAlign w:val="center"/>
            <w:hideMark/>
          </w:tcPr>
          <w:p w:rsidR="00C310DF" w:rsidRPr="003860AD" w:rsidRDefault="00C310DF" w:rsidP="00C310DF">
            <w:pPr>
              <w:rPr>
                <w:rFonts w:ascii="Verdana" w:hAnsi="Verdana" w:cs="Arial"/>
                <w:b w:val="0"/>
                <w:color w:val="000000"/>
                <w:sz w:val="22"/>
                <w:szCs w:val="22"/>
                <w:lang w:val="es-CO" w:eastAsia="es-CO"/>
              </w:rPr>
            </w:pPr>
          </w:p>
        </w:tc>
        <w:tc>
          <w:tcPr>
            <w:tcW w:w="1393" w:type="pct"/>
            <w:vMerge/>
            <w:vAlign w:val="center"/>
          </w:tcPr>
          <w:p w:rsidR="00C310DF" w:rsidRPr="003860AD" w:rsidRDefault="00C310DF" w:rsidP="00C310DF">
            <w:pPr>
              <w:cnfStyle w:val="000000100000"/>
              <w:rPr>
                <w:rFonts w:ascii="Verdana" w:hAnsi="Verdana" w:cs="Arial"/>
                <w:color w:val="000000"/>
                <w:sz w:val="22"/>
                <w:szCs w:val="22"/>
                <w:lang w:val="es-CO" w:eastAsia="es-CO"/>
              </w:rPr>
            </w:pPr>
          </w:p>
        </w:tc>
        <w:tc>
          <w:tcPr>
            <w:tcW w:w="598" w:type="pct"/>
            <w:vMerge/>
            <w:vAlign w:val="center"/>
          </w:tcPr>
          <w:p w:rsidR="00C310DF" w:rsidRPr="003860AD" w:rsidRDefault="00C310DF" w:rsidP="00C310DF">
            <w:pPr>
              <w:cnfStyle w:val="000000100000"/>
              <w:rPr>
                <w:rFonts w:ascii="Verdana" w:hAnsi="Verdana" w:cs="Arial"/>
                <w:color w:val="000000"/>
                <w:sz w:val="22"/>
                <w:szCs w:val="22"/>
                <w:lang w:val="es-CO" w:eastAsia="es-CO"/>
              </w:rPr>
            </w:pPr>
          </w:p>
        </w:tc>
        <w:tc>
          <w:tcPr>
            <w:tcW w:w="1604"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Granada</w:t>
            </w:r>
          </w:p>
        </w:tc>
        <w:tc>
          <w:tcPr>
            <w:tcW w:w="1136" w:type="pct"/>
            <w:vMerge/>
            <w:vAlign w:val="center"/>
          </w:tcPr>
          <w:p w:rsidR="00C310DF" w:rsidRPr="003860AD" w:rsidRDefault="00C310DF" w:rsidP="00C310DF">
            <w:pPr>
              <w:cnfStyle w:val="000000100000"/>
              <w:rPr>
                <w:rFonts w:ascii="Verdana" w:hAnsi="Verdana" w:cs="Arial"/>
                <w:color w:val="000000"/>
                <w:sz w:val="22"/>
                <w:szCs w:val="22"/>
                <w:lang w:val="es-CO" w:eastAsia="es-CO"/>
              </w:rPr>
            </w:pPr>
          </w:p>
        </w:tc>
      </w:tr>
      <w:tr w:rsidR="00C310DF" w:rsidRPr="003860AD" w:rsidTr="00C310DF">
        <w:trPr>
          <w:trHeight w:val="443"/>
          <w:jc w:val="center"/>
        </w:trPr>
        <w:tc>
          <w:tcPr>
            <w:cnfStyle w:val="001000000000"/>
            <w:tcW w:w="270" w:type="pct"/>
            <w:vAlign w:val="center"/>
            <w:hideMark/>
          </w:tcPr>
          <w:p w:rsidR="00C310DF" w:rsidRPr="003860AD" w:rsidRDefault="00C310DF" w:rsidP="00C310DF">
            <w:pPr>
              <w:jc w:val="center"/>
              <w:rPr>
                <w:rFonts w:ascii="Verdana" w:hAnsi="Verdana" w:cs="Arial"/>
                <w:b w:val="0"/>
                <w:color w:val="000000"/>
                <w:sz w:val="22"/>
                <w:szCs w:val="22"/>
                <w:lang w:val="es-CO" w:eastAsia="es-CO"/>
              </w:rPr>
            </w:pPr>
            <w:r w:rsidRPr="003860AD">
              <w:rPr>
                <w:rFonts w:ascii="Verdana" w:hAnsi="Verdana" w:cs="Arial"/>
                <w:b w:val="0"/>
                <w:color w:val="000000"/>
                <w:sz w:val="22"/>
                <w:szCs w:val="22"/>
                <w:lang w:val="es-CO" w:eastAsia="es-CO"/>
              </w:rPr>
              <w:t>11</w:t>
            </w:r>
          </w:p>
        </w:tc>
        <w:tc>
          <w:tcPr>
            <w:tcW w:w="1393"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Plan de construcción de memoria y reparación del pueblo Wiwa en el departamento de La Guajira / Cartografía de la diáspora palenquera</w:t>
            </w:r>
          </w:p>
        </w:tc>
        <w:tc>
          <w:tcPr>
            <w:tcW w:w="598"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Magdalena</w:t>
            </w:r>
          </w:p>
        </w:tc>
        <w:tc>
          <w:tcPr>
            <w:tcW w:w="1604"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Aracataca</w:t>
            </w:r>
          </w:p>
        </w:tc>
        <w:tc>
          <w:tcPr>
            <w:tcW w:w="1136"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Consejo Comunitario Jacobo Pérez Escobar</w:t>
            </w:r>
          </w:p>
        </w:tc>
      </w:tr>
      <w:tr w:rsidR="00C310DF" w:rsidRPr="003860AD" w:rsidTr="00C310DF">
        <w:trPr>
          <w:cnfStyle w:val="000000100000"/>
          <w:trHeight w:val="60"/>
          <w:jc w:val="center"/>
        </w:trPr>
        <w:tc>
          <w:tcPr>
            <w:cnfStyle w:val="001000000000"/>
            <w:tcW w:w="270" w:type="pct"/>
            <w:vAlign w:val="center"/>
            <w:hideMark/>
          </w:tcPr>
          <w:p w:rsidR="00C310DF" w:rsidRPr="003860AD" w:rsidRDefault="00C310DF" w:rsidP="00C310DF">
            <w:pPr>
              <w:jc w:val="center"/>
              <w:rPr>
                <w:rFonts w:ascii="Verdana" w:hAnsi="Verdana" w:cs="Arial"/>
                <w:b w:val="0"/>
                <w:color w:val="000000"/>
                <w:sz w:val="22"/>
                <w:szCs w:val="22"/>
                <w:lang w:val="es-CO" w:eastAsia="es-CO"/>
              </w:rPr>
            </w:pPr>
            <w:r w:rsidRPr="003860AD">
              <w:rPr>
                <w:rFonts w:ascii="Verdana" w:hAnsi="Verdana" w:cs="Arial"/>
                <w:b w:val="0"/>
                <w:color w:val="000000"/>
                <w:sz w:val="22"/>
                <w:szCs w:val="22"/>
                <w:lang w:val="es-CO" w:eastAsia="es-CO"/>
              </w:rPr>
              <w:t>12</w:t>
            </w:r>
          </w:p>
        </w:tc>
        <w:tc>
          <w:tcPr>
            <w:tcW w:w="1393"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Saneamiento espiritual del territorio</w:t>
            </w:r>
          </w:p>
        </w:tc>
        <w:tc>
          <w:tcPr>
            <w:tcW w:w="598"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Cesar, La Guajira, Magdalena</w:t>
            </w:r>
          </w:p>
        </w:tc>
        <w:tc>
          <w:tcPr>
            <w:tcW w:w="1604"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No aplica</w:t>
            </w:r>
          </w:p>
        </w:tc>
        <w:tc>
          <w:tcPr>
            <w:tcW w:w="1136"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Delegación Wiwa</w:t>
            </w:r>
          </w:p>
        </w:tc>
      </w:tr>
      <w:tr w:rsidR="00C310DF" w:rsidRPr="003860AD" w:rsidTr="00C310DF">
        <w:trPr>
          <w:trHeight w:val="134"/>
          <w:jc w:val="center"/>
        </w:trPr>
        <w:tc>
          <w:tcPr>
            <w:cnfStyle w:val="001000000000"/>
            <w:tcW w:w="270" w:type="pct"/>
            <w:vAlign w:val="center"/>
            <w:hideMark/>
          </w:tcPr>
          <w:p w:rsidR="00C310DF" w:rsidRPr="003860AD" w:rsidRDefault="00C310DF" w:rsidP="00C310DF">
            <w:pPr>
              <w:jc w:val="center"/>
              <w:rPr>
                <w:rFonts w:ascii="Verdana" w:hAnsi="Verdana" w:cs="Arial"/>
                <w:b w:val="0"/>
                <w:color w:val="000000"/>
                <w:sz w:val="22"/>
                <w:szCs w:val="22"/>
                <w:lang w:val="es-CO" w:eastAsia="es-CO"/>
              </w:rPr>
            </w:pPr>
            <w:r w:rsidRPr="003860AD">
              <w:rPr>
                <w:rFonts w:ascii="Verdana" w:hAnsi="Verdana" w:cs="Arial"/>
                <w:b w:val="0"/>
                <w:color w:val="000000"/>
                <w:sz w:val="22"/>
                <w:szCs w:val="22"/>
                <w:lang w:val="es-CO" w:eastAsia="es-CO"/>
              </w:rPr>
              <w:t>13</w:t>
            </w:r>
          </w:p>
        </w:tc>
        <w:tc>
          <w:tcPr>
            <w:tcW w:w="1393"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Siguiendo las huellas</w:t>
            </w:r>
          </w:p>
        </w:tc>
        <w:tc>
          <w:tcPr>
            <w:tcW w:w="598"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Bolívar</w:t>
            </w:r>
          </w:p>
        </w:tc>
        <w:tc>
          <w:tcPr>
            <w:tcW w:w="1604"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Las Brisas</w:t>
            </w:r>
          </w:p>
        </w:tc>
        <w:tc>
          <w:tcPr>
            <w:tcW w:w="1136"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Asobrisas</w:t>
            </w:r>
          </w:p>
        </w:tc>
      </w:tr>
      <w:tr w:rsidR="00C310DF" w:rsidRPr="003860AD" w:rsidTr="00C310DF">
        <w:trPr>
          <w:cnfStyle w:val="000000100000"/>
          <w:trHeight w:val="60"/>
          <w:jc w:val="center"/>
        </w:trPr>
        <w:tc>
          <w:tcPr>
            <w:cnfStyle w:val="001000000000"/>
            <w:tcW w:w="270" w:type="pct"/>
            <w:vAlign w:val="center"/>
            <w:hideMark/>
          </w:tcPr>
          <w:p w:rsidR="00C310DF" w:rsidRPr="003860AD" w:rsidRDefault="00C310DF" w:rsidP="00C310DF">
            <w:pPr>
              <w:jc w:val="center"/>
              <w:rPr>
                <w:rFonts w:ascii="Verdana" w:hAnsi="Verdana" w:cs="Arial"/>
                <w:b w:val="0"/>
                <w:color w:val="000000"/>
                <w:sz w:val="22"/>
                <w:szCs w:val="22"/>
                <w:lang w:val="es-CO" w:eastAsia="es-CO"/>
              </w:rPr>
            </w:pPr>
            <w:r w:rsidRPr="003860AD">
              <w:rPr>
                <w:rFonts w:ascii="Verdana" w:hAnsi="Verdana" w:cs="Arial"/>
                <w:b w:val="0"/>
                <w:color w:val="000000"/>
                <w:sz w:val="22"/>
                <w:szCs w:val="22"/>
                <w:lang w:val="es-CO" w:eastAsia="es-CO"/>
              </w:rPr>
              <w:t>14</w:t>
            </w:r>
          </w:p>
        </w:tc>
        <w:tc>
          <w:tcPr>
            <w:tcW w:w="1393"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 xml:space="preserve">Tejiendo memoria y </w:t>
            </w:r>
            <w:r w:rsidRPr="003860AD">
              <w:rPr>
                <w:rFonts w:ascii="Verdana" w:hAnsi="Verdana" w:cs="Arial"/>
                <w:color w:val="000000"/>
                <w:sz w:val="22"/>
                <w:szCs w:val="22"/>
                <w:lang w:val="es-CO" w:eastAsia="es-CO"/>
              </w:rPr>
              <w:lastRenderedPageBreak/>
              <w:t>resistencia Awá</w:t>
            </w:r>
          </w:p>
        </w:tc>
        <w:tc>
          <w:tcPr>
            <w:tcW w:w="598"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lastRenderedPageBreak/>
              <w:t xml:space="preserve">Nariño y </w:t>
            </w:r>
            <w:r w:rsidRPr="003860AD">
              <w:rPr>
                <w:rFonts w:ascii="Verdana" w:hAnsi="Verdana" w:cs="Arial"/>
                <w:color w:val="000000"/>
                <w:sz w:val="22"/>
                <w:szCs w:val="22"/>
                <w:lang w:val="es-CO" w:eastAsia="es-CO"/>
              </w:rPr>
              <w:lastRenderedPageBreak/>
              <w:t>Putumayo</w:t>
            </w:r>
          </w:p>
        </w:tc>
        <w:tc>
          <w:tcPr>
            <w:tcW w:w="1604"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lastRenderedPageBreak/>
              <w:t xml:space="preserve">Barbacoas, Ricaurte, </w:t>
            </w:r>
            <w:r w:rsidRPr="003860AD">
              <w:rPr>
                <w:rFonts w:ascii="Verdana" w:hAnsi="Verdana" w:cs="Arial"/>
                <w:color w:val="000000"/>
                <w:sz w:val="22"/>
                <w:szCs w:val="22"/>
                <w:lang w:val="es-CO" w:eastAsia="es-CO"/>
              </w:rPr>
              <w:lastRenderedPageBreak/>
              <w:t>Puerto Asís y otros</w:t>
            </w:r>
          </w:p>
        </w:tc>
        <w:tc>
          <w:tcPr>
            <w:tcW w:w="1136"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lastRenderedPageBreak/>
              <w:t xml:space="preserve">Resguardo </w:t>
            </w:r>
            <w:r w:rsidRPr="003860AD">
              <w:rPr>
                <w:rFonts w:ascii="Verdana" w:hAnsi="Verdana" w:cs="Arial"/>
                <w:color w:val="000000"/>
                <w:sz w:val="22"/>
                <w:szCs w:val="22"/>
                <w:lang w:val="es-CO" w:eastAsia="es-CO"/>
              </w:rPr>
              <w:lastRenderedPageBreak/>
              <w:t>UNIPA / Gran familia Awá: Camawari, UNIPA, Asipap</w:t>
            </w:r>
          </w:p>
        </w:tc>
      </w:tr>
      <w:tr w:rsidR="00C310DF" w:rsidRPr="003860AD" w:rsidTr="00C310DF">
        <w:trPr>
          <w:trHeight w:val="118"/>
          <w:jc w:val="center"/>
        </w:trPr>
        <w:tc>
          <w:tcPr>
            <w:cnfStyle w:val="001000000000"/>
            <w:tcW w:w="270" w:type="pct"/>
            <w:vAlign w:val="center"/>
            <w:hideMark/>
          </w:tcPr>
          <w:p w:rsidR="00C310DF" w:rsidRPr="003860AD" w:rsidRDefault="00C310DF" w:rsidP="00C310DF">
            <w:pPr>
              <w:jc w:val="center"/>
              <w:rPr>
                <w:rFonts w:ascii="Verdana" w:hAnsi="Verdana" w:cs="Arial"/>
                <w:b w:val="0"/>
                <w:color w:val="000000"/>
                <w:sz w:val="22"/>
                <w:szCs w:val="22"/>
                <w:lang w:val="es-CO" w:eastAsia="es-CO"/>
              </w:rPr>
            </w:pPr>
            <w:r w:rsidRPr="003860AD">
              <w:rPr>
                <w:rFonts w:ascii="Verdana" w:hAnsi="Verdana" w:cs="Arial"/>
                <w:b w:val="0"/>
                <w:color w:val="000000"/>
                <w:sz w:val="22"/>
                <w:szCs w:val="22"/>
                <w:lang w:val="es-CO" w:eastAsia="es-CO"/>
              </w:rPr>
              <w:lastRenderedPageBreak/>
              <w:t>15</w:t>
            </w:r>
          </w:p>
        </w:tc>
        <w:tc>
          <w:tcPr>
            <w:tcW w:w="1393"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Bosque de la Memoria</w:t>
            </w:r>
          </w:p>
        </w:tc>
        <w:tc>
          <w:tcPr>
            <w:tcW w:w="598"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Meta</w:t>
            </w:r>
          </w:p>
        </w:tc>
        <w:tc>
          <w:tcPr>
            <w:tcW w:w="1604"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San Martín</w:t>
            </w:r>
          </w:p>
        </w:tc>
        <w:tc>
          <w:tcPr>
            <w:tcW w:w="1136" w:type="pct"/>
            <w:vAlign w:val="center"/>
          </w:tcPr>
          <w:p w:rsidR="00C310DF" w:rsidRPr="003860AD" w:rsidRDefault="00C310DF" w:rsidP="00C310DF">
            <w:pPr>
              <w:cnfStyle w:val="000000000000"/>
              <w:rPr>
                <w:rFonts w:ascii="Verdana" w:hAnsi="Verdana" w:cs="Arial"/>
                <w:color w:val="000000"/>
                <w:sz w:val="22"/>
                <w:szCs w:val="22"/>
                <w:lang w:val="es-CO" w:eastAsia="es-CO"/>
              </w:rPr>
            </w:pPr>
          </w:p>
        </w:tc>
      </w:tr>
      <w:tr w:rsidR="00C310DF" w:rsidRPr="003860AD" w:rsidTr="00C310DF">
        <w:trPr>
          <w:cnfStyle w:val="000000100000"/>
          <w:trHeight w:val="77"/>
          <w:jc w:val="center"/>
        </w:trPr>
        <w:tc>
          <w:tcPr>
            <w:cnfStyle w:val="001000000000"/>
            <w:tcW w:w="270" w:type="pct"/>
            <w:vAlign w:val="center"/>
          </w:tcPr>
          <w:p w:rsidR="00C310DF" w:rsidRPr="003860AD" w:rsidRDefault="00C310DF" w:rsidP="00C310DF">
            <w:pPr>
              <w:jc w:val="center"/>
              <w:rPr>
                <w:rFonts w:ascii="Verdana" w:hAnsi="Verdana" w:cs="Arial"/>
                <w:b w:val="0"/>
                <w:color w:val="000000"/>
                <w:sz w:val="22"/>
                <w:szCs w:val="22"/>
                <w:lang w:val="es-CO" w:eastAsia="es-CO"/>
              </w:rPr>
            </w:pPr>
            <w:r w:rsidRPr="003860AD">
              <w:rPr>
                <w:rFonts w:ascii="Verdana" w:hAnsi="Verdana" w:cs="Arial"/>
                <w:b w:val="0"/>
                <w:color w:val="000000"/>
                <w:sz w:val="22"/>
                <w:szCs w:val="22"/>
                <w:lang w:val="es-CO" w:eastAsia="es-CO"/>
              </w:rPr>
              <w:t>16</w:t>
            </w:r>
          </w:p>
        </w:tc>
        <w:tc>
          <w:tcPr>
            <w:tcW w:w="1393"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Teatro por la paz</w:t>
            </w:r>
          </w:p>
        </w:tc>
        <w:tc>
          <w:tcPr>
            <w:tcW w:w="598"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Nariño</w:t>
            </w:r>
          </w:p>
        </w:tc>
        <w:tc>
          <w:tcPr>
            <w:tcW w:w="1604"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Tumaco</w:t>
            </w:r>
          </w:p>
        </w:tc>
        <w:tc>
          <w:tcPr>
            <w:tcW w:w="1136"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Teatro por la paz</w:t>
            </w:r>
          </w:p>
        </w:tc>
      </w:tr>
      <w:tr w:rsidR="00C310DF" w:rsidRPr="003860AD" w:rsidTr="00C310DF">
        <w:trPr>
          <w:trHeight w:val="77"/>
          <w:jc w:val="center"/>
        </w:trPr>
        <w:tc>
          <w:tcPr>
            <w:cnfStyle w:val="001000000000"/>
            <w:tcW w:w="270" w:type="pct"/>
            <w:vAlign w:val="center"/>
          </w:tcPr>
          <w:p w:rsidR="00C310DF" w:rsidRPr="003860AD" w:rsidRDefault="00C310DF" w:rsidP="00C310DF">
            <w:pPr>
              <w:jc w:val="center"/>
              <w:rPr>
                <w:rFonts w:ascii="Verdana" w:hAnsi="Verdana" w:cs="Arial"/>
                <w:b w:val="0"/>
                <w:color w:val="000000"/>
                <w:sz w:val="22"/>
                <w:szCs w:val="22"/>
                <w:lang w:val="es-CO" w:eastAsia="es-CO"/>
              </w:rPr>
            </w:pPr>
            <w:r w:rsidRPr="003860AD">
              <w:rPr>
                <w:rFonts w:ascii="Verdana" w:hAnsi="Verdana" w:cs="Arial"/>
                <w:b w:val="0"/>
                <w:color w:val="000000"/>
                <w:sz w:val="22"/>
                <w:szCs w:val="22"/>
                <w:lang w:val="es-CO" w:eastAsia="es-CO"/>
              </w:rPr>
              <w:t>17</w:t>
            </w:r>
          </w:p>
        </w:tc>
        <w:tc>
          <w:tcPr>
            <w:tcW w:w="1393"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Agroarte</w:t>
            </w:r>
          </w:p>
        </w:tc>
        <w:tc>
          <w:tcPr>
            <w:tcW w:w="598"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Sin información</w:t>
            </w:r>
          </w:p>
        </w:tc>
        <w:tc>
          <w:tcPr>
            <w:tcW w:w="1604"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Sin información</w:t>
            </w:r>
          </w:p>
        </w:tc>
        <w:tc>
          <w:tcPr>
            <w:tcW w:w="1136"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Sin información</w:t>
            </w:r>
          </w:p>
        </w:tc>
      </w:tr>
      <w:tr w:rsidR="00C310DF" w:rsidRPr="003860AD" w:rsidTr="00C310DF">
        <w:trPr>
          <w:cnfStyle w:val="000000100000"/>
          <w:trHeight w:val="77"/>
          <w:jc w:val="center"/>
        </w:trPr>
        <w:tc>
          <w:tcPr>
            <w:cnfStyle w:val="001000000000"/>
            <w:tcW w:w="270" w:type="pct"/>
            <w:vAlign w:val="center"/>
          </w:tcPr>
          <w:p w:rsidR="00C310DF" w:rsidRPr="003860AD" w:rsidRDefault="00C310DF" w:rsidP="00C310DF">
            <w:pPr>
              <w:jc w:val="center"/>
              <w:rPr>
                <w:rFonts w:ascii="Verdana" w:hAnsi="Verdana" w:cs="Arial"/>
                <w:b w:val="0"/>
                <w:color w:val="000000"/>
                <w:sz w:val="22"/>
                <w:szCs w:val="22"/>
                <w:lang w:val="es-CO" w:eastAsia="es-CO"/>
              </w:rPr>
            </w:pPr>
            <w:r w:rsidRPr="003860AD">
              <w:rPr>
                <w:rFonts w:ascii="Verdana" w:hAnsi="Verdana" w:cs="Arial"/>
                <w:b w:val="0"/>
                <w:color w:val="000000"/>
                <w:sz w:val="22"/>
                <w:szCs w:val="22"/>
                <w:lang w:val="es-CO" w:eastAsia="es-CO"/>
              </w:rPr>
              <w:t>18</w:t>
            </w:r>
          </w:p>
        </w:tc>
        <w:tc>
          <w:tcPr>
            <w:tcW w:w="1393"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Cuenta La 13</w:t>
            </w:r>
          </w:p>
        </w:tc>
        <w:tc>
          <w:tcPr>
            <w:tcW w:w="598"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Antioquia</w:t>
            </w:r>
          </w:p>
        </w:tc>
        <w:tc>
          <w:tcPr>
            <w:tcW w:w="1604"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Medellín</w:t>
            </w:r>
          </w:p>
        </w:tc>
        <w:tc>
          <w:tcPr>
            <w:tcW w:w="1136"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Cuenta La 13</w:t>
            </w:r>
          </w:p>
        </w:tc>
      </w:tr>
      <w:tr w:rsidR="00C310DF" w:rsidRPr="003860AD" w:rsidTr="00C310DF">
        <w:trPr>
          <w:trHeight w:val="77"/>
          <w:jc w:val="center"/>
        </w:trPr>
        <w:tc>
          <w:tcPr>
            <w:cnfStyle w:val="001000000000"/>
            <w:tcW w:w="270" w:type="pct"/>
            <w:vAlign w:val="center"/>
          </w:tcPr>
          <w:p w:rsidR="00C310DF" w:rsidRPr="003860AD" w:rsidRDefault="00C310DF" w:rsidP="00C310DF">
            <w:pPr>
              <w:jc w:val="center"/>
              <w:rPr>
                <w:rFonts w:ascii="Verdana" w:hAnsi="Verdana" w:cs="Arial"/>
                <w:b w:val="0"/>
                <w:color w:val="000000"/>
                <w:sz w:val="22"/>
                <w:szCs w:val="22"/>
                <w:lang w:val="es-CO" w:eastAsia="es-CO"/>
              </w:rPr>
            </w:pPr>
            <w:r w:rsidRPr="003860AD">
              <w:rPr>
                <w:rFonts w:ascii="Verdana" w:hAnsi="Verdana" w:cs="Arial"/>
                <w:b w:val="0"/>
                <w:color w:val="000000"/>
                <w:sz w:val="22"/>
                <w:szCs w:val="22"/>
                <w:lang w:val="es-CO" w:eastAsia="es-CO"/>
              </w:rPr>
              <w:t>19</w:t>
            </w:r>
          </w:p>
        </w:tc>
        <w:tc>
          <w:tcPr>
            <w:tcW w:w="1393"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Red élite de hip-hop</w:t>
            </w:r>
          </w:p>
        </w:tc>
        <w:tc>
          <w:tcPr>
            <w:tcW w:w="598"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Antioquia</w:t>
            </w:r>
          </w:p>
        </w:tc>
        <w:tc>
          <w:tcPr>
            <w:tcW w:w="1604"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Medellín</w:t>
            </w:r>
          </w:p>
        </w:tc>
        <w:tc>
          <w:tcPr>
            <w:tcW w:w="1136"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Sin información</w:t>
            </w:r>
          </w:p>
        </w:tc>
      </w:tr>
      <w:tr w:rsidR="00C310DF" w:rsidRPr="003860AD" w:rsidTr="00C310DF">
        <w:trPr>
          <w:cnfStyle w:val="000000100000"/>
          <w:trHeight w:val="77"/>
          <w:jc w:val="center"/>
        </w:trPr>
        <w:tc>
          <w:tcPr>
            <w:cnfStyle w:val="001000000000"/>
            <w:tcW w:w="270" w:type="pct"/>
            <w:vAlign w:val="center"/>
          </w:tcPr>
          <w:p w:rsidR="00C310DF" w:rsidRPr="003860AD" w:rsidRDefault="00C310DF" w:rsidP="00C310DF">
            <w:pPr>
              <w:jc w:val="center"/>
              <w:rPr>
                <w:rFonts w:ascii="Verdana" w:hAnsi="Verdana" w:cs="Arial"/>
                <w:b w:val="0"/>
                <w:color w:val="000000"/>
                <w:sz w:val="22"/>
                <w:szCs w:val="22"/>
                <w:lang w:val="es-CO" w:eastAsia="es-CO"/>
              </w:rPr>
            </w:pPr>
            <w:r w:rsidRPr="003860AD">
              <w:rPr>
                <w:rFonts w:ascii="Verdana" w:hAnsi="Verdana" w:cs="Arial"/>
                <w:b w:val="0"/>
                <w:color w:val="000000"/>
                <w:sz w:val="22"/>
                <w:szCs w:val="22"/>
                <w:lang w:val="es-CO" w:eastAsia="es-CO"/>
              </w:rPr>
              <w:t>20</w:t>
            </w:r>
          </w:p>
        </w:tc>
        <w:tc>
          <w:tcPr>
            <w:tcW w:w="1393"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Museo comunitario de El Placer</w:t>
            </w:r>
          </w:p>
        </w:tc>
        <w:tc>
          <w:tcPr>
            <w:tcW w:w="598"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Putumayo</w:t>
            </w:r>
          </w:p>
        </w:tc>
        <w:tc>
          <w:tcPr>
            <w:tcW w:w="1604"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El Placer</w:t>
            </w:r>
          </w:p>
        </w:tc>
        <w:tc>
          <w:tcPr>
            <w:tcW w:w="1136" w:type="pct"/>
            <w:vAlign w:val="center"/>
          </w:tcPr>
          <w:p w:rsidR="00C310DF" w:rsidRPr="003860AD" w:rsidRDefault="00C310DF" w:rsidP="00C310DF">
            <w:pPr>
              <w:cnfStyle w:val="0000001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Comunidad de El Placer</w:t>
            </w:r>
          </w:p>
        </w:tc>
      </w:tr>
      <w:tr w:rsidR="00C310DF" w:rsidRPr="003860AD" w:rsidTr="00C310DF">
        <w:trPr>
          <w:trHeight w:val="77"/>
          <w:jc w:val="center"/>
        </w:trPr>
        <w:tc>
          <w:tcPr>
            <w:cnfStyle w:val="001000000000"/>
            <w:tcW w:w="270" w:type="pct"/>
            <w:vAlign w:val="center"/>
          </w:tcPr>
          <w:p w:rsidR="00C310DF" w:rsidRPr="003860AD" w:rsidRDefault="00C310DF" w:rsidP="00C310DF">
            <w:pPr>
              <w:jc w:val="center"/>
              <w:rPr>
                <w:rFonts w:ascii="Verdana" w:hAnsi="Verdana" w:cs="Arial"/>
                <w:b w:val="0"/>
                <w:color w:val="000000"/>
                <w:sz w:val="22"/>
                <w:szCs w:val="22"/>
                <w:lang w:val="es-CO" w:eastAsia="es-CO"/>
              </w:rPr>
            </w:pPr>
            <w:r w:rsidRPr="003860AD">
              <w:rPr>
                <w:rFonts w:ascii="Verdana" w:hAnsi="Verdana" w:cs="Arial"/>
                <w:b w:val="0"/>
                <w:color w:val="000000"/>
                <w:sz w:val="22"/>
                <w:szCs w:val="22"/>
                <w:lang w:val="es-CO" w:eastAsia="es-CO"/>
              </w:rPr>
              <w:t>21</w:t>
            </w:r>
          </w:p>
        </w:tc>
        <w:tc>
          <w:tcPr>
            <w:tcW w:w="1393"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Casa Arana</w:t>
            </w:r>
          </w:p>
        </w:tc>
        <w:tc>
          <w:tcPr>
            <w:tcW w:w="598"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Amazonas</w:t>
            </w:r>
          </w:p>
        </w:tc>
        <w:tc>
          <w:tcPr>
            <w:tcW w:w="1604"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La Chorrera</w:t>
            </w:r>
          </w:p>
        </w:tc>
        <w:tc>
          <w:tcPr>
            <w:tcW w:w="1136" w:type="pct"/>
            <w:vAlign w:val="center"/>
          </w:tcPr>
          <w:p w:rsidR="00C310DF" w:rsidRPr="003860AD" w:rsidRDefault="00C310DF" w:rsidP="00C310DF">
            <w:pPr>
              <w:cnfStyle w:val="000000000000"/>
              <w:rPr>
                <w:rFonts w:ascii="Verdana" w:hAnsi="Verdana" w:cs="Arial"/>
                <w:color w:val="000000"/>
                <w:sz w:val="22"/>
                <w:szCs w:val="22"/>
                <w:lang w:val="es-CO" w:eastAsia="es-CO"/>
              </w:rPr>
            </w:pPr>
            <w:r w:rsidRPr="003860AD">
              <w:rPr>
                <w:rFonts w:ascii="Verdana" w:hAnsi="Verdana" w:cs="Arial"/>
                <w:color w:val="000000"/>
                <w:sz w:val="22"/>
                <w:szCs w:val="22"/>
                <w:lang w:val="es-CO" w:eastAsia="es-CO"/>
              </w:rPr>
              <w:t>AZICATH</w:t>
            </w:r>
          </w:p>
        </w:tc>
      </w:tr>
    </w:tbl>
    <w:p w:rsidR="00C310DF" w:rsidRPr="003860AD" w:rsidRDefault="00C310DF" w:rsidP="003860AD">
      <w:pPr>
        <w:pStyle w:val="Sinespaciado"/>
        <w:jc w:val="right"/>
        <w:rPr>
          <w:rFonts w:ascii="Verdana" w:hAnsi="Verdana" w:cs="Arial"/>
          <w:sz w:val="22"/>
          <w:lang w:val="es-CO"/>
        </w:rPr>
      </w:pPr>
      <w:r w:rsidRPr="003860AD">
        <w:rPr>
          <w:rFonts w:ascii="Verdana" w:hAnsi="Verdana" w:cs="Arial"/>
          <w:sz w:val="22"/>
          <w:lang w:val="es-CO"/>
        </w:rPr>
        <w:t>Fuente: ENT con base en información de Direcciones y Grupos del CNMH</w:t>
      </w:r>
    </w:p>
    <w:p w:rsidR="00C310DF" w:rsidRPr="00BC7F3F" w:rsidRDefault="00C310DF" w:rsidP="00C310DF">
      <w:pPr>
        <w:pStyle w:val="Sinespaciado"/>
        <w:jc w:val="both"/>
        <w:rPr>
          <w:rFonts w:ascii="Verdana" w:hAnsi="Verdana" w:cs="Arial"/>
          <w:lang w:val="es-CO"/>
        </w:rPr>
      </w:pPr>
    </w:p>
    <w:p w:rsidR="00C310DF" w:rsidRPr="00BC7F3F" w:rsidRDefault="00C310DF" w:rsidP="00C310DF">
      <w:pPr>
        <w:pStyle w:val="Sinespaciado"/>
        <w:contextualSpacing/>
        <w:jc w:val="both"/>
        <w:rPr>
          <w:rFonts w:ascii="Verdana" w:hAnsi="Verdana" w:cs="Arial"/>
          <w:lang w:val="es-CO"/>
        </w:rPr>
      </w:pPr>
      <w:r w:rsidRPr="00BC7F3F">
        <w:rPr>
          <w:rFonts w:ascii="Verdana" w:hAnsi="Verdana" w:cs="Arial"/>
          <w:lang w:val="es-CO"/>
        </w:rPr>
        <w:t>Específicamente la Estrategia Nación-Territorio diseñó los instrumentos técnicos para la formulación de las IMH como proyectos (en los casos en los que este resulte un apoyo pertinente para los procesos de memoria de las víctimas), y realizó un piloto para su validación y ajuste, apoyando a la Casa de la memoria de la costa pacífica nariñense (Tumaco, Nariño), para que diligenciara las herramientas correspondientes. El propósito de esta labor es el de brindarle a las IMH un mecanismo de planeación, de manera que puedan aclarar su horizonte de trabajo, comprender mejor sus propósitos, los requerimientos para concretarse, identificar posibles aliados y, en general, contar con mayores elementos para autogestionarse y buscar su sostenibilidad como procesos.</w:t>
      </w:r>
    </w:p>
    <w:p w:rsidR="00C310DF" w:rsidRPr="00BC7F3F" w:rsidRDefault="00C310DF" w:rsidP="00C310DF">
      <w:pPr>
        <w:pStyle w:val="Sinespaciado"/>
        <w:contextualSpacing/>
        <w:jc w:val="both"/>
        <w:rPr>
          <w:rFonts w:ascii="Verdana" w:hAnsi="Verdana" w:cs="Arial"/>
          <w:lang w:val="es-CO"/>
        </w:rPr>
      </w:pPr>
    </w:p>
    <w:p w:rsidR="00C310DF" w:rsidRPr="003860AD" w:rsidRDefault="00C310DF" w:rsidP="003860AD">
      <w:pPr>
        <w:pStyle w:val="Subttulo"/>
        <w:numPr>
          <w:ilvl w:val="1"/>
          <w:numId w:val="60"/>
        </w:numPr>
        <w:spacing w:after="0"/>
        <w:ind w:left="709" w:hanging="709"/>
        <w:contextualSpacing/>
        <w:outlineLvl w:val="2"/>
        <w:rPr>
          <w:rFonts w:ascii="Verdana" w:eastAsia="Arial" w:hAnsi="Verdana"/>
          <w:b/>
          <w:color w:val="4F81BD" w:themeColor="accent1"/>
          <w:sz w:val="24"/>
          <w:szCs w:val="24"/>
          <w:lang w:val="es-CO"/>
        </w:rPr>
      </w:pPr>
      <w:bookmarkStart w:id="120" w:name="_Toc411868595"/>
      <w:r w:rsidRPr="003860AD">
        <w:rPr>
          <w:rFonts w:ascii="Verdana" w:eastAsia="Arial" w:hAnsi="Verdana"/>
          <w:b/>
          <w:color w:val="4F81BD" w:themeColor="accent1"/>
          <w:sz w:val="24"/>
          <w:szCs w:val="24"/>
          <w:lang w:val="es-CO"/>
        </w:rPr>
        <w:t>Apoyo a acciones de memoria histórica de autoridades territoriales</w:t>
      </w:r>
      <w:bookmarkEnd w:id="120"/>
    </w:p>
    <w:p w:rsidR="00C310DF" w:rsidRPr="00BC7F3F" w:rsidRDefault="00C310DF" w:rsidP="00C310DF">
      <w:pPr>
        <w:spacing w:after="0" w:line="240" w:lineRule="auto"/>
        <w:contextualSpacing/>
        <w:jc w:val="both"/>
        <w:rPr>
          <w:rFonts w:ascii="Verdana" w:eastAsia="Cambria" w:hAnsi="Verdana" w:cs="Arial"/>
          <w:sz w:val="24"/>
          <w:szCs w:val="24"/>
        </w:rPr>
      </w:pPr>
    </w:p>
    <w:p w:rsidR="00C310DF" w:rsidRPr="00BC7F3F" w:rsidRDefault="00C310DF" w:rsidP="00C310DF">
      <w:pPr>
        <w:spacing w:after="0" w:line="240" w:lineRule="auto"/>
        <w:contextualSpacing/>
        <w:jc w:val="both"/>
        <w:rPr>
          <w:rFonts w:ascii="Verdana" w:hAnsi="Verdana" w:cs="Arial"/>
          <w:sz w:val="24"/>
          <w:szCs w:val="24"/>
        </w:rPr>
      </w:pPr>
      <w:r w:rsidRPr="00BC7F3F">
        <w:rPr>
          <w:rFonts w:ascii="Verdana" w:eastAsia="Cambria" w:hAnsi="Verdana" w:cs="Arial"/>
          <w:sz w:val="24"/>
          <w:szCs w:val="24"/>
        </w:rPr>
        <w:t xml:space="preserve">El principal canal de articulación entre el CNMH y las acciones de memoria de entidades territoriales consiste en el apoyo técnico a la implementación de los Planes de Acción Territorial (PAT), de acuerdo con el Artículo 174 de la Ley 1448 de 2011 y al artículo 254 del Decreto 4800 de 2011. Estos planes contemplan las medidas de prevención, atención, asistencia y reparación integral a las víctimas del conflicto armado y, siguiendo el ciclo de planeación estatal, deben ser </w:t>
      </w:r>
      <w:r w:rsidRPr="00BC7F3F">
        <w:rPr>
          <w:rFonts w:ascii="Verdana" w:eastAsia="Cambria" w:hAnsi="Verdana" w:cs="Arial"/>
          <w:sz w:val="24"/>
          <w:szCs w:val="24"/>
        </w:rPr>
        <w:lastRenderedPageBreak/>
        <w:t>construidos por las entidades territoriales con una vigencia de cuatro años (periodo de los mandatarios locales).</w:t>
      </w:r>
    </w:p>
    <w:p w:rsidR="00C310DF" w:rsidRPr="00BC7F3F" w:rsidRDefault="00C310DF" w:rsidP="00C310DF">
      <w:pPr>
        <w:spacing w:after="0" w:line="240" w:lineRule="auto"/>
        <w:contextualSpacing/>
        <w:jc w:val="both"/>
        <w:rPr>
          <w:rFonts w:ascii="Verdana" w:eastAsia="Cambria" w:hAnsi="Verdana" w:cs="Arial"/>
          <w:sz w:val="24"/>
          <w:szCs w:val="24"/>
        </w:rPr>
      </w:pPr>
    </w:p>
    <w:p w:rsidR="00C310DF" w:rsidRPr="00BC7F3F" w:rsidRDefault="00C310DF" w:rsidP="00C310DF">
      <w:pPr>
        <w:spacing w:after="0" w:line="240" w:lineRule="auto"/>
        <w:contextualSpacing/>
        <w:jc w:val="both"/>
        <w:rPr>
          <w:rFonts w:ascii="Verdana" w:hAnsi="Verdana" w:cs="Arial"/>
          <w:sz w:val="24"/>
          <w:szCs w:val="24"/>
        </w:rPr>
      </w:pPr>
      <w:r w:rsidRPr="00BC7F3F">
        <w:rPr>
          <w:rFonts w:ascii="Verdana" w:eastAsia="Cambria" w:hAnsi="Verdana" w:cs="Arial"/>
          <w:sz w:val="24"/>
          <w:szCs w:val="24"/>
        </w:rPr>
        <w:t>Los PAT deben guardar coherencia tanto con el Plan Nacional de Atención y Reparación Integral a Víctimas y los Planes de Desarrollo Territorial, como con las herramientas presupuestales del Estado bajo el Marco Fiscal de Mediano Plazo. Bajo este marco, la ENT ha venido diseñando herramientas para la planeación, la gestión y evaluación de las acciones desarrolladas por autoridades territoriales en el marco del cumplimiento del Deber de Memoria del Estado.</w:t>
      </w:r>
    </w:p>
    <w:p w:rsidR="00C310DF" w:rsidRPr="00BC7F3F" w:rsidRDefault="00C310DF" w:rsidP="00C310DF">
      <w:pPr>
        <w:spacing w:after="0" w:line="240" w:lineRule="auto"/>
        <w:contextualSpacing/>
        <w:jc w:val="both"/>
        <w:rPr>
          <w:rFonts w:ascii="Verdana" w:eastAsia="Cambria" w:hAnsi="Verdana" w:cs="Arial"/>
          <w:sz w:val="24"/>
          <w:szCs w:val="24"/>
        </w:rPr>
      </w:pPr>
    </w:p>
    <w:p w:rsidR="00C310DF" w:rsidRPr="00BC7F3F" w:rsidRDefault="00C310DF" w:rsidP="00C310DF">
      <w:pPr>
        <w:spacing w:after="0" w:line="240" w:lineRule="auto"/>
        <w:contextualSpacing/>
        <w:jc w:val="both"/>
        <w:rPr>
          <w:rFonts w:ascii="Verdana" w:eastAsia="Cambria" w:hAnsi="Verdana" w:cs="Arial"/>
          <w:sz w:val="24"/>
          <w:szCs w:val="24"/>
        </w:rPr>
      </w:pPr>
      <w:r w:rsidRPr="00BC7F3F">
        <w:rPr>
          <w:rFonts w:ascii="Verdana" w:eastAsia="Cambria" w:hAnsi="Verdana" w:cs="Arial"/>
          <w:sz w:val="24"/>
          <w:szCs w:val="24"/>
        </w:rPr>
        <w:t>En este sentido, los siguientes son los logros puntuales para 2014:</w:t>
      </w:r>
    </w:p>
    <w:p w:rsidR="00C310DF" w:rsidRPr="00BC7F3F" w:rsidRDefault="00C310DF" w:rsidP="00C310DF">
      <w:pPr>
        <w:spacing w:after="0" w:line="240" w:lineRule="auto"/>
        <w:contextualSpacing/>
        <w:jc w:val="both"/>
        <w:rPr>
          <w:rFonts w:ascii="Verdana" w:hAnsi="Verdana" w:cs="Arial"/>
          <w:sz w:val="24"/>
          <w:szCs w:val="24"/>
        </w:rPr>
      </w:pPr>
    </w:p>
    <w:p w:rsidR="00C310DF" w:rsidRPr="003860AD" w:rsidRDefault="00C310DF" w:rsidP="00905C49">
      <w:pPr>
        <w:numPr>
          <w:ilvl w:val="0"/>
          <w:numId w:val="66"/>
        </w:numPr>
        <w:spacing w:after="0" w:line="240" w:lineRule="auto"/>
        <w:contextualSpacing/>
        <w:jc w:val="both"/>
        <w:rPr>
          <w:rFonts w:ascii="Verdana" w:hAnsi="Verdana" w:cs="Arial"/>
          <w:i/>
          <w:sz w:val="24"/>
          <w:szCs w:val="24"/>
        </w:rPr>
      </w:pPr>
      <w:r w:rsidRPr="003860AD">
        <w:rPr>
          <w:rFonts w:ascii="Verdana" w:eastAsia="Cambria" w:hAnsi="Verdana" w:cs="Arial"/>
          <w:i/>
          <w:sz w:val="24"/>
          <w:szCs w:val="24"/>
        </w:rPr>
        <w:t>Implementación de dos convenios interinstitucionales con autoridades territoriales, concretamente con las Gobernaciones de Nariño y Meta.</w:t>
      </w:r>
    </w:p>
    <w:p w:rsidR="00C310DF" w:rsidRPr="00BC7F3F" w:rsidRDefault="00C310DF" w:rsidP="00C310DF">
      <w:pPr>
        <w:spacing w:after="0" w:line="240" w:lineRule="auto"/>
        <w:contextualSpacing/>
        <w:jc w:val="both"/>
        <w:rPr>
          <w:rFonts w:ascii="Verdana" w:eastAsia="Cambria" w:hAnsi="Verdana" w:cs="Arial"/>
          <w:sz w:val="24"/>
          <w:szCs w:val="24"/>
        </w:rPr>
      </w:pPr>
    </w:p>
    <w:p w:rsidR="00C310DF" w:rsidRPr="00BC7F3F" w:rsidRDefault="00C310DF" w:rsidP="00C310DF">
      <w:pPr>
        <w:spacing w:after="0" w:line="240" w:lineRule="auto"/>
        <w:contextualSpacing/>
        <w:jc w:val="both"/>
        <w:rPr>
          <w:rFonts w:ascii="Verdana" w:eastAsia="Cambria" w:hAnsi="Verdana" w:cs="Arial"/>
          <w:sz w:val="24"/>
          <w:szCs w:val="24"/>
        </w:rPr>
      </w:pPr>
      <w:r w:rsidRPr="00BC7F3F">
        <w:rPr>
          <w:rFonts w:ascii="Verdana" w:eastAsia="Cambria" w:hAnsi="Verdana" w:cs="Arial"/>
          <w:sz w:val="24"/>
          <w:szCs w:val="24"/>
        </w:rPr>
        <w:t xml:space="preserve">Con la Gobernación de Nariño el plan de acción contempló la realización de un diplomado en memoria histórica, la asesoría al Observatorio de DDHH en materia de archivos de DDHH y la asesoría para la construcción de un lugar de memoria. </w:t>
      </w:r>
    </w:p>
    <w:p w:rsidR="00C310DF" w:rsidRPr="00BC7F3F" w:rsidRDefault="00C310DF" w:rsidP="00C310DF">
      <w:pPr>
        <w:spacing w:after="0" w:line="240" w:lineRule="auto"/>
        <w:contextualSpacing/>
        <w:jc w:val="both"/>
        <w:rPr>
          <w:rFonts w:ascii="Verdana" w:eastAsia="Cambria" w:hAnsi="Verdana" w:cs="Arial"/>
          <w:sz w:val="24"/>
          <w:szCs w:val="24"/>
        </w:rPr>
      </w:pPr>
    </w:p>
    <w:p w:rsidR="00C310DF" w:rsidRPr="00BC7F3F" w:rsidRDefault="00C310DF" w:rsidP="00C310DF">
      <w:pPr>
        <w:spacing w:after="0" w:line="240" w:lineRule="auto"/>
        <w:contextualSpacing/>
        <w:jc w:val="both"/>
        <w:rPr>
          <w:rFonts w:ascii="Verdana" w:eastAsia="Cambria" w:hAnsi="Verdana" w:cs="Arial"/>
          <w:sz w:val="24"/>
          <w:szCs w:val="24"/>
        </w:rPr>
      </w:pPr>
      <w:r w:rsidRPr="00BC7F3F">
        <w:rPr>
          <w:rFonts w:ascii="Verdana" w:eastAsia="Cambria" w:hAnsi="Verdana" w:cs="Arial"/>
          <w:sz w:val="24"/>
          <w:szCs w:val="24"/>
        </w:rPr>
        <w:t xml:space="preserve">Con la Gobernación del Meta, las obligaciones del CNMH consistían en la asesoría técnica para un proceso de reconstrucción de la memoria en perspectiva de la definición de lugares de memoria en El Castillo y en Villavicencio. </w:t>
      </w:r>
    </w:p>
    <w:p w:rsidR="00C310DF" w:rsidRPr="00BC7F3F" w:rsidRDefault="00C310DF" w:rsidP="00C310DF">
      <w:pPr>
        <w:spacing w:after="0" w:line="240" w:lineRule="auto"/>
        <w:contextualSpacing/>
        <w:jc w:val="both"/>
        <w:rPr>
          <w:rFonts w:ascii="Verdana" w:hAnsi="Verdana" w:cs="Arial"/>
          <w:sz w:val="24"/>
          <w:szCs w:val="24"/>
        </w:rPr>
      </w:pPr>
    </w:p>
    <w:p w:rsidR="00C310DF" w:rsidRPr="003860AD" w:rsidRDefault="00C310DF" w:rsidP="00905C49">
      <w:pPr>
        <w:numPr>
          <w:ilvl w:val="0"/>
          <w:numId w:val="66"/>
        </w:numPr>
        <w:spacing w:after="0" w:line="240" w:lineRule="auto"/>
        <w:contextualSpacing/>
        <w:jc w:val="both"/>
        <w:rPr>
          <w:rFonts w:ascii="Verdana" w:hAnsi="Verdana" w:cs="Arial"/>
          <w:i/>
          <w:sz w:val="24"/>
          <w:szCs w:val="24"/>
        </w:rPr>
      </w:pPr>
      <w:r w:rsidRPr="003860AD">
        <w:rPr>
          <w:rFonts w:ascii="Verdana" w:eastAsia="Cambria" w:hAnsi="Verdana" w:cs="Arial"/>
          <w:i/>
          <w:sz w:val="24"/>
          <w:szCs w:val="24"/>
        </w:rPr>
        <w:t>Elaboración de una cartilla para autoridades territoriales en asuntos de memoria histórica.</w:t>
      </w:r>
    </w:p>
    <w:p w:rsidR="00C310DF" w:rsidRPr="003860AD" w:rsidRDefault="00C310DF" w:rsidP="00905C49">
      <w:pPr>
        <w:numPr>
          <w:ilvl w:val="0"/>
          <w:numId w:val="66"/>
        </w:numPr>
        <w:spacing w:after="0" w:line="240" w:lineRule="auto"/>
        <w:contextualSpacing/>
        <w:jc w:val="both"/>
        <w:rPr>
          <w:rFonts w:ascii="Verdana" w:eastAsia="Cambria" w:hAnsi="Verdana" w:cs="Arial"/>
          <w:i/>
          <w:sz w:val="24"/>
          <w:szCs w:val="24"/>
        </w:rPr>
      </w:pPr>
      <w:r w:rsidRPr="003860AD">
        <w:rPr>
          <w:rFonts w:ascii="Verdana" w:eastAsia="Cambria" w:hAnsi="Verdana" w:cs="Arial"/>
          <w:i/>
          <w:sz w:val="24"/>
          <w:szCs w:val="24"/>
        </w:rPr>
        <w:t>Construcción de planes de trabajo para siete territorios focalizados para la realización de pilotos de asistencia técnica a autoridades territoriales en materia de memoria histórica</w:t>
      </w:r>
    </w:p>
    <w:p w:rsidR="00C310DF" w:rsidRPr="003860AD" w:rsidRDefault="00C310DF" w:rsidP="00905C49">
      <w:pPr>
        <w:numPr>
          <w:ilvl w:val="0"/>
          <w:numId w:val="66"/>
        </w:numPr>
        <w:spacing w:after="0" w:line="240" w:lineRule="auto"/>
        <w:contextualSpacing/>
        <w:jc w:val="both"/>
        <w:rPr>
          <w:rFonts w:ascii="Verdana" w:hAnsi="Verdana" w:cs="Arial"/>
          <w:i/>
          <w:sz w:val="24"/>
          <w:szCs w:val="24"/>
        </w:rPr>
      </w:pPr>
      <w:r w:rsidRPr="003860AD">
        <w:rPr>
          <w:rFonts w:ascii="Verdana" w:eastAsia="Cambria" w:hAnsi="Verdana" w:cs="Arial"/>
          <w:i/>
          <w:sz w:val="24"/>
          <w:szCs w:val="24"/>
        </w:rPr>
        <w:t xml:space="preserve">Ajuste </w:t>
      </w:r>
      <w:r w:rsidRPr="003860AD">
        <w:rPr>
          <w:rFonts w:ascii="Verdana" w:hAnsi="Verdana" w:cs="Arial"/>
          <w:i/>
          <w:sz w:val="24"/>
          <w:szCs w:val="24"/>
        </w:rPr>
        <w:t xml:space="preserve">de la metodología de asistencia técnica a autoridades territoriales con base en visitas de campo (pilotos) realizados en los municipios de Floridablanca, Quibdó, y Cartagena. </w:t>
      </w:r>
    </w:p>
    <w:p w:rsidR="00C310DF" w:rsidRPr="003860AD" w:rsidRDefault="00C310DF" w:rsidP="00905C49">
      <w:pPr>
        <w:numPr>
          <w:ilvl w:val="0"/>
          <w:numId w:val="66"/>
        </w:numPr>
        <w:spacing w:after="0" w:line="240" w:lineRule="auto"/>
        <w:contextualSpacing/>
        <w:jc w:val="both"/>
        <w:rPr>
          <w:rFonts w:ascii="Verdana" w:hAnsi="Verdana" w:cs="Arial"/>
          <w:i/>
          <w:sz w:val="24"/>
          <w:szCs w:val="24"/>
        </w:rPr>
      </w:pPr>
      <w:r w:rsidRPr="003860AD">
        <w:rPr>
          <w:rFonts w:ascii="Verdana" w:eastAsia="Cambria" w:hAnsi="Verdana" w:cs="Arial"/>
          <w:i/>
          <w:sz w:val="24"/>
          <w:szCs w:val="24"/>
        </w:rPr>
        <w:t xml:space="preserve">Construcción conjunta del plan de acción borrador del convenio de cooperación interinstitucional a suscribirse entre el CNMH y la  </w:t>
      </w:r>
      <w:r w:rsidRPr="003860AD">
        <w:rPr>
          <w:rFonts w:ascii="Verdana" w:hAnsi="Verdana" w:cs="Arial"/>
          <w:i/>
          <w:sz w:val="24"/>
          <w:szCs w:val="24"/>
        </w:rPr>
        <w:t xml:space="preserve">Gobernación de Antioquia. </w:t>
      </w:r>
    </w:p>
    <w:p w:rsidR="00C310DF" w:rsidRPr="003860AD" w:rsidRDefault="00C310DF" w:rsidP="00905C49">
      <w:pPr>
        <w:numPr>
          <w:ilvl w:val="0"/>
          <w:numId w:val="66"/>
        </w:numPr>
        <w:spacing w:after="0" w:line="240" w:lineRule="auto"/>
        <w:contextualSpacing/>
        <w:jc w:val="both"/>
        <w:rPr>
          <w:rFonts w:ascii="Verdana" w:hAnsi="Verdana" w:cs="Arial"/>
          <w:i/>
          <w:sz w:val="24"/>
          <w:szCs w:val="24"/>
        </w:rPr>
      </w:pPr>
      <w:r w:rsidRPr="003860AD">
        <w:rPr>
          <w:rFonts w:ascii="Verdana" w:hAnsi="Verdana" w:cs="Arial"/>
          <w:i/>
          <w:sz w:val="24"/>
          <w:szCs w:val="24"/>
        </w:rPr>
        <w:t>Construcción de documentos de contexto para cada uno de los departamentos focalizados por el CNMH en 2014. Su objetivo es identificar los actores, dinámicas, riesgos y ventajas de la intervención de una entidad en el territorio y orientar la programación bajo principios de acción sin daño.</w:t>
      </w:r>
    </w:p>
    <w:p w:rsidR="00C310DF" w:rsidRPr="003860AD" w:rsidRDefault="00C310DF" w:rsidP="00905C49">
      <w:pPr>
        <w:numPr>
          <w:ilvl w:val="0"/>
          <w:numId w:val="66"/>
        </w:numPr>
        <w:spacing w:after="0" w:line="240" w:lineRule="auto"/>
        <w:contextualSpacing/>
        <w:jc w:val="both"/>
        <w:rPr>
          <w:rFonts w:ascii="Verdana" w:hAnsi="Verdana" w:cs="Arial"/>
          <w:i/>
          <w:sz w:val="24"/>
          <w:szCs w:val="24"/>
        </w:rPr>
      </w:pPr>
      <w:r w:rsidRPr="003860AD">
        <w:rPr>
          <w:rFonts w:ascii="Verdana" w:eastAsia="Cambria" w:hAnsi="Verdana" w:cs="Arial"/>
          <w:i/>
          <w:sz w:val="24"/>
          <w:szCs w:val="24"/>
        </w:rPr>
        <w:lastRenderedPageBreak/>
        <w:t xml:space="preserve">Participación en talleres de sensibilización a autoridades locales como talleres de ajuste de PAT’s, Comités Sectoriales DPS, Estrategia SNARIV en el territorio de la Unidad de Víctimas, entre otros escenarios institucionales. </w:t>
      </w:r>
    </w:p>
    <w:p w:rsidR="00C310DF" w:rsidRPr="00BC7F3F" w:rsidRDefault="00C310DF" w:rsidP="00C310DF">
      <w:pPr>
        <w:pStyle w:val="Sinespaciado"/>
        <w:contextualSpacing/>
        <w:jc w:val="both"/>
        <w:rPr>
          <w:rFonts w:ascii="Verdana" w:hAnsi="Verdana" w:cs="Arial"/>
          <w:lang w:val="es-CO"/>
        </w:rPr>
      </w:pPr>
    </w:p>
    <w:p w:rsidR="00C310DF" w:rsidRPr="003860AD" w:rsidRDefault="00C310DF" w:rsidP="003860AD">
      <w:pPr>
        <w:pStyle w:val="Subttulo"/>
        <w:numPr>
          <w:ilvl w:val="1"/>
          <w:numId w:val="60"/>
        </w:numPr>
        <w:spacing w:after="0"/>
        <w:ind w:left="709" w:hanging="709"/>
        <w:contextualSpacing/>
        <w:outlineLvl w:val="2"/>
        <w:rPr>
          <w:rFonts w:ascii="Verdana" w:eastAsia="Arial" w:hAnsi="Verdana"/>
          <w:b/>
          <w:color w:val="4F81BD" w:themeColor="accent1"/>
          <w:sz w:val="24"/>
          <w:szCs w:val="24"/>
          <w:lang w:val="es-CO"/>
        </w:rPr>
      </w:pPr>
      <w:bookmarkStart w:id="121" w:name="_Toc411868596"/>
      <w:r w:rsidRPr="003860AD">
        <w:rPr>
          <w:rFonts w:ascii="Verdana" w:eastAsia="Arial" w:hAnsi="Verdana"/>
          <w:b/>
          <w:color w:val="4F81BD" w:themeColor="accent1"/>
          <w:sz w:val="24"/>
          <w:szCs w:val="24"/>
          <w:lang w:val="es-CO"/>
        </w:rPr>
        <w:t>Acciones para el diseño, implementación y evaluación de medidas de satisfacción en el marco del Subcomité de Medidas de Satisfacción</w:t>
      </w:r>
      <w:bookmarkEnd w:id="121"/>
      <w:r w:rsidRPr="003860AD">
        <w:rPr>
          <w:rFonts w:ascii="Verdana" w:eastAsia="Arial" w:hAnsi="Verdana"/>
          <w:b/>
          <w:color w:val="4F81BD" w:themeColor="accent1"/>
          <w:sz w:val="24"/>
          <w:szCs w:val="24"/>
          <w:lang w:val="es-CO"/>
        </w:rPr>
        <w:t xml:space="preserve"> </w:t>
      </w:r>
    </w:p>
    <w:p w:rsidR="00C310DF" w:rsidRPr="00BC7F3F" w:rsidRDefault="00C310DF" w:rsidP="00C310D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contextualSpacing/>
        <w:jc w:val="both"/>
        <w:rPr>
          <w:rFonts w:ascii="Verdana" w:eastAsia="Arial Narrow Bold" w:hAnsi="Verdana" w:cs="Arial"/>
        </w:rPr>
      </w:pPr>
    </w:p>
    <w:p w:rsidR="00C310DF" w:rsidRPr="00BC7F3F" w:rsidRDefault="00C310DF" w:rsidP="00C310D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contextualSpacing/>
        <w:jc w:val="both"/>
        <w:rPr>
          <w:rFonts w:ascii="Verdana" w:hAnsi="Verdana" w:cs="Arial"/>
          <w:color w:val="auto"/>
        </w:rPr>
      </w:pPr>
      <w:r w:rsidRPr="00BC7F3F">
        <w:rPr>
          <w:rFonts w:ascii="Verdana" w:hAnsi="Verdana" w:cs="Arial"/>
        </w:rPr>
        <w:t xml:space="preserve">El CNMH y concretamente la Estrategia Nación – Territorio tiene a su cargo la Secretaría Técnica del Subcomité de Medidas de Satisfacción y ha liderado y dinamizado las acciones conjuntas que se realizan en el marco del mismo. En la vigencia 2014, se </w:t>
      </w:r>
      <w:r w:rsidRPr="00BC7F3F">
        <w:rPr>
          <w:rFonts w:ascii="Verdana" w:hAnsi="Verdana" w:cs="Arial"/>
          <w:color w:val="auto"/>
        </w:rPr>
        <w:t xml:space="preserve">realizaron cinco sesiones plenarias de acuerdo al reglamento interno y al plan operativo aprobado institucionalmente el 6 de marzo. Contando las 20 sesiones de las mesas técnicas se realizaron un total de 25 encuentros entre las entidades. </w:t>
      </w:r>
    </w:p>
    <w:p w:rsidR="00C310DF" w:rsidRPr="00BC7F3F" w:rsidRDefault="00C310DF" w:rsidP="00C310DF">
      <w:pPr>
        <w:tabs>
          <w:tab w:val="num" w:pos="720"/>
        </w:tabs>
        <w:spacing w:after="0" w:line="240" w:lineRule="auto"/>
        <w:ind w:right="-57"/>
        <w:contextualSpacing/>
        <w:jc w:val="both"/>
        <w:rPr>
          <w:rFonts w:ascii="Verdana" w:eastAsia="Cambria" w:hAnsi="Verdana" w:cs="Arial"/>
          <w:sz w:val="24"/>
          <w:szCs w:val="24"/>
        </w:rPr>
      </w:pPr>
    </w:p>
    <w:p w:rsidR="00C310DF" w:rsidRPr="00BC7F3F" w:rsidRDefault="00C310DF" w:rsidP="00C310DF">
      <w:pPr>
        <w:tabs>
          <w:tab w:val="num" w:pos="720"/>
        </w:tabs>
        <w:spacing w:after="0" w:line="240" w:lineRule="auto"/>
        <w:ind w:right="-57"/>
        <w:contextualSpacing/>
        <w:jc w:val="both"/>
        <w:rPr>
          <w:rFonts w:ascii="Verdana" w:eastAsia="Cambria" w:hAnsi="Verdana" w:cs="Arial"/>
          <w:sz w:val="24"/>
          <w:szCs w:val="24"/>
        </w:rPr>
      </w:pPr>
      <w:r w:rsidRPr="00BC7F3F">
        <w:rPr>
          <w:rFonts w:ascii="Verdana" w:eastAsia="Cambria" w:hAnsi="Verdana" w:cs="Arial"/>
          <w:sz w:val="24"/>
          <w:szCs w:val="24"/>
        </w:rPr>
        <w:t xml:space="preserve">Durante el año 2014 el Subcomité priorizó como acción estratégica la elaboración de lineamientos para la formulación e implementación de medidas de satisfacción. En este sentido, vale la pena mencionar la elaboración y aprobación de los documentos: “Lineamientos para llevar a cabo procesos de reconocimiento público de la responsabilidad en la comisión de hechos victimizantes y solicitudes de perdón público” y “Guía conceptual sobre medidas de satisfacción”. Asimismo, se elaboró y aprobó el documento “Lineamientos para la implementación de medidas de satisfacción en Planes de Reparación Colectiva”. En la quinta y última plenaria de 2014, se identificó como una prioridad la socialización de los lineamientos conceptuales y prácticos en territorio, así como la creación de herramientas y piezas pedagógicas para la sensibilización en el tema de medidas de satisfacción. </w:t>
      </w:r>
    </w:p>
    <w:p w:rsidR="00C310DF" w:rsidRPr="00BC7F3F" w:rsidRDefault="00C310DF" w:rsidP="00C310DF">
      <w:pPr>
        <w:tabs>
          <w:tab w:val="num" w:pos="720"/>
        </w:tabs>
        <w:spacing w:after="0" w:line="240" w:lineRule="auto"/>
        <w:ind w:right="850"/>
        <w:contextualSpacing/>
        <w:jc w:val="both"/>
        <w:rPr>
          <w:rFonts w:ascii="Verdana" w:eastAsia="Cambria" w:hAnsi="Verdana" w:cs="Arial"/>
          <w:sz w:val="24"/>
          <w:szCs w:val="24"/>
        </w:rPr>
      </w:pPr>
    </w:p>
    <w:p w:rsidR="00C310DF" w:rsidRPr="00BC7F3F" w:rsidRDefault="00C310DF" w:rsidP="00C310DF">
      <w:pPr>
        <w:tabs>
          <w:tab w:val="num" w:pos="720"/>
        </w:tabs>
        <w:spacing w:after="0" w:line="240" w:lineRule="auto"/>
        <w:ind w:right="-113"/>
        <w:contextualSpacing/>
        <w:jc w:val="both"/>
        <w:rPr>
          <w:rFonts w:ascii="Verdana" w:eastAsia="Cambria" w:hAnsi="Verdana" w:cs="Arial"/>
          <w:sz w:val="24"/>
          <w:szCs w:val="24"/>
        </w:rPr>
      </w:pPr>
      <w:r w:rsidRPr="00BC7F3F">
        <w:rPr>
          <w:rFonts w:ascii="Verdana" w:eastAsia="Cambria" w:hAnsi="Verdana" w:cs="Arial"/>
          <w:sz w:val="24"/>
          <w:szCs w:val="24"/>
        </w:rPr>
        <w:t xml:space="preserve">Mediante la Estrategia “Todas y todos somos sistema” se incorporó en el Subcomité de Medidas de Satisfacción el enfoque territorial y para ello se creó la mesa técnica de fortalecimiento y sensibilización en el tema de medidas de satisfacción. Inicialmente esta mesa se creó en el marco de la estrategia y para la socialización de lineamientos en medidas de satisfacción a los Comités Territoriales de Justicia Transicional. Sin embargo, por solicitud de los delegados de la Mesa Nacional de Participación, se incluyeron a las Mesas Departamentales de Participación en este proceso. </w:t>
      </w:r>
    </w:p>
    <w:p w:rsidR="00C310DF" w:rsidRPr="00BC7F3F" w:rsidRDefault="00C310DF" w:rsidP="00C310DF">
      <w:pPr>
        <w:tabs>
          <w:tab w:val="num" w:pos="720"/>
        </w:tabs>
        <w:spacing w:after="0" w:line="240" w:lineRule="auto"/>
        <w:ind w:right="850"/>
        <w:contextualSpacing/>
        <w:jc w:val="both"/>
        <w:rPr>
          <w:rFonts w:ascii="Verdana" w:eastAsia="Cambria" w:hAnsi="Verdana" w:cs="Arial"/>
          <w:sz w:val="24"/>
          <w:szCs w:val="24"/>
        </w:rPr>
      </w:pPr>
    </w:p>
    <w:p w:rsidR="00C310DF" w:rsidRPr="00BC7F3F" w:rsidRDefault="00C310DF" w:rsidP="00C310DF">
      <w:pPr>
        <w:tabs>
          <w:tab w:val="num" w:pos="720"/>
        </w:tabs>
        <w:spacing w:after="0" w:line="240" w:lineRule="auto"/>
        <w:ind w:right="-113"/>
        <w:contextualSpacing/>
        <w:jc w:val="both"/>
        <w:rPr>
          <w:rFonts w:ascii="Verdana" w:eastAsia="Cambria" w:hAnsi="Verdana" w:cs="Arial"/>
          <w:sz w:val="24"/>
          <w:szCs w:val="24"/>
        </w:rPr>
      </w:pPr>
      <w:r w:rsidRPr="00BC7F3F">
        <w:rPr>
          <w:rFonts w:ascii="Verdana" w:eastAsia="Cambria" w:hAnsi="Verdana" w:cs="Arial"/>
          <w:sz w:val="24"/>
          <w:szCs w:val="24"/>
        </w:rPr>
        <w:lastRenderedPageBreak/>
        <w:t>A partir del criterio “No. de acciones de memoria histórica incluidas en los PATs”, para 2014 se priorizaron los departamentos de Cesar (por tener el más alto porcentaje) y Boyacá (por tener el más bajo porcentaje). Asimismo, se concertó el acompañamiento a las Mesas Departamentales de Participación del Chocó y Putumayo teniendo en cuenta la solicitud de los representantes de las víctimas y las acciones institucionales que adelantan entidades como el Centro Nacional de Memoria Histórica, Archivo General de la Nación, el Departamento para la Prosperidad Social y el Ministerio de Cultura en estos territorios.</w:t>
      </w:r>
    </w:p>
    <w:p w:rsidR="00C310DF" w:rsidRPr="00BC7F3F" w:rsidRDefault="00C310DF" w:rsidP="00C310DF">
      <w:pPr>
        <w:tabs>
          <w:tab w:val="num" w:pos="720"/>
        </w:tabs>
        <w:spacing w:after="0" w:line="240" w:lineRule="auto"/>
        <w:ind w:right="-113"/>
        <w:contextualSpacing/>
        <w:jc w:val="both"/>
        <w:rPr>
          <w:rFonts w:ascii="Verdana" w:eastAsia="Cambria" w:hAnsi="Verdana" w:cs="Arial"/>
          <w:sz w:val="24"/>
          <w:szCs w:val="24"/>
        </w:rPr>
      </w:pPr>
    </w:p>
    <w:p w:rsidR="00C310DF" w:rsidRPr="00BC7F3F" w:rsidRDefault="00C310DF" w:rsidP="00C310DF">
      <w:pPr>
        <w:tabs>
          <w:tab w:val="num" w:pos="720"/>
        </w:tabs>
        <w:spacing w:after="0" w:line="240" w:lineRule="auto"/>
        <w:ind w:right="-113"/>
        <w:contextualSpacing/>
        <w:jc w:val="both"/>
        <w:rPr>
          <w:rFonts w:ascii="Verdana" w:eastAsia="Cambria" w:hAnsi="Verdana" w:cs="Arial"/>
          <w:sz w:val="24"/>
          <w:szCs w:val="24"/>
        </w:rPr>
      </w:pPr>
      <w:r w:rsidRPr="00BC7F3F">
        <w:rPr>
          <w:rFonts w:ascii="Verdana" w:eastAsia="Cambria" w:hAnsi="Verdana" w:cs="Arial"/>
          <w:sz w:val="24"/>
          <w:szCs w:val="24"/>
        </w:rPr>
        <w:t xml:space="preserve">Específicamente, se realizó una sesión plenaria del Subcomité de Medidas de Satisfacción en la ciudad de Valledupar. A esta jornada asistieron los delegados al Subcomité del nivel nacional y sus pares territoriales. En dicho espacio, se presentaron los principales avances del Subcomité, se dio un intercambio de experiencias frente a la implementación de medidas de satisfacción en el departamento y se hizo un ejercicio participativo el cual serviría de insumo para la construcción de un borrador de Plan Operativo para el Subcomité de Medidas de Satisfacción del departamento. </w:t>
      </w:r>
    </w:p>
    <w:p w:rsidR="00C310DF" w:rsidRPr="00BC7F3F" w:rsidRDefault="00C310DF" w:rsidP="00C310DF">
      <w:pPr>
        <w:tabs>
          <w:tab w:val="num" w:pos="720"/>
        </w:tabs>
        <w:spacing w:after="0" w:line="240" w:lineRule="auto"/>
        <w:ind w:right="-113"/>
        <w:contextualSpacing/>
        <w:jc w:val="both"/>
        <w:rPr>
          <w:rFonts w:ascii="Verdana" w:eastAsia="Cambria" w:hAnsi="Verdana" w:cs="Arial"/>
          <w:sz w:val="24"/>
          <w:szCs w:val="24"/>
        </w:rPr>
      </w:pPr>
    </w:p>
    <w:p w:rsidR="00C310DF" w:rsidRPr="00BC7F3F" w:rsidRDefault="00C310DF" w:rsidP="00C310DF">
      <w:pPr>
        <w:tabs>
          <w:tab w:val="num" w:pos="720"/>
        </w:tabs>
        <w:spacing w:after="0" w:line="240" w:lineRule="auto"/>
        <w:ind w:right="-113"/>
        <w:contextualSpacing/>
        <w:jc w:val="both"/>
        <w:rPr>
          <w:rFonts w:ascii="Verdana" w:eastAsia="Cambria" w:hAnsi="Verdana" w:cs="Arial"/>
          <w:sz w:val="24"/>
          <w:szCs w:val="24"/>
        </w:rPr>
      </w:pPr>
      <w:r w:rsidRPr="00BC7F3F">
        <w:rPr>
          <w:rFonts w:ascii="Verdana" w:eastAsia="Cambria" w:hAnsi="Verdana" w:cs="Arial"/>
          <w:sz w:val="24"/>
          <w:szCs w:val="24"/>
        </w:rPr>
        <w:t xml:space="preserve">Además de lo anterior, se llevó a cabo una sesión de sensibilización en el tema de medidas de satisfacción a los miembros de la Mesa Departamental de Participación en la ciudad de Quibdó. Teniendo en cuenta dicha experiencia, para 2015 se considera una prioridad la socialización de lineamientos e intercambio de experiencias en el territorio. </w:t>
      </w:r>
    </w:p>
    <w:p w:rsidR="00C310DF" w:rsidRPr="00BC7F3F" w:rsidRDefault="00C310DF" w:rsidP="00C310DF">
      <w:pPr>
        <w:tabs>
          <w:tab w:val="num" w:pos="720"/>
        </w:tabs>
        <w:spacing w:after="0" w:line="240" w:lineRule="auto"/>
        <w:ind w:right="-113"/>
        <w:contextualSpacing/>
        <w:jc w:val="both"/>
        <w:rPr>
          <w:rFonts w:ascii="Verdana" w:eastAsia="Cambria" w:hAnsi="Verdana" w:cs="Arial"/>
          <w:sz w:val="24"/>
          <w:szCs w:val="24"/>
        </w:rPr>
      </w:pPr>
    </w:p>
    <w:p w:rsidR="00C310DF" w:rsidRPr="00BC7F3F" w:rsidRDefault="00C310DF" w:rsidP="00C310DF">
      <w:pPr>
        <w:tabs>
          <w:tab w:val="num" w:pos="720"/>
        </w:tabs>
        <w:spacing w:after="0" w:line="240" w:lineRule="auto"/>
        <w:ind w:right="-113"/>
        <w:contextualSpacing/>
        <w:jc w:val="both"/>
        <w:rPr>
          <w:rFonts w:ascii="Verdana" w:eastAsia="Cambria" w:hAnsi="Verdana" w:cs="Arial"/>
          <w:sz w:val="24"/>
          <w:szCs w:val="24"/>
        </w:rPr>
      </w:pPr>
      <w:r w:rsidRPr="00BC7F3F">
        <w:rPr>
          <w:rFonts w:ascii="Verdana" w:eastAsia="Cambria" w:hAnsi="Verdana" w:cs="Arial"/>
          <w:sz w:val="24"/>
          <w:szCs w:val="24"/>
        </w:rPr>
        <w:t xml:space="preserve">Los principales avances del Subcomité de Medidas de Satisfacción por cada línea de acción estratégica son los siguientes: </w:t>
      </w:r>
    </w:p>
    <w:p w:rsidR="00C310DF" w:rsidRPr="00BC7F3F" w:rsidRDefault="00C310DF" w:rsidP="00C310DF">
      <w:pPr>
        <w:tabs>
          <w:tab w:val="num" w:pos="720"/>
        </w:tabs>
        <w:spacing w:after="0" w:line="240" w:lineRule="auto"/>
        <w:ind w:right="-113"/>
        <w:contextualSpacing/>
        <w:jc w:val="both"/>
        <w:rPr>
          <w:rFonts w:ascii="Verdana" w:eastAsia="Cambria" w:hAnsi="Verdana" w:cs="Arial"/>
          <w:sz w:val="24"/>
          <w:szCs w:val="24"/>
        </w:rPr>
      </w:pPr>
    </w:p>
    <w:p w:rsidR="00C310DF" w:rsidRPr="00BC7F3F" w:rsidRDefault="00C310DF" w:rsidP="00C310DF">
      <w:pPr>
        <w:spacing w:after="0" w:line="240" w:lineRule="auto"/>
        <w:ind w:right="-113"/>
        <w:contextualSpacing/>
        <w:jc w:val="both"/>
        <w:rPr>
          <w:rFonts w:ascii="Verdana" w:eastAsia="Cambria" w:hAnsi="Verdana" w:cs="Arial"/>
          <w:i/>
          <w:sz w:val="24"/>
          <w:szCs w:val="24"/>
        </w:rPr>
      </w:pPr>
      <w:r w:rsidRPr="00BC7F3F">
        <w:rPr>
          <w:rFonts w:ascii="Verdana" w:eastAsia="Cambria" w:hAnsi="Verdana" w:cs="Arial"/>
          <w:i/>
          <w:sz w:val="24"/>
          <w:szCs w:val="24"/>
        </w:rPr>
        <w:t>Exención en la prestación del servicio militar obligatorio.</w:t>
      </w:r>
    </w:p>
    <w:p w:rsidR="00C310DF" w:rsidRPr="00BC7F3F" w:rsidRDefault="00C310DF" w:rsidP="00582BDE">
      <w:pPr>
        <w:pStyle w:val="Prrafodelista"/>
        <w:numPr>
          <w:ilvl w:val="0"/>
          <w:numId w:val="143"/>
        </w:numPr>
        <w:spacing w:after="0" w:line="240" w:lineRule="auto"/>
        <w:ind w:right="-113"/>
        <w:jc w:val="both"/>
        <w:rPr>
          <w:rFonts w:ascii="Verdana" w:eastAsia="Cambria" w:hAnsi="Verdana" w:cs="Arial"/>
          <w:sz w:val="24"/>
          <w:szCs w:val="24"/>
        </w:rPr>
      </w:pPr>
      <w:r w:rsidRPr="00BC7F3F">
        <w:rPr>
          <w:rFonts w:ascii="Verdana" w:eastAsia="Cambria" w:hAnsi="Verdana" w:cs="Arial"/>
          <w:sz w:val="24"/>
          <w:szCs w:val="24"/>
        </w:rPr>
        <w:t>Lanzamiento de la campaña “Con libreta en mano”</w:t>
      </w:r>
      <w:r w:rsidRPr="00BC7F3F">
        <w:rPr>
          <w:rFonts w:ascii="Verdana" w:eastAsia="Cambria" w:hAnsi="Verdana" w:cs="Arial"/>
          <w:sz w:val="24"/>
          <w:szCs w:val="24"/>
        </w:rPr>
        <w:footnoteReference w:id="14"/>
      </w:r>
      <w:r w:rsidRPr="00BC7F3F">
        <w:rPr>
          <w:rFonts w:ascii="Verdana" w:eastAsia="Cambria" w:hAnsi="Verdana" w:cs="Arial"/>
          <w:sz w:val="24"/>
          <w:szCs w:val="24"/>
        </w:rPr>
        <w:t>, a cargo de Unidad para las Víctimas y la Oficina de Prensa de la Jefatura de Reclutamiento y Control de Reservas.</w:t>
      </w:r>
    </w:p>
    <w:p w:rsidR="00C310DF" w:rsidRPr="00BC7F3F" w:rsidRDefault="00C310DF" w:rsidP="00582BDE">
      <w:pPr>
        <w:pStyle w:val="Prrafodelista"/>
        <w:numPr>
          <w:ilvl w:val="0"/>
          <w:numId w:val="143"/>
        </w:numPr>
        <w:spacing w:after="0" w:line="240" w:lineRule="auto"/>
        <w:ind w:right="-113"/>
        <w:jc w:val="both"/>
        <w:rPr>
          <w:rFonts w:ascii="Verdana" w:eastAsia="Cambria" w:hAnsi="Verdana" w:cs="Arial"/>
          <w:sz w:val="24"/>
          <w:szCs w:val="24"/>
        </w:rPr>
      </w:pPr>
      <w:r w:rsidRPr="00BC7F3F">
        <w:rPr>
          <w:rFonts w:ascii="Verdana" w:eastAsia="Cambria" w:hAnsi="Verdana" w:cs="Arial"/>
          <w:sz w:val="24"/>
          <w:szCs w:val="24"/>
        </w:rPr>
        <w:t>Jornadas especiales para la solución de la situación militar de las víctimas incluidas en el Registro Único de Víctimas.</w:t>
      </w:r>
    </w:p>
    <w:p w:rsidR="00C310DF" w:rsidRPr="00BC7F3F" w:rsidRDefault="00C310DF" w:rsidP="00582BDE">
      <w:pPr>
        <w:pStyle w:val="Prrafodelista"/>
        <w:numPr>
          <w:ilvl w:val="0"/>
          <w:numId w:val="143"/>
        </w:numPr>
        <w:spacing w:after="0" w:line="240" w:lineRule="auto"/>
        <w:ind w:right="-113"/>
        <w:jc w:val="both"/>
        <w:rPr>
          <w:rFonts w:ascii="Verdana" w:eastAsia="Cambria" w:hAnsi="Verdana" w:cs="Arial"/>
          <w:sz w:val="24"/>
          <w:szCs w:val="24"/>
        </w:rPr>
      </w:pPr>
      <w:r w:rsidRPr="00BC7F3F">
        <w:rPr>
          <w:rFonts w:ascii="Verdana" w:eastAsia="Cambria" w:hAnsi="Verdana" w:cs="Arial"/>
          <w:sz w:val="24"/>
          <w:szCs w:val="24"/>
        </w:rPr>
        <w:t>Elaboración de la proyección de los costos de elaboración de libretas militares para las víctimas del conflicto armado.</w:t>
      </w:r>
    </w:p>
    <w:p w:rsidR="00C310DF" w:rsidRPr="00BC7F3F" w:rsidRDefault="00C310DF" w:rsidP="00582BDE">
      <w:pPr>
        <w:pStyle w:val="Prrafodelista"/>
        <w:numPr>
          <w:ilvl w:val="0"/>
          <w:numId w:val="143"/>
        </w:numPr>
        <w:spacing w:after="0" w:line="240" w:lineRule="auto"/>
        <w:ind w:right="-113"/>
        <w:jc w:val="both"/>
        <w:rPr>
          <w:rFonts w:ascii="Verdana" w:eastAsia="Cambria" w:hAnsi="Verdana" w:cs="Arial"/>
          <w:sz w:val="24"/>
          <w:szCs w:val="24"/>
        </w:rPr>
      </w:pPr>
      <w:r w:rsidRPr="00BC7F3F">
        <w:rPr>
          <w:rFonts w:ascii="Verdana" w:eastAsia="Cambria" w:hAnsi="Verdana" w:cs="Arial"/>
          <w:sz w:val="24"/>
          <w:szCs w:val="24"/>
        </w:rPr>
        <w:lastRenderedPageBreak/>
        <w:t>Ajuste del Protocolo de intercambio de información y funcionamiento operativo de las medidas de exención a la prestación del servicio militar, desincorporación y entregas de libretas militares, en el cual, se fijó la exención de los costos relacionados de las libretas militares para las víctimas incluidas en el RUV.</w:t>
      </w:r>
    </w:p>
    <w:p w:rsidR="00C310DF" w:rsidRPr="00BC7F3F" w:rsidRDefault="00C310DF" w:rsidP="00C310DF">
      <w:pPr>
        <w:pStyle w:val="Prrafodelista"/>
        <w:spacing w:after="0" w:line="240" w:lineRule="auto"/>
        <w:ind w:right="-113"/>
        <w:jc w:val="both"/>
        <w:rPr>
          <w:rFonts w:ascii="Verdana" w:eastAsia="Cambria" w:hAnsi="Verdana" w:cs="Arial"/>
          <w:sz w:val="24"/>
          <w:szCs w:val="24"/>
        </w:rPr>
      </w:pPr>
    </w:p>
    <w:p w:rsidR="00C310DF" w:rsidRPr="00BC7F3F" w:rsidRDefault="00C310DF" w:rsidP="00C310DF">
      <w:pPr>
        <w:spacing w:after="0" w:line="240" w:lineRule="auto"/>
        <w:ind w:right="-113"/>
        <w:contextualSpacing/>
        <w:jc w:val="both"/>
        <w:rPr>
          <w:rFonts w:ascii="Verdana" w:eastAsia="Cambria" w:hAnsi="Verdana" w:cs="Arial"/>
          <w:sz w:val="24"/>
          <w:szCs w:val="24"/>
        </w:rPr>
      </w:pPr>
      <w:r w:rsidRPr="00BC7F3F">
        <w:rPr>
          <w:rFonts w:ascii="Verdana" w:eastAsia="Cambria" w:hAnsi="Verdana" w:cs="Arial"/>
          <w:sz w:val="24"/>
          <w:szCs w:val="24"/>
        </w:rPr>
        <w:t>Medidas simbólicas</w:t>
      </w:r>
    </w:p>
    <w:p w:rsidR="00C310DF" w:rsidRPr="003860AD" w:rsidRDefault="00C310DF" w:rsidP="00582BDE">
      <w:pPr>
        <w:pStyle w:val="Prrafodelista"/>
        <w:numPr>
          <w:ilvl w:val="0"/>
          <w:numId w:val="144"/>
        </w:numPr>
        <w:spacing w:after="0" w:line="240" w:lineRule="auto"/>
        <w:ind w:right="-113"/>
        <w:jc w:val="both"/>
        <w:rPr>
          <w:rFonts w:ascii="Verdana" w:eastAsia="Cambria" w:hAnsi="Verdana" w:cs="Arial"/>
          <w:sz w:val="24"/>
          <w:szCs w:val="24"/>
        </w:rPr>
      </w:pPr>
      <w:r w:rsidRPr="003860AD">
        <w:rPr>
          <w:rFonts w:ascii="Verdana" w:eastAsia="Cambria" w:hAnsi="Verdana" w:cs="Arial"/>
          <w:sz w:val="24"/>
          <w:szCs w:val="24"/>
        </w:rPr>
        <w:t>Aprobación del documento “Lineamientos para llevar a cabo procesos de reconocimiento público de la responsabilidad en la comisión de hechos victimizantes y solicitudes de perdón público”</w:t>
      </w:r>
    </w:p>
    <w:p w:rsidR="00C310DF" w:rsidRPr="003860AD" w:rsidRDefault="00C310DF" w:rsidP="00582BDE">
      <w:pPr>
        <w:pStyle w:val="Prrafodelista"/>
        <w:numPr>
          <w:ilvl w:val="0"/>
          <w:numId w:val="144"/>
        </w:numPr>
        <w:spacing w:after="0" w:line="240" w:lineRule="auto"/>
        <w:ind w:right="-113"/>
        <w:jc w:val="both"/>
        <w:rPr>
          <w:rFonts w:ascii="Verdana" w:eastAsia="Cambria" w:hAnsi="Verdana" w:cs="Arial"/>
          <w:sz w:val="24"/>
          <w:szCs w:val="24"/>
        </w:rPr>
      </w:pPr>
      <w:r w:rsidRPr="003860AD">
        <w:rPr>
          <w:rFonts w:ascii="Verdana" w:eastAsia="Cambria" w:hAnsi="Verdana" w:cs="Arial"/>
          <w:sz w:val="24"/>
          <w:szCs w:val="24"/>
        </w:rPr>
        <w:t xml:space="preserve">Elaboración del documento “Guía conceptual de medidas de satisfacción” </w:t>
      </w:r>
    </w:p>
    <w:p w:rsidR="00C310DF" w:rsidRPr="00BC7F3F" w:rsidRDefault="00C310DF" w:rsidP="00C310DF">
      <w:pPr>
        <w:pStyle w:val="Prrafodelista"/>
        <w:spacing w:after="0" w:line="240" w:lineRule="auto"/>
        <w:ind w:right="-113"/>
        <w:jc w:val="both"/>
        <w:rPr>
          <w:rFonts w:ascii="Verdana" w:eastAsia="Cambria" w:hAnsi="Verdana" w:cs="Arial"/>
          <w:sz w:val="24"/>
          <w:szCs w:val="24"/>
        </w:rPr>
      </w:pPr>
    </w:p>
    <w:p w:rsidR="00C310DF" w:rsidRPr="00BC7F3F" w:rsidRDefault="00C310DF" w:rsidP="00C310DF">
      <w:pPr>
        <w:spacing w:after="0" w:line="240" w:lineRule="auto"/>
        <w:ind w:right="-113"/>
        <w:contextualSpacing/>
        <w:jc w:val="both"/>
        <w:rPr>
          <w:rFonts w:ascii="Verdana" w:eastAsia="Cambria" w:hAnsi="Verdana" w:cs="Arial"/>
          <w:sz w:val="24"/>
          <w:szCs w:val="24"/>
        </w:rPr>
      </w:pPr>
      <w:r w:rsidRPr="00BC7F3F">
        <w:rPr>
          <w:rFonts w:ascii="Verdana" w:eastAsia="Cambria" w:hAnsi="Verdana" w:cs="Arial"/>
          <w:sz w:val="24"/>
          <w:szCs w:val="24"/>
        </w:rPr>
        <w:t>Medidas de Satisfacción y Reparaciones Colectivas</w:t>
      </w:r>
    </w:p>
    <w:p w:rsidR="00C310DF" w:rsidRPr="00BC7F3F" w:rsidRDefault="00C310DF" w:rsidP="00582BDE">
      <w:pPr>
        <w:pStyle w:val="Prrafodelista"/>
        <w:numPr>
          <w:ilvl w:val="0"/>
          <w:numId w:val="135"/>
        </w:numPr>
        <w:spacing w:after="0" w:line="240" w:lineRule="auto"/>
        <w:ind w:right="-113"/>
        <w:jc w:val="both"/>
        <w:rPr>
          <w:rFonts w:ascii="Verdana" w:eastAsia="Cambria" w:hAnsi="Verdana" w:cs="Arial"/>
          <w:sz w:val="24"/>
          <w:szCs w:val="24"/>
        </w:rPr>
      </w:pPr>
      <w:r w:rsidRPr="00BC7F3F">
        <w:rPr>
          <w:rFonts w:ascii="Verdana" w:eastAsia="Cambria" w:hAnsi="Verdana" w:cs="Arial"/>
          <w:sz w:val="24"/>
          <w:szCs w:val="24"/>
        </w:rPr>
        <w:t>Elaboración del documento “Lineamientos para la implementación de Medidas de Satisfacción en Planes de Reparación Colectiva”</w:t>
      </w:r>
    </w:p>
    <w:p w:rsidR="00C310DF" w:rsidRPr="00BC7F3F" w:rsidRDefault="00C310DF" w:rsidP="00C310DF">
      <w:pPr>
        <w:pStyle w:val="Prrafodelista"/>
        <w:spacing w:after="0" w:line="240" w:lineRule="auto"/>
        <w:ind w:right="-113"/>
        <w:jc w:val="both"/>
        <w:rPr>
          <w:rFonts w:ascii="Verdana" w:eastAsia="Cambria" w:hAnsi="Verdana" w:cs="Arial"/>
          <w:sz w:val="24"/>
          <w:szCs w:val="24"/>
        </w:rPr>
      </w:pPr>
    </w:p>
    <w:p w:rsidR="00C310DF" w:rsidRPr="00BC7F3F" w:rsidRDefault="00C310DF" w:rsidP="00C310DF">
      <w:pPr>
        <w:spacing w:after="0" w:line="240" w:lineRule="auto"/>
        <w:ind w:right="-113"/>
        <w:contextualSpacing/>
        <w:jc w:val="both"/>
        <w:rPr>
          <w:rFonts w:ascii="Verdana" w:eastAsia="Cambria" w:hAnsi="Verdana" w:cs="Arial"/>
          <w:sz w:val="24"/>
          <w:szCs w:val="24"/>
        </w:rPr>
      </w:pPr>
      <w:r w:rsidRPr="00BC7F3F">
        <w:rPr>
          <w:rFonts w:ascii="Verdana" w:eastAsia="Cambria" w:hAnsi="Verdana" w:cs="Arial"/>
          <w:sz w:val="24"/>
          <w:szCs w:val="24"/>
        </w:rPr>
        <w:t>Fortalecimiento a Comités Territoriales de Justicia Transicional y Mesa de Participación de Víctimas</w:t>
      </w:r>
    </w:p>
    <w:p w:rsidR="00C310DF" w:rsidRPr="00BC7F3F" w:rsidRDefault="00C310DF" w:rsidP="00582BDE">
      <w:pPr>
        <w:pStyle w:val="Prrafodelista"/>
        <w:numPr>
          <w:ilvl w:val="0"/>
          <w:numId w:val="135"/>
        </w:numPr>
        <w:spacing w:after="0" w:line="240" w:lineRule="auto"/>
        <w:ind w:right="-113"/>
        <w:jc w:val="both"/>
        <w:rPr>
          <w:rFonts w:ascii="Verdana" w:eastAsia="Cambria" w:hAnsi="Verdana" w:cs="Arial"/>
          <w:sz w:val="24"/>
          <w:szCs w:val="24"/>
        </w:rPr>
      </w:pPr>
      <w:r w:rsidRPr="00BC7F3F">
        <w:rPr>
          <w:rFonts w:ascii="Verdana" w:eastAsia="Cambria" w:hAnsi="Verdana" w:cs="Arial"/>
          <w:sz w:val="24"/>
          <w:szCs w:val="24"/>
        </w:rPr>
        <w:t>Sesión de sensibilización en el tema de medidas de satisfacción: Comité Territorial de Justicia Transicional – Valledupar, Cesar y Mesa de Participación – Quibdó, Chocó.</w:t>
      </w:r>
    </w:p>
    <w:p w:rsidR="00C310DF" w:rsidRPr="00BC7F3F" w:rsidRDefault="00C310DF" w:rsidP="00C310DF">
      <w:pPr>
        <w:spacing w:after="0" w:line="240" w:lineRule="auto"/>
        <w:contextualSpacing/>
        <w:jc w:val="both"/>
        <w:rPr>
          <w:rFonts w:ascii="Verdana" w:hAnsi="Verdana"/>
          <w:sz w:val="24"/>
          <w:szCs w:val="24"/>
        </w:rPr>
      </w:pPr>
    </w:p>
    <w:p w:rsidR="00C310DF" w:rsidRPr="006066E0" w:rsidRDefault="006066E0" w:rsidP="00C310DF">
      <w:pPr>
        <w:spacing w:after="0" w:line="240" w:lineRule="auto"/>
        <w:jc w:val="both"/>
        <w:rPr>
          <w:rFonts w:ascii="Verdana" w:hAnsi="Verdana"/>
          <w:b/>
          <w:color w:val="4F81BD" w:themeColor="accent1"/>
          <w:sz w:val="28"/>
          <w:szCs w:val="24"/>
        </w:rPr>
      </w:pPr>
      <w:r w:rsidRPr="006066E0">
        <w:rPr>
          <w:rFonts w:ascii="Verdana" w:hAnsi="Verdana"/>
          <w:b/>
          <w:noProof/>
          <w:color w:val="4F81BD" w:themeColor="accent1"/>
          <w:sz w:val="24"/>
          <w:szCs w:val="24"/>
          <w:lang w:eastAsia="es-CO"/>
        </w:rPr>
        <w:drawing>
          <wp:inline distT="0" distB="0" distL="0" distR="0">
            <wp:extent cx="216024" cy="216024"/>
            <wp:effectExtent l="19050" t="0" r="0" b="0"/>
            <wp:docPr id="66"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8100392" y="4797152"/>
                      <a:chExt cx="216024" cy="216024"/>
                    </a:xfrm>
                  </a:grpSpPr>
                  <a:sp>
                    <a:nvSpPr>
                      <a:cNvPr id="41" name="40 Rectángulo redondeado"/>
                      <a:cNvSpPr/>
                    </a:nvSpPr>
                    <a:spPr>
                      <a:xfrm>
                        <a:off x="8100392" y="4797152"/>
                        <a:ext cx="216024" cy="216024"/>
                      </a:xfrm>
                      <a:prstGeom prst="roundRect">
                        <a:avLst/>
                      </a:prstGeom>
                      <a:gradFill flip="none" rotWithShape="1">
                        <a:gsLst>
                          <a:gs pos="0">
                            <a:schemeClr val="bg1">
                              <a:lumMod val="85000"/>
                              <a:shade val="30000"/>
                              <a:satMod val="115000"/>
                            </a:schemeClr>
                          </a:gs>
                          <a:gs pos="50000">
                            <a:schemeClr val="bg1">
                              <a:lumMod val="85000"/>
                              <a:shade val="67500"/>
                              <a:satMod val="115000"/>
                            </a:schemeClr>
                          </a:gs>
                          <a:gs pos="100000">
                            <a:schemeClr val="bg1">
                              <a:lumMod val="85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hAnsi="Verdana"/>
          <w:b/>
          <w:color w:val="4F81BD" w:themeColor="accent1"/>
          <w:sz w:val="24"/>
          <w:szCs w:val="24"/>
        </w:rPr>
        <w:t xml:space="preserve">  </w:t>
      </w:r>
      <w:r w:rsidR="00C310DF" w:rsidRPr="006066E0">
        <w:rPr>
          <w:rFonts w:ascii="Verdana" w:hAnsi="Verdana"/>
          <w:b/>
          <w:color w:val="4F81BD" w:themeColor="accent1"/>
          <w:sz w:val="28"/>
          <w:szCs w:val="24"/>
        </w:rPr>
        <w:t>GESTIÓN</w:t>
      </w:r>
      <w:r w:rsidR="00C310DF" w:rsidRPr="006066E0">
        <w:rPr>
          <w:rFonts w:ascii="Verdana" w:hAnsi="Verdana"/>
          <w:b/>
          <w:color w:val="4F81BD" w:themeColor="accent1"/>
          <w:sz w:val="28"/>
          <w:szCs w:val="24"/>
        </w:rPr>
        <w:tab/>
        <w:t>ADMINISTRATIVA</w:t>
      </w:r>
    </w:p>
    <w:p w:rsidR="00C310DF" w:rsidRPr="00BC7F3F" w:rsidRDefault="00C310DF" w:rsidP="00C310DF">
      <w:pPr>
        <w:spacing w:after="0" w:line="240" w:lineRule="auto"/>
        <w:jc w:val="both"/>
        <w:rPr>
          <w:rFonts w:ascii="Verdana" w:hAnsi="Verdana"/>
          <w:b/>
          <w:color w:val="4F81BD" w:themeColor="accent1"/>
          <w:sz w:val="24"/>
          <w:szCs w:val="24"/>
        </w:rPr>
      </w:pPr>
    </w:p>
    <w:p w:rsidR="00C310DF" w:rsidRPr="006066E0" w:rsidRDefault="006066E0" w:rsidP="00582BDE">
      <w:pPr>
        <w:pStyle w:val="Subttulo"/>
        <w:numPr>
          <w:ilvl w:val="0"/>
          <w:numId w:val="136"/>
        </w:numPr>
        <w:spacing w:after="0"/>
        <w:contextualSpacing/>
        <w:outlineLvl w:val="1"/>
        <w:rPr>
          <w:rFonts w:ascii="Verdana" w:eastAsia="Arial" w:hAnsi="Verdana"/>
          <w:b/>
          <w:color w:val="4F81BD" w:themeColor="accent1"/>
          <w:sz w:val="24"/>
          <w:szCs w:val="24"/>
          <w:lang w:val="es-CO"/>
        </w:rPr>
      </w:pPr>
      <w:bookmarkStart w:id="122" w:name="_Toc412128206"/>
      <w:r w:rsidRPr="006066E0">
        <w:rPr>
          <w:rFonts w:ascii="Verdana" w:eastAsia="Arial" w:hAnsi="Verdana"/>
          <w:b/>
          <w:color w:val="4F81BD" w:themeColor="accent1"/>
          <w:sz w:val="24"/>
          <w:szCs w:val="24"/>
          <w:lang w:val="es-CO"/>
        </w:rPr>
        <w:t>GESTIÓN DEL TALENTO HUMANO</w:t>
      </w:r>
      <w:bookmarkEnd w:id="122"/>
    </w:p>
    <w:p w:rsidR="00C310DF" w:rsidRPr="006066E0" w:rsidRDefault="00C310DF" w:rsidP="006066E0">
      <w:pPr>
        <w:spacing w:after="0" w:line="240" w:lineRule="auto"/>
        <w:ind w:left="360" w:hanging="360"/>
        <w:rPr>
          <w:rFonts w:ascii="Verdana" w:hAnsi="Verdana"/>
          <w:color w:val="4F81BD" w:themeColor="accent1"/>
          <w:sz w:val="24"/>
          <w:szCs w:val="24"/>
          <w:lang w:eastAsia="es-ES"/>
        </w:rPr>
      </w:pPr>
    </w:p>
    <w:p w:rsidR="00C310DF" w:rsidRPr="006066E0" w:rsidRDefault="00C310DF" w:rsidP="00582BDE">
      <w:pPr>
        <w:pStyle w:val="Subttulo"/>
        <w:numPr>
          <w:ilvl w:val="1"/>
          <w:numId w:val="136"/>
        </w:numPr>
        <w:spacing w:after="0"/>
        <w:ind w:left="360" w:hanging="360"/>
        <w:contextualSpacing/>
        <w:outlineLvl w:val="2"/>
        <w:rPr>
          <w:rFonts w:ascii="Verdana" w:eastAsia="Arial" w:hAnsi="Verdana"/>
          <w:b/>
          <w:color w:val="4F81BD" w:themeColor="accent1"/>
          <w:sz w:val="24"/>
          <w:szCs w:val="24"/>
          <w:lang w:val="es-CO"/>
        </w:rPr>
      </w:pPr>
      <w:bookmarkStart w:id="123" w:name="_Toc412128207"/>
      <w:r w:rsidRPr="006066E0">
        <w:rPr>
          <w:rFonts w:ascii="Verdana" w:eastAsia="Arial" w:hAnsi="Verdana"/>
          <w:b/>
          <w:color w:val="4F81BD" w:themeColor="accent1"/>
          <w:sz w:val="24"/>
          <w:szCs w:val="24"/>
          <w:lang w:val="es-CO"/>
        </w:rPr>
        <w:t>Plan Institucional de Capacitación 2014:</w:t>
      </w:r>
      <w:bookmarkEnd w:id="123"/>
    </w:p>
    <w:p w:rsidR="00C310DF" w:rsidRPr="00BC7F3F" w:rsidRDefault="00C310DF" w:rsidP="00C310DF">
      <w:pPr>
        <w:spacing w:after="0" w:line="240" w:lineRule="auto"/>
        <w:contextualSpacing/>
        <w:jc w:val="both"/>
        <w:rPr>
          <w:rFonts w:ascii="Verdana" w:hAnsi="Verdana"/>
          <w:sz w:val="24"/>
          <w:szCs w:val="24"/>
          <w:lang w:val="es-MX"/>
        </w:rPr>
      </w:pPr>
    </w:p>
    <w:p w:rsidR="00C310DF" w:rsidRPr="00BC7F3F" w:rsidRDefault="00C310DF" w:rsidP="00C310DF">
      <w:pPr>
        <w:spacing w:after="0" w:line="240" w:lineRule="auto"/>
        <w:contextualSpacing/>
        <w:jc w:val="both"/>
        <w:rPr>
          <w:rFonts w:ascii="Verdana" w:eastAsiaTheme="minorEastAsia" w:hAnsi="Verdana"/>
          <w:noProof/>
          <w:sz w:val="24"/>
          <w:szCs w:val="24"/>
        </w:rPr>
      </w:pPr>
      <w:r w:rsidRPr="00BC7F3F">
        <w:rPr>
          <w:rFonts w:ascii="Verdana" w:hAnsi="Verdana"/>
          <w:sz w:val="24"/>
          <w:szCs w:val="24"/>
          <w:lang w:val="es-MX"/>
        </w:rPr>
        <w:t>Se emitió la Resolución No. 211 de 2014 por la cual  se establece el Sistema de Capacitación, Bienestar y Estímulos del Centro y se diseñó el Plan Institucional de Capacitación para el Centro.</w:t>
      </w:r>
    </w:p>
    <w:p w:rsidR="00C310DF" w:rsidRPr="00BC7F3F" w:rsidRDefault="00C310DF" w:rsidP="00C310DF">
      <w:pPr>
        <w:spacing w:after="0" w:line="240" w:lineRule="auto"/>
        <w:contextualSpacing/>
        <w:jc w:val="both"/>
        <w:rPr>
          <w:rFonts w:ascii="Verdana" w:hAnsi="Verdana"/>
          <w:sz w:val="24"/>
          <w:szCs w:val="24"/>
          <w:lang w:val="es-MX"/>
        </w:rPr>
      </w:pPr>
    </w:p>
    <w:p w:rsidR="00C310DF" w:rsidRPr="00BC7F3F" w:rsidRDefault="00C310DF" w:rsidP="00C310DF">
      <w:pPr>
        <w:spacing w:after="0" w:line="240" w:lineRule="auto"/>
        <w:contextualSpacing/>
        <w:jc w:val="both"/>
        <w:rPr>
          <w:rFonts w:ascii="Verdana" w:eastAsiaTheme="minorEastAsia" w:hAnsi="Verdana"/>
          <w:noProof/>
          <w:sz w:val="24"/>
          <w:szCs w:val="24"/>
          <w:lang w:val="es-ES_tradnl"/>
        </w:rPr>
      </w:pPr>
      <w:r w:rsidRPr="00BC7F3F">
        <w:rPr>
          <w:rFonts w:ascii="Verdana" w:hAnsi="Verdana"/>
          <w:sz w:val="24"/>
          <w:szCs w:val="24"/>
          <w:lang w:val="es-MX"/>
        </w:rPr>
        <w:t>Como</w:t>
      </w:r>
      <w:r w:rsidRPr="00BC7F3F">
        <w:rPr>
          <w:rFonts w:ascii="Verdana" w:eastAsiaTheme="minorEastAsia" w:hAnsi="Verdana"/>
          <w:noProof/>
          <w:sz w:val="24"/>
          <w:szCs w:val="24"/>
          <w:lang w:val="es-ES_tradnl"/>
        </w:rPr>
        <w:t xml:space="preserve"> actividades de capacitacion desarrolladas en 2014 tenemos las siguientes: </w:t>
      </w:r>
    </w:p>
    <w:p w:rsidR="00C310DF" w:rsidRPr="00BC7F3F" w:rsidRDefault="00C310DF" w:rsidP="00C310DF">
      <w:pPr>
        <w:spacing w:after="0" w:line="240" w:lineRule="auto"/>
        <w:contextualSpacing/>
        <w:jc w:val="both"/>
        <w:rPr>
          <w:rFonts w:ascii="Verdana" w:eastAsiaTheme="minorEastAsia" w:hAnsi="Verdana"/>
          <w:noProof/>
          <w:sz w:val="24"/>
          <w:szCs w:val="24"/>
          <w:lang w:val="es-ES_tradnl"/>
        </w:rPr>
      </w:pPr>
    </w:p>
    <w:tbl>
      <w:tblPr>
        <w:tblStyle w:val="Tabladecuadrcula4-nfasis11"/>
        <w:tblW w:w="4838" w:type="pct"/>
        <w:jc w:val="center"/>
        <w:tblLayout w:type="fixed"/>
        <w:tblLook w:val="04A0"/>
      </w:tblPr>
      <w:tblGrid>
        <w:gridCol w:w="3627"/>
        <w:gridCol w:w="1843"/>
        <w:gridCol w:w="1560"/>
        <w:gridCol w:w="1570"/>
        <w:gridCol w:w="1310"/>
      </w:tblGrid>
      <w:tr w:rsidR="00C310DF" w:rsidRPr="006066E0" w:rsidTr="006066E0">
        <w:trPr>
          <w:cnfStyle w:val="100000000000"/>
          <w:trHeight w:val="330"/>
          <w:tblHeader/>
          <w:jc w:val="center"/>
        </w:trPr>
        <w:tc>
          <w:tcPr>
            <w:cnfStyle w:val="001000000000"/>
            <w:tcW w:w="1830" w:type="pct"/>
            <w:noWrap/>
            <w:vAlign w:val="center"/>
            <w:hideMark/>
          </w:tcPr>
          <w:p w:rsidR="00C310DF" w:rsidRPr="006066E0" w:rsidRDefault="00C310DF" w:rsidP="00C310DF">
            <w:pPr>
              <w:contextualSpacing/>
              <w:jc w:val="center"/>
              <w:rPr>
                <w:rFonts w:ascii="Verdana" w:hAnsi="Verdana"/>
                <w:b w:val="0"/>
                <w:bCs w:val="0"/>
                <w:szCs w:val="24"/>
              </w:rPr>
            </w:pPr>
            <w:r w:rsidRPr="006066E0">
              <w:rPr>
                <w:rFonts w:ascii="Verdana" w:hAnsi="Verdana"/>
                <w:szCs w:val="24"/>
                <w:lang w:val="es-CO" w:eastAsia="es-CO"/>
              </w:rPr>
              <w:t>Tema</w:t>
            </w:r>
          </w:p>
        </w:tc>
        <w:tc>
          <w:tcPr>
            <w:tcW w:w="930" w:type="pct"/>
            <w:noWrap/>
            <w:vAlign w:val="center"/>
            <w:hideMark/>
          </w:tcPr>
          <w:p w:rsidR="00C310DF" w:rsidRPr="006066E0" w:rsidRDefault="00C310DF" w:rsidP="00C310DF">
            <w:pPr>
              <w:contextualSpacing/>
              <w:jc w:val="center"/>
              <w:cnfStyle w:val="100000000000"/>
              <w:rPr>
                <w:rFonts w:ascii="Verdana" w:hAnsi="Verdana"/>
                <w:b w:val="0"/>
                <w:bCs w:val="0"/>
                <w:szCs w:val="24"/>
              </w:rPr>
            </w:pPr>
            <w:r w:rsidRPr="006066E0">
              <w:rPr>
                <w:rFonts w:ascii="Verdana" w:hAnsi="Verdana"/>
                <w:szCs w:val="24"/>
                <w:lang w:val="es-CO" w:eastAsia="es-CO"/>
              </w:rPr>
              <w:t>Tipo evento</w:t>
            </w:r>
          </w:p>
        </w:tc>
        <w:tc>
          <w:tcPr>
            <w:tcW w:w="787" w:type="pct"/>
            <w:noWrap/>
            <w:vAlign w:val="center"/>
            <w:hideMark/>
          </w:tcPr>
          <w:p w:rsidR="00C310DF" w:rsidRPr="006066E0" w:rsidRDefault="00C310DF" w:rsidP="00C310DF">
            <w:pPr>
              <w:contextualSpacing/>
              <w:jc w:val="center"/>
              <w:cnfStyle w:val="100000000000"/>
              <w:rPr>
                <w:rFonts w:ascii="Verdana" w:hAnsi="Verdana"/>
                <w:b w:val="0"/>
                <w:bCs w:val="0"/>
                <w:szCs w:val="24"/>
              </w:rPr>
            </w:pPr>
            <w:r w:rsidRPr="006066E0">
              <w:rPr>
                <w:rFonts w:ascii="Verdana" w:hAnsi="Verdana"/>
                <w:szCs w:val="24"/>
                <w:lang w:val="es-CO" w:eastAsia="es-CO"/>
              </w:rPr>
              <w:t>Asistentes</w:t>
            </w:r>
          </w:p>
        </w:tc>
        <w:tc>
          <w:tcPr>
            <w:tcW w:w="792" w:type="pct"/>
            <w:noWrap/>
            <w:vAlign w:val="center"/>
            <w:hideMark/>
          </w:tcPr>
          <w:p w:rsidR="00C310DF" w:rsidRPr="006066E0" w:rsidRDefault="00C310DF" w:rsidP="00C310DF">
            <w:pPr>
              <w:contextualSpacing/>
              <w:jc w:val="center"/>
              <w:cnfStyle w:val="100000000000"/>
              <w:rPr>
                <w:rFonts w:ascii="Verdana" w:hAnsi="Verdana"/>
                <w:b w:val="0"/>
                <w:bCs w:val="0"/>
                <w:szCs w:val="24"/>
              </w:rPr>
            </w:pPr>
            <w:r w:rsidRPr="006066E0">
              <w:rPr>
                <w:rFonts w:ascii="Verdana" w:hAnsi="Verdana"/>
                <w:szCs w:val="24"/>
                <w:lang w:val="es-CO" w:eastAsia="es-CO"/>
              </w:rPr>
              <w:t>Fecha</w:t>
            </w:r>
          </w:p>
        </w:tc>
        <w:tc>
          <w:tcPr>
            <w:tcW w:w="661" w:type="pct"/>
            <w:noWrap/>
            <w:vAlign w:val="center"/>
            <w:hideMark/>
          </w:tcPr>
          <w:p w:rsidR="00C310DF" w:rsidRPr="006066E0" w:rsidRDefault="00C310DF" w:rsidP="00C310DF">
            <w:pPr>
              <w:contextualSpacing/>
              <w:jc w:val="center"/>
              <w:cnfStyle w:val="100000000000"/>
              <w:rPr>
                <w:rFonts w:ascii="Verdana" w:hAnsi="Verdana"/>
                <w:b w:val="0"/>
                <w:bCs w:val="0"/>
                <w:szCs w:val="24"/>
              </w:rPr>
            </w:pPr>
            <w:r w:rsidRPr="006066E0">
              <w:rPr>
                <w:rFonts w:ascii="Verdana" w:hAnsi="Verdana"/>
                <w:szCs w:val="24"/>
                <w:lang w:val="es-CO" w:eastAsia="es-CO"/>
              </w:rPr>
              <w:t>Intensidad</w:t>
            </w:r>
          </w:p>
        </w:tc>
      </w:tr>
      <w:tr w:rsidR="00C310DF" w:rsidRPr="006066E0" w:rsidTr="006066E0">
        <w:trPr>
          <w:cnfStyle w:val="000000100000"/>
          <w:trHeight w:val="92"/>
          <w:jc w:val="center"/>
        </w:trPr>
        <w:tc>
          <w:tcPr>
            <w:cnfStyle w:val="001000000000"/>
            <w:tcW w:w="1830" w:type="pct"/>
            <w:vAlign w:val="center"/>
            <w:hideMark/>
          </w:tcPr>
          <w:p w:rsidR="00C310DF" w:rsidRPr="006066E0" w:rsidRDefault="00C310DF" w:rsidP="00C310DF">
            <w:pPr>
              <w:contextualSpacing/>
              <w:jc w:val="both"/>
              <w:rPr>
                <w:rFonts w:ascii="Verdana" w:hAnsi="Verdana"/>
                <w:b w:val="0"/>
                <w:color w:val="222222"/>
                <w:szCs w:val="24"/>
              </w:rPr>
            </w:pPr>
            <w:r w:rsidRPr="006066E0">
              <w:rPr>
                <w:rFonts w:ascii="Verdana" w:hAnsi="Verdana"/>
                <w:b w:val="0"/>
                <w:color w:val="222222"/>
                <w:szCs w:val="24"/>
                <w:lang w:val="es-CO"/>
              </w:rPr>
              <w:t>Supervisión de Contratos</w:t>
            </w:r>
          </w:p>
        </w:tc>
        <w:tc>
          <w:tcPr>
            <w:tcW w:w="930" w:type="pct"/>
            <w:noWrap/>
            <w:vAlign w:val="center"/>
            <w:hideMark/>
          </w:tcPr>
          <w:p w:rsidR="00C310DF" w:rsidRPr="006066E0" w:rsidRDefault="00C310DF" w:rsidP="00C310DF">
            <w:pPr>
              <w:contextualSpacing/>
              <w:jc w:val="center"/>
              <w:cnfStyle w:val="000000100000"/>
              <w:rPr>
                <w:rFonts w:ascii="Verdana" w:hAnsi="Verdana"/>
                <w:color w:val="000000"/>
                <w:szCs w:val="24"/>
              </w:rPr>
            </w:pPr>
            <w:r w:rsidRPr="006066E0">
              <w:rPr>
                <w:rFonts w:ascii="Verdana" w:hAnsi="Verdana"/>
                <w:color w:val="000000"/>
                <w:szCs w:val="24"/>
                <w:lang w:val="es-CO" w:eastAsia="es-CO"/>
              </w:rPr>
              <w:t>seminario</w:t>
            </w:r>
          </w:p>
        </w:tc>
        <w:tc>
          <w:tcPr>
            <w:tcW w:w="787" w:type="pct"/>
            <w:noWrap/>
            <w:vAlign w:val="center"/>
            <w:hideMark/>
          </w:tcPr>
          <w:p w:rsidR="00C310DF" w:rsidRPr="006066E0" w:rsidRDefault="00C310DF" w:rsidP="00C310DF">
            <w:pPr>
              <w:contextualSpacing/>
              <w:jc w:val="center"/>
              <w:cnfStyle w:val="000000100000"/>
              <w:rPr>
                <w:rFonts w:ascii="Verdana" w:hAnsi="Verdana"/>
                <w:color w:val="000000"/>
                <w:szCs w:val="24"/>
              </w:rPr>
            </w:pPr>
            <w:r w:rsidRPr="006066E0">
              <w:rPr>
                <w:rFonts w:ascii="Verdana" w:hAnsi="Verdana"/>
                <w:color w:val="000000"/>
                <w:szCs w:val="24"/>
                <w:lang w:val="es-CO" w:eastAsia="es-CO"/>
              </w:rPr>
              <w:t>22 personas</w:t>
            </w:r>
          </w:p>
        </w:tc>
        <w:tc>
          <w:tcPr>
            <w:tcW w:w="792" w:type="pct"/>
            <w:noWrap/>
            <w:vAlign w:val="center"/>
            <w:hideMark/>
          </w:tcPr>
          <w:p w:rsidR="00C310DF" w:rsidRPr="006066E0" w:rsidRDefault="00C310DF" w:rsidP="00C310DF">
            <w:pPr>
              <w:contextualSpacing/>
              <w:jc w:val="center"/>
              <w:cnfStyle w:val="000000100000"/>
              <w:rPr>
                <w:rFonts w:ascii="Verdana" w:hAnsi="Verdana"/>
                <w:color w:val="000000"/>
                <w:szCs w:val="24"/>
              </w:rPr>
            </w:pPr>
            <w:r w:rsidRPr="006066E0">
              <w:rPr>
                <w:rFonts w:ascii="Verdana" w:hAnsi="Verdana"/>
                <w:color w:val="000000"/>
                <w:szCs w:val="24"/>
                <w:lang w:val="es-CO" w:eastAsia="es-CO"/>
              </w:rPr>
              <w:t>28/02/2014</w:t>
            </w:r>
          </w:p>
        </w:tc>
        <w:tc>
          <w:tcPr>
            <w:tcW w:w="661" w:type="pct"/>
            <w:noWrap/>
            <w:vAlign w:val="center"/>
            <w:hideMark/>
          </w:tcPr>
          <w:p w:rsidR="00C310DF" w:rsidRPr="006066E0" w:rsidRDefault="00C310DF" w:rsidP="00C310DF">
            <w:pPr>
              <w:contextualSpacing/>
              <w:jc w:val="center"/>
              <w:cnfStyle w:val="000000100000"/>
              <w:rPr>
                <w:rFonts w:ascii="Verdana" w:hAnsi="Verdana"/>
                <w:color w:val="000000"/>
                <w:szCs w:val="24"/>
              </w:rPr>
            </w:pPr>
            <w:r w:rsidRPr="006066E0">
              <w:rPr>
                <w:rFonts w:ascii="Verdana" w:hAnsi="Verdana"/>
                <w:color w:val="000000"/>
                <w:szCs w:val="24"/>
                <w:lang w:val="es-CO" w:eastAsia="es-CO"/>
              </w:rPr>
              <w:t>4 horas</w:t>
            </w:r>
          </w:p>
        </w:tc>
      </w:tr>
      <w:tr w:rsidR="00C310DF" w:rsidRPr="006066E0" w:rsidTr="006066E0">
        <w:trPr>
          <w:trHeight w:val="179"/>
          <w:jc w:val="center"/>
        </w:trPr>
        <w:tc>
          <w:tcPr>
            <w:cnfStyle w:val="001000000000"/>
            <w:tcW w:w="1830" w:type="pct"/>
            <w:vAlign w:val="center"/>
            <w:hideMark/>
          </w:tcPr>
          <w:p w:rsidR="00C310DF" w:rsidRPr="006066E0" w:rsidRDefault="00C310DF" w:rsidP="00C310DF">
            <w:pPr>
              <w:contextualSpacing/>
              <w:jc w:val="both"/>
              <w:rPr>
                <w:rFonts w:ascii="Verdana" w:hAnsi="Verdana"/>
                <w:b w:val="0"/>
                <w:color w:val="222222"/>
                <w:szCs w:val="24"/>
              </w:rPr>
            </w:pPr>
            <w:r w:rsidRPr="006066E0">
              <w:rPr>
                <w:rFonts w:ascii="Verdana" w:hAnsi="Verdana"/>
                <w:b w:val="0"/>
                <w:color w:val="222222"/>
                <w:szCs w:val="24"/>
                <w:lang w:val="es-CO"/>
              </w:rPr>
              <w:t>Alianzas Público Privadas</w:t>
            </w:r>
          </w:p>
        </w:tc>
        <w:tc>
          <w:tcPr>
            <w:tcW w:w="930" w:type="pct"/>
            <w:noWrap/>
            <w:vAlign w:val="center"/>
            <w:hideMark/>
          </w:tcPr>
          <w:p w:rsidR="00C310DF" w:rsidRPr="006066E0" w:rsidRDefault="00C310DF" w:rsidP="00C310DF">
            <w:pPr>
              <w:contextualSpacing/>
              <w:jc w:val="center"/>
              <w:cnfStyle w:val="000000000000"/>
              <w:rPr>
                <w:rFonts w:ascii="Verdana" w:hAnsi="Verdana"/>
                <w:color w:val="000000"/>
                <w:szCs w:val="24"/>
              </w:rPr>
            </w:pPr>
            <w:r w:rsidRPr="006066E0">
              <w:rPr>
                <w:rFonts w:ascii="Verdana" w:hAnsi="Verdana"/>
                <w:color w:val="000000"/>
                <w:szCs w:val="24"/>
                <w:lang w:val="es-CO" w:eastAsia="es-CO"/>
              </w:rPr>
              <w:t>Conversatorio</w:t>
            </w:r>
          </w:p>
        </w:tc>
        <w:tc>
          <w:tcPr>
            <w:tcW w:w="787" w:type="pct"/>
            <w:noWrap/>
            <w:vAlign w:val="center"/>
            <w:hideMark/>
          </w:tcPr>
          <w:p w:rsidR="00C310DF" w:rsidRPr="006066E0" w:rsidRDefault="00C310DF" w:rsidP="00C310DF">
            <w:pPr>
              <w:contextualSpacing/>
              <w:jc w:val="center"/>
              <w:cnfStyle w:val="000000000000"/>
              <w:rPr>
                <w:rFonts w:ascii="Verdana" w:hAnsi="Verdana"/>
                <w:color w:val="000000"/>
                <w:szCs w:val="24"/>
              </w:rPr>
            </w:pPr>
            <w:r w:rsidRPr="006066E0">
              <w:rPr>
                <w:rFonts w:ascii="Verdana" w:hAnsi="Verdana"/>
                <w:color w:val="000000"/>
                <w:szCs w:val="24"/>
                <w:lang w:val="es-CO" w:eastAsia="es-CO"/>
              </w:rPr>
              <w:t>22 personas</w:t>
            </w:r>
          </w:p>
        </w:tc>
        <w:tc>
          <w:tcPr>
            <w:tcW w:w="792" w:type="pct"/>
            <w:noWrap/>
            <w:vAlign w:val="center"/>
            <w:hideMark/>
          </w:tcPr>
          <w:p w:rsidR="00C310DF" w:rsidRPr="006066E0" w:rsidRDefault="00C310DF" w:rsidP="00C310DF">
            <w:pPr>
              <w:contextualSpacing/>
              <w:jc w:val="center"/>
              <w:cnfStyle w:val="000000000000"/>
              <w:rPr>
                <w:rFonts w:ascii="Verdana" w:hAnsi="Verdana"/>
                <w:color w:val="000000"/>
                <w:szCs w:val="24"/>
              </w:rPr>
            </w:pPr>
            <w:r w:rsidRPr="006066E0">
              <w:rPr>
                <w:rFonts w:ascii="Verdana" w:hAnsi="Verdana"/>
                <w:color w:val="000000"/>
                <w:szCs w:val="24"/>
                <w:lang w:val="es-CO" w:eastAsia="es-CO"/>
              </w:rPr>
              <w:t>28/04/2014</w:t>
            </w:r>
          </w:p>
        </w:tc>
        <w:tc>
          <w:tcPr>
            <w:tcW w:w="661" w:type="pct"/>
            <w:noWrap/>
            <w:vAlign w:val="center"/>
            <w:hideMark/>
          </w:tcPr>
          <w:p w:rsidR="00C310DF" w:rsidRPr="006066E0" w:rsidRDefault="00C310DF" w:rsidP="00C310DF">
            <w:pPr>
              <w:contextualSpacing/>
              <w:jc w:val="center"/>
              <w:cnfStyle w:val="000000000000"/>
              <w:rPr>
                <w:rFonts w:ascii="Verdana" w:hAnsi="Verdana"/>
                <w:color w:val="000000"/>
                <w:szCs w:val="24"/>
              </w:rPr>
            </w:pPr>
            <w:r w:rsidRPr="006066E0">
              <w:rPr>
                <w:rFonts w:ascii="Verdana" w:hAnsi="Verdana"/>
                <w:color w:val="000000"/>
                <w:szCs w:val="24"/>
                <w:lang w:val="es-CO" w:eastAsia="es-CO"/>
              </w:rPr>
              <w:t>4 horas</w:t>
            </w:r>
          </w:p>
        </w:tc>
      </w:tr>
      <w:tr w:rsidR="00C310DF" w:rsidRPr="006066E0" w:rsidTr="006066E0">
        <w:trPr>
          <w:cnfStyle w:val="000000100000"/>
          <w:trHeight w:val="112"/>
          <w:jc w:val="center"/>
        </w:trPr>
        <w:tc>
          <w:tcPr>
            <w:cnfStyle w:val="001000000000"/>
            <w:tcW w:w="1830" w:type="pct"/>
            <w:vAlign w:val="center"/>
            <w:hideMark/>
          </w:tcPr>
          <w:p w:rsidR="00C310DF" w:rsidRPr="006066E0" w:rsidRDefault="00C310DF" w:rsidP="00C310DF">
            <w:pPr>
              <w:contextualSpacing/>
              <w:jc w:val="both"/>
              <w:rPr>
                <w:rFonts w:ascii="Verdana" w:hAnsi="Verdana"/>
                <w:b w:val="0"/>
                <w:color w:val="222222"/>
                <w:szCs w:val="24"/>
              </w:rPr>
            </w:pPr>
            <w:r w:rsidRPr="006066E0">
              <w:rPr>
                <w:rFonts w:ascii="Verdana" w:hAnsi="Verdana"/>
                <w:b w:val="0"/>
                <w:color w:val="222222"/>
                <w:szCs w:val="24"/>
                <w:lang w:val="es-CO"/>
              </w:rPr>
              <w:t>Sensibilización y aplicación TRD</w:t>
            </w:r>
          </w:p>
        </w:tc>
        <w:tc>
          <w:tcPr>
            <w:tcW w:w="930" w:type="pct"/>
            <w:noWrap/>
            <w:vAlign w:val="center"/>
            <w:hideMark/>
          </w:tcPr>
          <w:p w:rsidR="00C310DF" w:rsidRPr="006066E0" w:rsidRDefault="00C310DF" w:rsidP="00C310DF">
            <w:pPr>
              <w:contextualSpacing/>
              <w:jc w:val="center"/>
              <w:cnfStyle w:val="000000100000"/>
              <w:rPr>
                <w:rFonts w:ascii="Verdana" w:hAnsi="Verdana"/>
                <w:color w:val="000000"/>
                <w:szCs w:val="24"/>
              </w:rPr>
            </w:pPr>
            <w:r w:rsidRPr="006066E0">
              <w:rPr>
                <w:rFonts w:ascii="Verdana" w:hAnsi="Verdana"/>
                <w:color w:val="000000"/>
                <w:szCs w:val="24"/>
                <w:lang w:val="es-CO" w:eastAsia="es-CO"/>
              </w:rPr>
              <w:t>seminario</w:t>
            </w:r>
          </w:p>
        </w:tc>
        <w:tc>
          <w:tcPr>
            <w:tcW w:w="787" w:type="pct"/>
            <w:noWrap/>
            <w:vAlign w:val="center"/>
            <w:hideMark/>
          </w:tcPr>
          <w:p w:rsidR="00C310DF" w:rsidRPr="006066E0" w:rsidRDefault="00C310DF" w:rsidP="00C310DF">
            <w:pPr>
              <w:contextualSpacing/>
              <w:jc w:val="center"/>
              <w:cnfStyle w:val="000000100000"/>
              <w:rPr>
                <w:rFonts w:ascii="Verdana" w:hAnsi="Verdana"/>
                <w:color w:val="000000"/>
                <w:szCs w:val="24"/>
              </w:rPr>
            </w:pPr>
            <w:r w:rsidRPr="006066E0">
              <w:rPr>
                <w:rFonts w:ascii="Verdana" w:hAnsi="Verdana"/>
                <w:color w:val="000000"/>
                <w:szCs w:val="24"/>
                <w:lang w:val="es-CO" w:eastAsia="es-CO"/>
              </w:rPr>
              <w:t>34 personas</w:t>
            </w:r>
          </w:p>
        </w:tc>
        <w:tc>
          <w:tcPr>
            <w:tcW w:w="792" w:type="pct"/>
            <w:noWrap/>
            <w:vAlign w:val="center"/>
            <w:hideMark/>
          </w:tcPr>
          <w:p w:rsidR="00C310DF" w:rsidRPr="006066E0" w:rsidRDefault="00C310DF" w:rsidP="00C310DF">
            <w:pPr>
              <w:contextualSpacing/>
              <w:jc w:val="center"/>
              <w:cnfStyle w:val="000000100000"/>
              <w:rPr>
                <w:rFonts w:ascii="Verdana" w:hAnsi="Verdana"/>
                <w:color w:val="000000"/>
                <w:szCs w:val="24"/>
              </w:rPr>
            </w:pPr>
            <w:r w:rsidRPr="006066E0">
              <w:rPr>
                <w:rFonts w:ascii="Verdana" w:hAnsi="Verdana"/>
                <w:color w:val="000000"/>
                <w:szCs w:val="24"/>
                <w:lang w:val="es-CO" w:eastAsia="es-CO"/>
              </w:rPr>
              <w:t>29/04/2014</w:t>
            </w:r>
          </w:p>
        </w:tc>
        <w:tc>
          <w:tcPr>
            <w:tcW w:w="661" w:type="pct"/>
            <w:noWrap/>
            <w:vAlign w:val="center"/>
            <w:hideMark/>
          </w:tcPr>
          <w:p w:rsidR="00C310DF" w:rsidRPr="006066E0" w:rsidRDefault="00C310DF" w:rsidP="00C310DF">
            <w:pPr>
              <w:contextualSpacing/>
              <w:jc w:val="center"/>
              <w:cnfStyle w:val="000000100000"/>
              <w:rPr>
                <w:rFonts w:ascii="Verdana" w:hAnsi="Verdana"/>
                <w:color w:val="000000"/>
                <w:szCs w:val="24"/>
              </w:rPr>
            </w:pPr>
            <w:r w:rsidRPr="006066E0">
              <w:rPr>
                <w:rFonts w:ascii="Verdana" w:hAnsi="Verdana"/>
                <w:color w:val="000000"/>
                <w:szCs w:val="24"/>
                <w:lang w:val="es-CO" w:eastAsia="es-CO"/>
              </w:rPr>
              <w:t>4 horas</w:t>
            </w:r>
          </w:p>
        </w:tc>
      </w:tr>
      <w:tr w:rsidR="00C310DF" w:rsidRPr="006066E0" w:rsidTr="006066E0">
        <w:trPr>
          <w:trHeight w:val="199"/>
          <w:jc w:val="center"/>
        </w:trPr>
        <w:tc>
          <w:tcPr>
            <w:cnfStyle w:val="001000000000"/>
            <w:tcW w:w="1830" w:type="pct"/>
            <w:vAlign w:val="center"/>
            <w:hideMark/>
          </w:tcPr>
          <w:p w:rsidR="00C310DF" w:rsidRPr="006066E0" w:rsidRDefault="00C310DF" w:rsidP="00C310DF">
            <w:pPr>
              <w:contextualSpacing/>
              <w:rPr>
                <w:rFonts w:ascii="Verdana" w:hAnsi="Verdana"/>
                <w:b w:val="0"/>
                <w:color w:val="222222"/>
                <w:szCs w:val="24"/>
              </w:rPr>
            </w:pPr>
            <w:r w:rsidRPr="006066E0">
              <w:rPr>
                <w:rFonts w:ascii="Verdana" w:hAnsi="Verdana"/>
                <w:b w:val="0"/>
                <w:color w:val="222222"/>
                <w:szCs w:val="24"/>
                <w:lang w:val="es-CO"/>
              </w:rPr>
              <w:lastRenderedPageBreak/>
              <w:t>"Ni sociologismo, ni psicologismo: pensar la violencia"</w:t>
            </w:r>
          </w:p>
        </w:tc>
        <w:tc>
          <w:tcPr>
            <w:tcW w:w="930" w:type="pct"/>
            <w:noWrap/>
            <w:vAlign w:val="center"/>
            <w:hideMark/>
          </w:tcPr>
          <w:p w:rsidR="00C310DF" w:rsidRPr="006066E0" w:rsidRDefault="00C310DF" w:rsidP="00C310DF">
            <w:pPr>
              <w:contextualSpacing/>
              <w:jc w:val="center"/>
              <w:cnfStyle w:val="000000000000"/>
              <w:rPr>
                <w:rFonts w:ascii="Verdana" w:hAnsi="Verdana"/>
                <w:color w:val="000000"/>
                <w:szCs w:val="24"/>
              </w:rPr>
            </w:pPr>
            <w:r w:rsidRPr="006066E0">
              <w:rPr>
                <w:rFonts w:ascii="Verdana" w:hAnsi="Verdana"/>
                <w:color w:val="000000"/>
                <w:szCs w:val="24"/>
                <w:lang w:val="es-CO" w:eastAsia="es-CO"/>
              </w:rPr>
              <w:t>conferencia</w:t>
            </w:r>
          </w:p>
        </w:tc>
        <w:tc>
          <w:tcPr>
            <w:tcW w:w="787" w:type="pct"/>
            <w:noWrap/>
            <w:vAlign w:val="center"/>
            <w:hideMark/>
          </w:tcPr>
          <w:p w:rsidR="00C310DF" w:rsidRPr="006066E0" w:rsidRDefault="00C310DF" w:rsidP="00C310DF">
            <w:pPr>
              <w:contextualSpacing/>
              <w:jc w:val="center"/>
              <w:cnfStyle w:val="000000000000"/>
              <w:rPr>
                <w:rFonts w:ascii="Verdana" w:hAnsi="Verdana"/>
                <w:color w:val="000000"/>
                <w:szCs w:val="24"/>
              </w:rPr>
            </w:pPr>
            <w:r w:rsidRPr="006066E0">
              <w:rPr>
                <w:rFonts w:ascii="Verdana" w:hAnsi="Verdana"/>
                <w:color w:val="000000"/>
                <w:szCs w:val="24"/>
                <w:lang w:val="es-CO" w:eastAsia="es-CO"/>
              </w:rPr>
              <w:t>49 Personas</w:t>
            </w:r>
          </w:p>
        </w:tc>
        <w:tc>
          <w:tcPr>
            <w:tcW w:w="792" w:type="pct"/>
            <w:noWrap/>
            <w:vAlign w:val="center"/>
            <w:hideMark/>
          </w:tcPr>
          <w:p w:rsidR="00C310DF" w:rsidRPr="006066E0" w:rsidRDefault="00C310DF" w:rsidP="00C310DF">
            <w:pPr>
              <w:contextualSpacing/>
              <w:jc w:val="center"/>
              <w:cnfStyle w:val="000000000000"/>
              <w:rPr>
                <w:rFonts w:ascii="Verdana" w:hAnsi="Verdana"/>
                <w:color w:val="000000"/>
                <w:szCs w:val="24"/>
              </w:rPr>
            </w:pPr>
            <w:r w:rsidRPr="006066E0">
              <w:rPr>
                <w:rFonts w:ascii="Verdana" w:hAnsi="Verdana"/>
                <w:color w:val="000000"/>
                <w:szCs w:val="24"/>
                <w:lang w:val="es-CO" w:eastAsia="es-CO"/>
              </w:rPr>
              <w:t>28/04/2014</w:t>
            </w:r>
          </w:p>
        </w:tc>
        <w:tc>
          <w:tcPr>
            <w:tcW w:w="661" w:type="pct"/>
            <w:noWrap/>
            <w:vAlign w:val="center"/>
            <w:hideMark/>
          </w:tcPr>
          <w:p w:rsidR="00C310DF" w:rsidRPr="006066E0" w:rsidRDefault="00C310DF" w:rsidP="00C310DF">
            <w:pPr>
              <w:contextualSpacing/>
              <w:jc w:val="center"/>
              <w:cnfStyle w:val="000000000000"/>
              <w:rPr>
                <w:rFonts w:ascii="Verdana" w:hAnsi="Verdana"/>
                <w:color w:val="000000"/>
                <w:szCs w:val="24"/>
              </w:rPr>
            </w:pPr>
            <w:r w:rsidRPr="006066E0">
              <w:rPr>
                <w:rFonts w:ascii="Verdana" w:hAnsi="Verdana"/>
                <w:color w:val="000000"/>
                <w:szCs w:val="24"/>
                <w:lang w:val="es-CO" w:eastAsia="es-CO"/>
              </w:rPr>
              <w:t>4 horas</w:t>
            </w:r>
          </w:p>
        </w:tc>
      </w:tr>
      <w:tr w:rsidR="00C310DF" w:rsidRPr="006066E0" w:rsidTr="006066E0">
        <w:trPr>
          <w:cnfStyle w:val="000000100000"/>
          <w:trHeight w:val="262"/>
          <w:jc w:val="center"/>
        </w:trPr>
        <w:tc>
          <w:tcPr>
            <w:cnfStyle w:val="001000000000"/>
            <w:tcW w:w="1830" w:type="pct"/>
            <w:noWrap/>
            <w:vAlign w:val="center"/>
            <w:hideMark/>
          </w:tcPr>
          <w:p w:rsidR="00C310DF" w:rsidRPr="006066E0" w:rsidRDefault="00C310DF" w:rsidP="00C310DF">
            <w:pPr>
              <w:contextualSpacing/>
              <w:jc w:val="both"/>
              <w:rPr>
                <w:rFonts w:ascii="Verdana" w:hAnsi="Verdana"/>
                <w:b w:val="0"/>
                <w:color w:val="000000"/>
                <w:szCs w:val="24"/>
              </w:rPr>
            </w:pPr>
            <w:r w:rsidRPr="006066E0">
              <w:rPr>
                <w:rFonts w:ascii="Verdana" w:hAnsi="Verdana"/>
                <w:b w:val="0"/>
                <w:color w:val="000000"/>
                <w:szCs w:val="24"/>
                <w:lang w:val="es-CO" w:eastAsia="es-CO"/>
              </w:rPr>
              <w:t>Programa de presentaciones efectivas en soluciones IT</w:t>
            </w:r>
          </w:p>
        </w:tc>
        <w:tc>
          <w:tcPr>
            <w:tcW w:w="930" w:type="pct"/>
            <w:noWrap/>
            <w:vAlign w:val="center"/>
            <w:hideMark/>
          </w:tcPr>
          <w:p w:rsidR="00C310DF" w:rsidRPr="006066E0" w:rsidRDefault="00C310DF" w:rsidP="00C310DF">
            <w:pPr>
              <w:contextualSpacing/>
              <w:jc w:val="center"/>
              <w:cnfStyle w:val="000000100000"/>
              <w:rPr>
                <w:rFonts w:ascii="Verdana" w:hAnsi="Verdana"/>
                <w:color w:val="000000"/>
                <w:szCs w:val="24"/>
              </w:rPr>
            </w:pPr>
            <w:r w:rsidRPr="006066E0">
              <w:rPr>
                <w:rFonts w:ascii="Verdana" w:hAnsi="Verdana"/>
                <w:color w:val="000000"/>
                <w:szCs w:val="24"/>
                <w:lang w:val="es-CO" w:eastAsia="es-CO"/>
              </w:rPr>
              <w:t>conferencia</w:t>
            </w:r>
          </w:p>
        </w:tc>
        <w:tc>
          <w:tcPr>
            <w:tcW w:w="787" w:type="pct"/>
            <w:noWrap/>
            <w:vAlign w:val="center"/>
            <w:hideMark/>
          </w:tcPr>
          <w:p w:rsidR="00C310DF" w:rsidRPr="006066E0" w:rsidRDefault="00C310DF" w:rsidP="00C310DF">
            <w:pPr>
              <w:contextualSpacing/>
              <w:jc w:val="center"/>
              <w:cnfStyle w:val="000000100000"/>
              <w:rPr>
                <w:rFonts w:ascii="Verdana" w:hAnsi="Verdana"/>
                <w:color w:val="000000"/>
                <w:szCs w:val="24"/>
              </w:rPr>
            </w:pPr>
            <w:r w:rsidRPr="006066E0">
              <w:rPr>
                <w:rFonts w:ascii="Verdana" w:hAnsi="Verdana"/>
                <w:color w:val="000000"/>
                <w:szCs w:val="24"/>
                <w:lang w:val="es-CO" w:eastAsia="es-CO"/>
              </w:rPr>
              <w:t>1 persona</w:t>
            </w:r>
          </w:p>
        </w:tc>
        <w:tc>
          <w:tcPr>
            <w:tcW w:w="792" w:type="pct"/>
            <w:noWrap/>
            <w:vAlign w:val="center"/>
            <w:hideMark/>
          </w:tcPr>
          <w:p w:rsidR="00C310DF" w:rsidRPr="006066E0" w:rsidRDefault="00C310DF" w:rsidP="00C310DF">
            <w:pPr>
              <w:contextualSpacing/>
              <w:jc w:val="center"/>
              <w:cnfStyle w:val="000000100000"/>
              <w:rPr>
                <w:rFonts w:ascii="Verdana" w:hAnsi="Verdana"/>
                <w:color w:val="000000"/>
                <w:szCs w:val="24"/>
              </w:rPr>
            </w:pPr>
            <w:r w:rsidRPr="006066E0">
              <w:rPr>
                <w:rFonts w:ascii="Verdana" w:hAnsi="Verdana"/>
                <w:color w:val="000000"/>
                <w:szCs w:val="24"/>
                <w:lang w:val="es-CO" w:eastAsia="es-CO"/>
              </w:rPr>
              <w:t>10/06/2014</w:t>
            </w:r>
          </w:p>
        </w:tc>
        <w:tc>
          <w:tcPr>
            <w:tcW w:w="661" w:type="pct"/>
            <w:noWrap/>
            <w:vAlign w:val="center"/>
            <w:hideMark/>
          </w:tcPr>
          <w:p w:rsidR="00C310DF" w:rsidRPr="006066E0" w:rsidRDefault="00C310DF" w:rsidP="00C310DF">
            <w:pPr>
              <w:contextualSpacing/>
              <w:jc w:val="center"/>
              <w:cnfStyle w:val="000000100000"/>
              <w:rPr>
                <w:rFonts w:ascii="Verdana" w:hAnsi="Verdana"/>
                <w:color w:val="000000"/>
                <w:szCs w:val="24"/>
              </w:rPr>
            </w:pPr>
            <w:r w:rsidRPr="006066E0">
              <w:rPr>
                <w:rFonts w:ascii="Verdana" w:hAnsi="Verdana"/>
                <w:color w:val="000000"/>
                <w:szCs w:val="24"/>
                <w:lang w:val="es-CO" w:eastAsia="es-CO"/>
              </w:rPr>
              <w:t>8 horas</w:t>
            </w:r>
          </w:p>
        </w:tc>
      </w:tr>
      <w:tr w:rsidR="00C310DF" w:rsidRPr="006066E0" w:rsidTr="006066E0">
        <w:trPr>
          <w:trHeight w:val="132"/>
          <w:jc w:val="center"/>
        </w:trPr>
        <w:tc>
          <w:tcPr>
            <w:cnfStyle w:val="001000000000"/>
            <w:tcW w:w="1830" w:type="pct"/>
            <w:vAlign w:val="center"/>
            <w:hideMark/>
          </w:tcPr>
          <w:p w:rsidR="00C310DF" w:rsidRPr="006066E0" w:rsidRDefault="00C310DF" w:rsidP="00C310DF">
            <w:pPr>
              <w:contextualSpacing/>
              <w:jc w:val="both"/>
              <w:rPr>
                <w:rFonts w:ascii="Verdana" w:hAnsi="Verdana"/>
                <w:b w:val="0"/>
                <w:color w:val="222222"/>
                <w:szCs w:val="24"/>
              </w:rPr>
            </w:pPr>
            <w:r w:rsidRPr="006066E0">
              <w:rPr>
                <w:rFonts w:ascii="Verdana" w:hAnsi="Verdana"/>
                <w:b w:val="0"/>
                <w:color w:val="222222"/>
                <w:szCs w:val="24"/>
                <w:lang w:val="es-CO"/>
              </w:rPr>
              <w:t>Elementos conceptuales y metodológicos sobre los trabajos de la memoria, sus implicaciones y los potenciales retos en una sociedad que como la colombiana entra en postconflicto.</w:t>
            </w:r>
          </w:p>
        </w:tc>
        <w:tc>
          <w:tcPr>
            <w:tcW w:w="930" w:type="pct"/>
            <w:noWrap/>
            <w:vAlign w:val="center"/>
            <w:hideMark/>
          </w:tcPr>
          <w:p w:rsidR="00C310DF" w:rsidRPr="006066E0" w:rsidRDefault="00C310DF" w:rsidP="00C310DF">
            <w:pPr>
              <w:contextualSpacing/>
              <w:jc w:val="center"/>
              <w:cnfStyle w:val="000000000000"/>
              <w:rPr>
                <w:rFonts w:ascii="Verdana" w:hAnsi="Verdana"/>
                <w:color w:val="000000"/>
                <w:szCs w:val="24"/>
              </w:rPr>
            </w:pPr>
            <w:r w:rsidRPr="006066E0">
              <w:rPr>
                <w:rFonts w:ascii="Verdana" w:hAnsi="Verdana"/>
                <w:color w:val="000000"/>
                <w:szCs w:val="24"/>
                <w:lang w:val="es-CO" w:eastAsia="es-CO"/>
              </w:rPr>
              <w:t>Conversatorio</w:t>
            </w:r>
          </w:p>
        </w:tc>
        <w:tc>
          <w:tcPr>
            <w:tcW w:w="787" w:type="pct"/>
            <w:noWrap/>
            <w:vAlign w:val="center"/>
            <w:hideMark/>
          </w:tcPr>
          <w:p w:rsidR="00C310DF" w:rsidRPr="006066E0" w:rsidRDefault="00C310DF" w:rsidP="00C310DF">
            <w:pPr>
              <w:contextualSpacing/>
              <w:jc w:val="center"/>
              <w:cnfStyle w:val="000000000000"/>
              <w:rPr>
                <w:rFonts w:ascii="Verdana" w:hAnsi="Verdana"/>
                <w:color w:val="000000"/>
                <w:szCs w:val="24"/>
              </w:rPr>
            </w:pPr>
            <w:r w:rsidRPr="006066E0">
              <w:rPr>
                <w:rFonts w:ascii="Verdana" w:hAnsi="Verdana"/>
                <w:color w:val="000000"/>
                <w:szCs w:val="24"/>
                <w:lang w:val="es-CO" w:eastAsia="es-CO"/>
              </w:rPr>
              <w:t>25 personas</w:t>
            </w:r>
          </w:p>
        </w:tc>
        <w:tc>
          <w:tcPr>
            <w:tcW w:w="792" w:type="pct"/>
            <w:noWrap/>
            <w:vAlign w:val="center"/>
            <w:hideMark/>
          </w:tcPr>
          <w:p w:rsidR="00C310DF" w:rsidRPr="006066E0" w:rsidRDefault="00C310DF" w:rsidP="00C310DF">
            <w:pPr>
              <w:contextualSpacing/>
              <w:jc w:val="center"/>
              <w:cnfStyle w:val="000000000000"/>
              <w:rPr>
                <w:rFonts w:ascii="Verdana" w:hAnsi="Verdana"/>
                <w:color w:val="000000"/>
                <w:szCs w:val="24"/>
              </w:rPr>
            </w:pPr>
            <w:r w:rsidRPr="006066E0">
              <w:rPr>
                <w:rFonts w:ascii="Verdana" w:hAnsi="Verdana"/>
                <w:color w:val="000000"/>
                <w:szCs w:val="24"/>
                <w:lang w:val="es-CO" w:eastAsia="es-CO"/>
              </w:rPr>
              <w:t>05/05/2014</w:t>
            </w:r>
          </w:p>
        </w:tc>
        <w:tc>
          <w:tcPr>
            <w:tcW w:w="661" w:type="pct"/>
            <w:noWrap/>
            <w:vAlign w:val="center"/>
            <w:hideMark/>
          </w:tcPr>
          <w:p w:rsidR="00C310DF" w:rsidRPr="006066E0" w:rsidRDefault="00C310DF" w:rsidP="00582BDE">
            <w:pPr>
              <w:pStyle w:val="Prrafodelista"/>
              <w:numPr>
                <w:ilvl w:val="0"/>
                <w:numId w:val="145"/>
              </w:numPr>
              <w:jc w:val="center"/>
              <w:cnfStyle w:val="000000000000"/>
              <w:rPr>
                <w:rFonts w:ascii="Verdana" w:hAnsi="Verdana"/>
                <w:color w:val="000000"/>
                <w:szCs w:val="24"/>
              </w:rPr>
            </w:pPr>
            <w:r w:rsidRPr="006066E0">
              <w:rPr>
                <w:rFonts w:ascii="Verdana" w:hAnsi="Verdana"/>
                <w:color w:val="000000"/>
                <w:szCs w:val="24"/>
                <w:lang w:val="es-CO" w:eastAsia="es-CO"/>
              </w:rPr>
              <w:t>horas</w:t>
            </w:r>
          </w:p>
        </w:tc>
      </w:tr>
    </w:tbl>
    <w:p w:rsidR="00C310DF" w:rsidRPr="006066E0" w:rsidRDefault="00C310DF" w:rsidP="006066E0">
      <w:pPr>
        <w:pStyle w:val="Subttulo"/>
        <w:numPr>
          <w:ilvl w:val="0"/>
          <w:numId w:val="0"/>
        </w:numPr>
        <w:spacing w:after="0"/>
        <w:ind w:left="360"/>
        <w:contextualSpacing/>
        <w:outlineLvl w:val="1"/>
        <w:rPr>
          <w:rFonts w:ascii="Verdana" w:eastAsia="Arial" w:hAnsi="Verdana"/>
          <w:b/>
          <w:color w:val="4F81BD" w:themeColor="accent1"/>
          <w:sz w:val="24"/>
          <w:szCs w:val="24"/>
          <w:lang w:val="es-CO"/>
        </w:rPr>
      </w:pPr>
    </w:p>
    <w:p w:rsidR="00C310DF" w:rsidRPr="006066E0" w:rsidRDefault="006066E0" w:rsidP="006066E0">
      <w:pPr>
        <w:pStyle w:val="Subttulo"/>
        <w:numPr>
          <w:ilvl w:val="0"/>
          <w:numId w:val="0"/>
        </w:numPr>
        <w:spacing w:after="0"/>
        <w:contextualSpacing/>
        <w:outlineLvl w:val="1"/>
        <w:rPr>
          <w:rFonts w:ascii="Verdana" w:eastAsia="Arial" w:hAnsi="Verdana"/>
          <w:b/>
          <w:color w:val="4F81BD" w:themeColor="accent1"/>
          <w:sz w:val="24"/>
          <w:szCs w:val="24"/>
          <w:lang w:val="es-CO"/>
        </w:rPr>
      </w:pPr>
      <w:bookmarkStart w:id="124" w:name="_Toc412128209"/>
      <w:r>
        <w:rPr>
          <w:rFonts w:ascii="Verdana" w:eastAsia="Arial" w:hAnsi="Verdana"/>
          <w:b/>
          <w:color w:val="4F81BD" w:themeColor="accent1"/>
          <w:sz w:val="24"/>
          <w:szCs w:val="24"/>
          <w:lang w:val="es-CO"/>
        </w:rPr>
        <w:t xml:space="preserve">1.2 </w:t>
      </w:r>
      <w:r w:rsidR="00C310DF" w:rsidRPr="006066E0">
        <w:rPr>
          <w:rFonts w:ascii="Verdana" w:eastAsia="Arial" w:hAnsi="Verdana"/>
          <w:b/>
          <w:color w:val="4F81BD" w:themeColor="accent1"/>
          <w:sz w:val="24"/>
          <w:szCs w:val="24"/>
          <w:lang w:val="es-CO"/>
        </w:rPr>
        <w:t>Carrera Administrativa 2014</w:t>
      </w:r>
      <w:bookmarkEnd w:id="124"/>
    </w:p>
    <w:p w:rsidR="00C310DF" w:rsidRPr="00BC7F3F" w:rsidRDefault="00C310DF" w:rsidP="00C310DF">
      <w:pPr>
        <w:spacing w:after="0" w:line="240" w:lineRule="auto"/>
        <w:contextualSpacing/>
        <w:jc w:val="both"/>
        <w:rPr>
          <w:rFonts w:ascii="Verdana" w:eastAsiaTheme="minorEastAsia" w:hAnsi="Verdana"/>
          <w:sz w:val="24"/>
          <w:szCs w:val="24"/>
        </w:rPr>
      </w:pPr>
    </w:p>
    <w:p w:rsidR="00C310DF" w:rsidRPr="00BC7F3F" w:rsidRDefault="00C310DF" w:rsidP="00C310DF">
      <w:pPr>
        <w:spacing w:after="0" w:line="240" w:lineRule="auto"/>
        <w:contextualSpacing/>
        <w:jc w:val="both"/>
        <w:rPr>
          <w:rFonts w:ascii="Verdana" w:eastAsiaTheme="minorEastAsia" w:hAnsi="Verdana"/>
          <w:sz w:val="24"/>
          <w:szCs w:val="24"/>
        </w:rPr>
      </w:pPr>
      <w:r w:rsidRPr="00BC7F3F">
        <w:rPr>
          <w:rFonts w:ascii="Verdana" w:eastAsiaTheme="minorEastAsia" w:hAnsi="Verdana"/>
          <w:sz w:val="24"/>
          <w:szCs w:val="24"/>
        </w:rPr>
        <w:t xml:space="preserve">Se adelantaron mesas de trabajo conjuntamente con los asesores de la Comisión Nacional del Servicio Civil con el objetivo de construir los ejes temáticos sobre los cuales se elaborarán las pruebas funcionales objeto de la convocatoria a concurso para la provisión de los empleos de carrera del Centro. </w:t>
      </w:r>
    </w:p>
    <w:p w:rsidR="00C310DF" w:rsidRPr="00BC7F3F" w:rsidRDefault="00C310DF" w:rsidP="00C310DF">
      <w:pPr>
        <w:spacing w:after="0" w:line="240" w:lineRule="auto"/>
        <w:contextualSpacing/>
        <w:jc w:val="both"/>
        <w:rPr>
          <w:rFonts w:ascii="Verdana" w:eastAsiaTheme="minorEastAsia" w:hAnsi="Verdana"/>
          <w:sz w:val="24"/>
          <w:szCs w:val="24"/>
        </w:rPr>
      </w:pPr>
    </w:p>
    <w:p w:rsidR="00C310DF" w:rsidRPr="00BC7F3F" w:rsidRDefault="00C310DF" w:rsidP="00C310DF">
      <w:pPr>
        <w:spacing w:after="0" w:line="240" w:lineRule="auto"/>
        <w:contextualSpacing/>
        <w:jc w:val="both"/>
        <w:rPr>
          <w:rFonts w:ascii="Verdana" w:eastAsiaTheme="minorEastAsia" w:hAnsi="Verdana"/>
          <w:sz w:val="24"/>
          <w:szCs w:val="24"/>
        </w:rPr>
      </w:pPr>
      <w:r w:rsidRPr="00BC7F3F">
        <w:rPr>
          <w:rFonts w:ascii="Verdana" w:eastAsiaTheme="minorEastAsia" w:hAnsi="Verdana"/>
          <w:sz w:val="24"/>
          <w:szCs w:val="24"/>
        </w:rPr>
        <w:t>Elaborados los ejes temáticos con el apoyo de cada Director, se procedió a definir, clasificar y  ponderar las pruebas que se utilizarían dentro de la convocatoria con el apoyo de los asesores de la CNSC.</w:t>
      </w:r>
    </w:p>
    <w:p w:rsidR="00C310DF" w:rsidRPr="00BC7F3F" w:rsidRDefault="00C310DF" w:rsidP="00C310DF">
      <w:pPr>
        <w:spacing w:after="0" w:line="240" w:lineRule="auto"/>
        <w:contextualSpacing/>
        <w:jc w:val="both"/>
        <w:rPr>
          <w:rFonts w:ascii="Verdana" w:eastAsiaTheme="minorEastAsia" w:hAnsi="Verdana"/>
          <w:sz w:val="24"/>
          <w:szCs w:val="24"/>
        </w:rPr>
      </w:pPr>
    </w:p>
    <w:p w:rsidR="00C310DF" w:rsidRPr="00BC7F3F" w:rsidRDefault="00C310DF" w:rsidP="00C310DF">
      <w:pPr>
        <w:spacing w:after="0" w:line="240" w:lineRule="auto"/>
        <w:contextualSpacing/>
        <w:jc w:val="both"/>
        <w:rPr>
          <w:rFonts w:ascii="Verdana" w:eastAsiaTheme="minorEastAsia" w:hAnsi="Verdana"/>
          <w:sz w:val="24"/>
          <w:szCs w:val="24"/>
        </w:rPr>
      </w:pPr>
      <w:r w:rsidRPr="00BC7F3F">
        <w:rPr>
          <w:rFonts w:ascii="Verdana" w:eastAsiaTheme="minorEastAsia" w:hAnsi="Verdana"/>
          <w:sz w:val="24"/>
          <w:szCs w:val="24"/>
        </w:rPr>
        <w:t xml:space="preserve">Se consolidó la OPEC Oferta público de Empleos de Carrea  para los cincuenta y cuatro (54) cargos y se remito junto con la respectiva certificación firmada por el Director del Centro a la Comisión Nacional del Servicio Civil. </w:t>
      </w:r>
    </w:p>
    <w:p w:rsidR="00C310DF" w:rsidRPr="00BC7F3F" w:rsidRDefault="00C310DF" w:rsidP="00C310DF">
      <w:pPr>
        <w:spacing w:after="0" w:line="240" w:lineRule="auto"/>
        <w:contextualSpacing/>
        <w:jc w:val="both"/>
        <w:rPr>
          <w:rFonts w:ascii="Verdana" w:eastAsiaTheme="minorEastAsia" w:hAnsi="Verdana"/>
          <w:sz w:val="24"/>
          <w:szCs w:val="24"/>
        </w:rPr>
      </w:pPr>
    </w:p>
    <w:p w:rsidR="00C310DF" w:rsidRPr="00BC7F3F" w:rsidRDefault="00C310DF" w:rsidP="00C310DF">
      <w:pPr>
        <w:spacing w:after="0" w:line="240" w:lineRule="auto"/>
        <w:contextualSpacing/>
        <w:jc w:val="both"/>
        <w:rPr>
          <w:rFonts w:ascii="Verdana" w:eastAsiaTheme="minorEastAsia" w:hAnsi="Verdana"/>
          <w:sz w:val="24"/>
          <w:szCs w:val="24"/>
        </w:rPr>
      </w:pPr>
      <w:r w:rsidRPr="00BC7F3F">
        <w:rPr>
          <w:rFonts w:ascii="Verdana" w:eastAsiaTheme="minorEastAsia" w:hAnsi="Verdana"/>
          <w:sz w:val="24"/>
          <w:szCs w:val="24"/>
        </w:rPr>
        <w:t>De igual manera el Centro de Memoria Historia ha tramitado ante la Comisión todas las solicitudes y/o prorrogas de los nombramientos provisionales efectuados durante la vigencia 2014.</w:t>
      </w:r>
    </w:p>
    <w:p w:rsidR="00C310DF" w:rsidRPr="00BC7F3F" w:rsidRDefault="00C310DF" w:rsidP="00C310DF">
      <w:pPr>
        <w:spacing w:after="0" w:line="240" w:lineRule="auto"/>
        <w:contextualSpacing/>
        <w:jc w:val="both"/>
        <w:rPr>
          <w:rFonts w:ascii="Verdana" w:eastAsiaTheme="minorEastAsia" w:hAnsi="Verdana"/>
          <w:sz w:val="24"/>
          <w:szCs w:val="24"/>
        </w:rPr>
      </w:pPr>
    </w:p>
    <w:p w:rsidR="00C310DF" w:rsidRPr="00BC7F3F" w:rsidRDefault="00C310DF" w:rsidP="00C310DF">
      <w:pPr>
        <w:spacing w:after="0" w:line="240" w:lineRule="auto"/>
        <w:contextualSpacing/>
        <w:jc w:val="both"/>
        <w:rPr>
          <w:rFonts w:ascii="Verdana" w:eastAsiaTheme="minorEastAsia" w:hAnsi="Verdana"/>
          <w:sz w:val="24"/>
          <w:szCs w:val="24"/>
        </w:rPr>
      </w:pPr>
      <w:r w:rsidRPr="00BC7F3F">
        <w:rPr>
          <w:rFonts w:ascii="Verdana" w:eastAsiaTheme="minorEastAsia" w:hAnsi="Verdana"/>
          <w:sz w:val="24"/>
          <w:szCs w:val="24"/>
        </w:rPr>
        <w:t xml:space="preserve">Se elaboró el acto administrativo con Resolución No.227 del 26 de noviembre de 2014 con la cual se ordena y reconoce el pago del primer desembolso por valor de $700 millones de pesos.  </w:t>
      </w:r>
    </w:p>
    <w:p w:rsidR="00C310DF" w:rsidRPr="00BC7F3F" w:rsidRDefault="00C310DF" w:rsidP="00C310DF">
      <w:pPr>
        <w:shd w:val="clear" w:color="auto" w:fill="FFFFFF"/>
        <w:spacing w:after="0" w:line="240" w:lineRule="auto"/>
        <w:contextualSpacing/>
        <w:jc w:val="both"/>
        <w:rPr>
          <w:rFonts w:ascii="Verdana" w:eastAsia="Arial" w:hAnsi="Verdana"/>
          <w:sz w:val="24"/>
          <w:szCs w:val="24"/>
          <w:lang w:val="es-ES_tradnl"/>
        </w:rPr>
      </w:pPr>
    </w:p>
    <w:p w:rsidR="00C310DF" w:rsidRPr="006066E0" w:rsidRDefault="006066E0" w:rsidP="00582BDE">
      <w:pPr>
        <w:pStyle w:val="Subttulo"/>
        <w:numPr>
          <w:ilvl w:val="0"/>
          <w:numId w:val="136"/>
        </w:numPr>
        <w:spacing w:after="0"/>
        <w:contextualSpacing/>
        <w:outlineLvl w:val="1"/>
        <w:rPr>
          <w:rFonts w:ascii="Verdana" w:eastAsia="Arial" w:hAnsi="Verdana"/>
          <w:b/>
          <w:color w:val="4F81BD" w:themeColor="accent1"/>
          <w:sz w:val="24"/>
          <w:szCs w:val="24"/>
          <w:lang w:val="es-CO"/>
        </w:rPr>
      </w:pPr>
      <w:bookmarkStart w:id="125" w:name="_Toc412128211"/>
      <w:r w:rsidRPr="006066E0">
        <w:rPr>
          <w:rFonts w:ascii="Verdana" w:eastAsia="Arial" w:hAnsi="Verdana"/>
          <w:b/>
          <w:color w:val="4F81BD" w:themeColor="accent1"/>
          <w:sz w:val="24"/>
          <w:szCs w:val="24"/>
          <w:lang w:val="es-CO"/>
        </w:rPr>
        <w:t>EFICIENCIA ADMINISTRATIVA</w:t>
      </w:r>
      <w:bookmarkEnd w:id="125"/>
    </w:p>
    <w:p w:rsidR="00C310DF" w:rsidRPr="00BC7F3F" w:rsidRDefault="00C310DF" w:rsidP="00C310DF">
      <w:pPr>
        <w:spacing w:after="0" w:line="240" w:lineRule="auto"/>
        <w:rPr>
          <w:rFonts w:ascii="Verdana" w:hAnsi="Verdana"/>
          <w:sz w:val="24"/>
          <w:szCs w:val="24"/>
          <w:lang w:eastAsia="es-ES"/>
        </w:rPr>
      </w:pPr>
    </w:p>
    <w:p w:rsidR="00C310DF" w:rsidRPr="006066E0" w:rsidRDefault="00C310DF" w:rsidP="00582BDE">
      <w:pPr>
        <w:pStyle w:val="Subttulo"/>
        <w:numPr>
          <w:ilvl w:val="1"/>
          <w:numId w:val="136"/>
        </w:numPr>
        <w:spacing w:after="0"/>
        <w:ind w:left="567" w:hanging="646"/>
        <w:contextualSpacing/>
        <w:outlineLvl w:val="2"/>
        <w:rPr>
          <w:rFonts w:ascii="Verdana" w:eastAsia="Arial" w:hAnsi="Verdana"/>
          <w:b/>
          <w:color w:val="4F81BD" w:themeColor="accent1"/>
          <w:sz w:val="24"/>
          <w:szCs w:val="24"/>
          <w:lang w:val="es-CO"/>
        </w:rPr>
      </w:pPr>
      <w:bookmarkStart w:id="126" w:name="_Toc412128212"/>
      <w:r w:rsidRPr="006066E0">
        <w:rPr>
          <w:rFonts w:ascii="Verdana" w:eastAsia="Arial" w:hAnsi="Verdana"/>
          <w:b/>
          <w:color w:val="4F81BD" w:themeColor="accent1"/>
          <w:sz w:val="24"/>
          <w:szCs w:val="24"/>
          <w:lang w:val="es-CO"/>
        </w:rPr>
        <w:t>Estrategia “Cero Papel”:</w:t>
      </w:r>
      <w:bookmarkEnd w:id="126"/>
    </w:p>
    <w:p w:rsidR="00C310DF" w:rsidRPr="00BC7F3F" w:rsidRDefault="00C310DF" w:rsidP="00C310DF">
      <w:pPr>
        <w:spacing w:after="0" w:line="240" w:lineRule="auto"/>
        <w:contextualSpacing/>
        <w:jc w:val="both"/>
        <w:rPr>
          <w:rFonts w:ascii="Verdana" w:hAnsi="Verdana"/>
          <w:color w:val="222222"/>
          <w:sz w:val="24"/>
          <w:szCs w:val="24"/>
          <w:shd w:val="clear" w:color="auto" w:fill="FFFFFF"/>
        </w:rPr>
      </w:pPr>
    </w:p>
    <w:p w:rsidR="00C310DF" w:rsidRPr="00BC7F3F" w:rsidRDefault="00C310DF" w:rsidP="00C310DF">
      <w:pPr>
        <w:spacing w:after="0" w:line="240" w:lineRule="auto"/>
        <w:contextualSpacing/>
        <w:jc w:val="both"/>
        <w:rPr>
          <w:rFonts w:ascii="Verdana" w:hAnsi="Verdana"/>
          <w:color w:val="222222"/>
          <w:sz w:val="24"/>
          <w:szCs w:val="24"/>
          <w:shd w:val="clear" w:color="auto" w:fill="FFFFFF"/>
        </w:rPr>
      </w:pPr>
      <w:r w:rsidRPr="00BC7F3F">
        <w:rPr>
          <w:rFonts w:ascii="Verdana" w:hAnsi="Verdana"/>
          <w:color w:val="222222"/>
          <w:sz w:val="24"/>
          <w:szCs w:val="24"/>
          <w:shd w:val="clear" w:color="auto" w:fill="FFFFFF"/>
        </w:rPr>
        <w:lastRenderedPageBreak/>
        <w:t>Con relación a la eficiencia del consumo de papel, la Entidad ha generado la cultura de la impresión a doble cara de los documentos que se producen en cumplimiento de sus funciones. Los equipos de cómputo de los funcionarios tienen la opción de imprimir en borrador de manera que se optimice la utilización de los tóneres. Se ha procurado porque no se impriman documentos borrador para ser corregidos, éstos son revisados desde los equipos de cómputo y se procede a imprimir en caso que se requiera. Los actos administrativos y demás comunicaciones que elabora la Entidad así como documentación externa y de interés general que requiere de divulgación masiva, se realiza a través del correo electrónico. Las comunicaciones internas que no requieren hacer parte integral de un expediente de la Entidad, se realizan a través del correo electrónico.</w:t>
      </w:r>
    </w:p>
    <w:p w:rsidR="00C310DF" w:rsidRPr="00BC7F3F" w:rsidRDefault="00C310DF" w:rsidP="00C310DF">
      <w:pPr>
        <w:spacing w:after="0" w:line="240" w:lineRule="auto"/>
        <w:contextualSpacing/>
        <w:jc w:val="both"/>
        <w:rPr>
          <w:rFonts w:ascii="Verdana" w:hAnsi="Verdana"/>
          <w:color w:val="222222"/>
          <w:sz w:val="24"/>
          <w:szCs w:val="24"/>
          <w:shd w:val="clear" w:color="auto" w:fill="FFFFFF"/>
        </w:rPr>
      </w:pPr>
    </w:p>
    <w:p w:rsidR="00C310DF" w:rsidRPr="006066E0" w:rsidRDefault="00C310DF" w:rsidP="00582BDE">
      <w:pPr>
        <w:pStyle w:val="Subttulo"/>
        <w:numPr>
          <w:ilvl w:val="1"/>
          <w:numId w:val="136"/>
        </w:numPr>
        <w:spacing w:after="0"/>
        <w:ind w:left="567" w:hanging="646"/>
        <w:contextualSpacing/>
        <w:outlineLvl w:val="2"/>
        <w:rPr>
          <w:rFonts w:ascii="Verdana" w:eastAsia="Arial" w:hAnsi="Verdana"/>
          <w:b/>
          <w:color w:val="4F81BD" w:themeColor="accent1"/>
          <w:sz w:val="24"/>
          <w:szCs w:val="24"/>
          <w:lang w:val="es-CO"/>
        </w:rPr>
      </w:pPr>
      <w:bookmarkStart w:id="127" w:name="_Toc412128213"/>
      <w:r w:rsidRPr="006066E0">
        <w:rPr>
          <w:rFonts w:ascii="Verdana" w:eastAsia="Arial" w:hAnsi="Verdana"/>
          <w:b/>
          <w:color w:val="4F81BD" w:themeColor="accent1"/>
          <w:sz w:val="24"/>
          <w:szCs w:val="24"/>
          <w:lang w:val="es-CO"/>
        </w:rPr>
        <w:t>Gestión Documental:</w:t>
      </w:r>
      <w:bookmarkEnd w:id="127"/>
    </w:p>
    <w:p w:rsidR="00C310DF" w:rsidRPr="00BC7F3F" w:rsidRDefault="00C310DF" w:rsidP="00C310DF">
      <w:pPr>
        <w:spacing w:after="0" w:line="240" w:lineRule="auto"/>
        <w:contextualSpacing/>
        <w:jc w:val="both"/>
        <w:rPr>
          <w:rFonts w:ascii="Verdana" w:hAnsi="Verdana"/>
          <w:color w:val="222222"/>
          <w:sz w:val="24"/>
          <w:szCs w:val="24"/>
          <w:shd w:val="clear" w:color="auto" w:fill="FFFFFF"/>
        </w:rPr>
      </w:pPr>
    </w:p>
    <w:p w:rsidR="00C310DF" w:rsidRPr="00BC7F3F" w:rsidRDefault="00C310DF" w:rsidP="00C310DF">
      <w:pPr>
        <w:spacing w:after="0" w:line="240" w:lineRule="auto"/>
        <w:contextualSpacing/>
        <w:jc w:val="both"/>
        <w:rPr>
          <w:rFonts w:ascii="Verdana" w:hAnsi="Verdana"/>
          <w:color w:val="222222"/>
          <w:sz w:val="24"/>
          <w:szCs w:val="24"/>
          <w:shd w:val="clear" w:color="auto" w:fill="FFFFFF"/>
        </w:rPr>
      </w:pPr>
      <w:r w:rsidRPr="00BC7F3F">
        <w:rPr>
          <w:rFonts w:ascii="Verdana" w:hAnsi="Verdana"/>
          <w:color w:val="222222"/>
          <w:sz w:val="24"/>
          <w:szCs w:val="24"/>
          <w:shd w:val="clear" w:color="auto" w:fill="FFFFFF"/>
        </w:rPr>
        <w:t>En relación con el tema de Gestión Documental, se han realizado las siguientes actividades:</w:t>
      </w:r>
    </w:p>
    <w:p w:rsidR="00C310DF" w:rsidRPr="00BC7F3F" w:rsidRDefault="00C310DF" w:rsidP="00C310DF">
      <w:pPr>
        <w:spacing w:after="0" w:line="240" w:lineRule="auto"/>
        <w:contextualSpacing/>
        <w:jc w:val="both"/>
        <w:rPr>
          <w:rFonts w:ascii="Verdana" w:hAnsi="Verdana"/>
          <w:color w:val="222222"/>
          <w:sz w:val="24"/>
          <w:szCs w:val="24"/>
          <w:shd w:val="clear" w:color="auto" w:fill="FFFFFF"/>
        </w:rPr>
      </w:pPr>
    </w:p>
    <w:p w:rsidR="00C310DF" w:rsidRPr="006066E0" w:rsidRDefault="00C310DF" w:rsidP="00582BDE">
      <w:pPr>
        <w:pStyle w:val="Prrafodelista"/>
        <w:numPr>
          <w:ilvl w:val="0"/>
          <w:numId w:val="146"/>
        </w:numPr>
        <w:spacing w:after="0" w:line="240" w:lineRule="auto"/>
        <w:jc w:val="both"/>
        <w:rPr>
          <w:rFonts w:ascii="Verdana" w:eastAsiaTheme="minorEastAsia" w:hAnsi="Verdana"/>
          <w:noProof/>
          <w:sz w:val="24"/>
          <w:szCs w:val="24"/>
          <w:lang w:val="es-ES_tradnl"/>
        </w:rPr>
      </w:pPr>
      <w:r w:rsidRPr="006066E0">
        <w:rPr>
          <w:rFonts w:ascii="Verdana" w:hAnsi="Verdana"/>
          <w:color w:val="222222"/>
          <w:sz w:val="24"/>
          <w:szCs w:val="24"/>
          <w:shd w:val="clear" w:color="auto" w:fill="FFFFFF"/>
        </w:rPr>
        <w:t>I</w:t>
      </w:r>
      <w:r w:rsidRPr="006066E0">
        <w:rPr>
          <w:rFonts w:ascii="Verdana" w:eastAsiaTheme="minorEastAsia" w:hAnsi="Verdana"/>
          <w:noProof/>
          <w:sz w:val="24"/>
          <w:szCs w:val="24"/>
          <w:lang w:val="es-ES_tradnl"/>
        </w:rPr>
        <w:t>mplementación de la hoja de control para los expedientes que genera el CNMH en cumplimiento de sus funciones.</w:t>
      </w:r>
    </w:p>
    <w:p w:rsidR="00C310DF" w:rsidRPr="006066E0" w:rsidRDefault="00C310DF" w:rsidP="00582BDE">
      <w:pPr>
        <w:pStyle w:val="Prrafodelista"/>
        <w:numPr>
          <w:ilvl w:val="0"/>
          <w:numId w:val="146"/>
        </w:numPr>
        <w:spacing w:after="0" w:line="240" w:lineRule="auto"/>
        <w:jc w:val="both"/>
        <w:rPr>
          <w:rFonts w:ascii="Verdana" w:eastAsiaTheme="minorEastAsia" w:hAnsi="Verdana"/>
          <w:noProof/>
          <w:sz w:val="24"/>
          <w:szCs w:val="24"/>
          <w:lang w:val="es-ES_tradnl"/>
        </w:rPr>
      </w:pPr>
      <w:r w:rsidRPr="006066E0">
        <w:rPr>
          <w:rFonts w:ascii="Verdana" w:eastAsiaTheme="minorEastAsia" w:hAnsi="Verdana"/>
          <w:noProof/>
          <w:sz w:val="24"/>
          <w:szCs w:val="24"/>
          <w:lang w:val="es-ES_tradnl"/>
        </w:rPr>
        <w:t xml:space="preserve">Utilizando el consecutivo único de radicación que permite la trazabilidad de la información </w:t>
      </w:r>
    </w:p>
    <w:p w:rsidR="00C310DF" w:rsidRPr="006066E0" w:rsidRDefault="00C310DF" w:rsidP="00582BDE">
      <w:pPr>
        <w:pStyle w:val="Prrafodelista"/>
        <w:numPr>
          <w:ilvl w:val="0"/>
          <w:numId w:val="146"/>
        </w:numPr>
        <w:spacing w:after="0" w:line="240" w:lineRule="auto"/>
        <w:jc w:val="both"/>
        <w:rPr>
          <w:rFonts w:ascii="Verdana" w:eastAsiaTheme="minorEastAsia" w:hAnsi="Verdana"/>
          <w:noProof/>
          <w:sz w:val="24"/>
          <w:szCs w:val="24"/>
          <w:lang w:val="es-ES_tradnl"/>
        </w:rPr>
      </w:pPr>
      <w:r w:rsidRPr="006066E0">
        <w:rPr>
          <w:rFonts w:ascii="Verdana" w:eastAsiaTheme="minorEastAsia" w:hAnsi="Verdana"/>
          <w:noProof/>
          <w:sz w:val="24"/>
          <w:szCs w:val="24"/>
          <w:lang w:val="es-ES_tradnl"/>
        </w:rPr>
        <w:t>Elaboración de las tablas de retención documental del Centro, que establecen criterios de ordenación y disponibilidad de la información, las cuales se encuentran en proceso de validacion con el Archivo General de la Nación.</w:t>
      </w:r>
    </w:p>
    <w:p w:rsidR="00C310DF" w:rsidRPr="006066E0" w:rsidRDefault="00C310DF" w:rsidP="00582BDE">
      <w:pPr>
        <w:pStyle w:val="Prrafodelista"/>
        <w:numPr>
          <w:ilvl w:val="0"/>
          <w:numId w:val="146"/>
        </w:numPr>
        <w:spacing w:after="0" w:line="240" w:lineRule="auto"/>
        <w:jc w:val="both"/>
        <w:rPr>
          <w:rFonts w:ascii="Verdana" w:eastAsiaTheme="minorEastAsia" w:hAnsi="Verdana"/>
          <w:noProof/>
          <w:sz w:val="24"/>
          <w:szCs w:val="24"/>
          <w:lang w:val="es-ES_tradnl"/>
        </w:rPr>
      </w:pPr>
      <w:r w:rsidRPr="006066E0">
        <w:rPr>
          <w:rFonts w:ascii="Verdana" w:eastAsiaTheme="minorEastAsia" w:hAnsi="Verdana"/>
          <w:noProof/>
          <w:sz w:val="24"/>
          <w:szCs w:val="24"/>
          <w:lang w:val="es-ES_tradnl"/>
        </w:rPr>
        <w:t>Levantameinto de los procedimientos de gestión documental, se aprobaron y se socializaron.</w:t>
      </w:r>
    </w:p>
    <w:p w:rsidR="00C310DF" w:rsidRPr="006066E0" w:rsidRDefault="00C310DF" w:rsidP="006066E0">
      <w:pPr>
        <w:pStyle w:val="Subttulo"/>
        <w:numPr>
          <w:ilvl w:val="0"/>
          <w:numId w:val="0"/>
        </w:numPr>
        <w:spacing w:after="0"/>
        <w:ind w:left="567"/>
        <w:contextualSpacing/>
        <w:outlineLvl w:val="2"/>
        <w:rPr>
          <w:rFonts w:ascii="Verdana" w:eastAsia="Arial" w:hAnsi="Verdana"/>
          <w:b/>
          <w:color w:val="4F81BD" w:themeColor="accent1"/>
          <w:sz w:val="24"/>
          <w:szCs w:val="24"/>
          <w:lang w:val="es-CO"/>
        </w:rPr>
      </w:pPr>
    </w:p>
    <w:p w:rsidR="00C310DF" w:rsidRPr="006066E0" w:rsidRDefault="00C310DF" w:rsidP="00582BDE">
      <w:pPr>
        <w:pStyle w:val="Subttulo"/>
        <w:numPr>
          <w:ilvl w:val="1"/>
          <w:numId w:val="136"/>
        </w:numPr>
        <w:spacing w:after="0"/>
        <w:ind w:left="567" w:hanging="646"/>
        <w:contextualSpacing/>
        <w:outlineLvl w:val="2"/>
        <w:rPr>
          <w:rFonts w:ascii="Verdana" w:eastAsia="Arial" w:hAnsi="Verdana"/>
          <w:b/>
          <w:color w:val="4F81BD" w:themeColor="accent1"/>
          <w:sz w:val="24"/>
          <w:szCs w:val="24"/>
          <w:lang w:val="es-CO"/>
        </w:rPr>
      </w:pPr>
      <w:bookmarkStart w:id="128" w:name="_Toc412128215"/>
      <w:r w:rsidRPr="006066E0">
        <w:rPr>
          <w:rFonts w:ascii="Verdana" w:eastAsia="Arial" w:hAnsi="Verdana"/>
          <w:b/>
          <w:color w:val="4F81BD" w:themeColor="accent1"/>
          <w:sz w:val="24"/>
          <w:szCs w:val="24"/>
          <w:lang w:val="es-CO"/>
        </w:rPr>
        <w:t>Estrategia de Gobierno en Línea:</w:t>
      </w:r>
      <w:bookmarkEnd w:id="128"/>
    </w:p>
    <w:p w:rsidR="00C310DF" w:rsidRPr="00BC7F3F" w:rsidRDefault="00C310DF" w:rsidP="00C310DF">
      <w:pPr>
        <w:spacing w:after="0" w:line="240" w:lineRule="auto"/>
        <w:ind w:left="-66"/>
        <w:contextualSpacing/>
        <w:jc w:val="both"/>
        <w:rPr>
          <w:rFonts w:ascii="Verdana" w:eastAsiaTheme="minorEastAsia" w:hAnsi="Verdana"/>
          <w:noProof/>
          <w:sz w:val="24"/>
          <w:szCs w:val="24"/>
          <w:lang w:val="es-ES_tradnl"/>
        </w:rPr>
      </w:pPr>
    </w:p>
    <w:p w:rsidR="00C310DF" w:rsidRPr="00BC7F3F" w:rsidRDefault="00C310DF" w:rsidP="00C310DF">
      <w:pPr>
        <w:spacing w:after="0" w:line="240" w:lineRule="auto"/>
        <w:ind w:left="-66"/>
        <w:contextualSpacing/>
        <w:jc w:val="both"/>
        <w:rPr>
          <w:rFonts w:ascii="Verdana" w:eastAsiaTheme="minorEastAsia" w:hAnsi="Verdana"/>
          <w:noProof/>
          <w:sz w:val="24"/>
          <w:szCs w:val="24"/>
          <w:lang w:val="es-ES_tradnl"/>
        </w:rPr>
      </w:pPr>
      <w:r w:rsidRPr="00BC7F3F">
        <w:rPr>
          <w:rFonts w:ascii="Verdana" w:eastAsiaTheme="minorEastAsia" w:hAnsi="Verdana"/>
          <w:noProof/>
          <w:sz w:val="24"/>
          <w:szCs w:val="24"/>
          <w:lang w:val="es-ES_tradnl"/>
        </w:rPr>
        <w:t>Se ha trabajado en la apropiación e implementación de la Estrategia de Gobierno en Línea, en los siguientes frentes:</w:t>
      </w:r>
    </w:p>
    <w:p w:rsidR="00C310DF" w:rsidRPr="006066E0" w:rsidRDefault="00C310DF" w:rsidP="00582BDE">
      <w:pPr>
        <w:pStyle w:val="Prrafodelista"/>
        <w:numPr>
          <w:ilvl w:val="0"/>
          <w:numId w:val="147"/>
        </w:numPr>
        <w:spacing w:after="0" w:line="240" w:lineRule="auto"/>
        <w:jc w:val="both"/>
        <w:rPr>
          <w:rFonts w:ascii="Verdana" w:eastAsiaTheme="minorEastAsia" w:hAnsi="Verdana"/>
          <w:noProof/>
          <w:sz w:val="24"/>
          <w:szCs w:val="24"/>
          <w:lang w:val="es-ES_tradnl"/>
        </w:rPr>
      </w:pPr>
      <w:r w:rsidRPr="006066E0">
        <w:rPr>
          <w:rFonts w:ascii="Verdana" w:eastAsiaTheme="minorEastAsia" w:hAnsi="Verdana"/>
          <w:noProof/>
          <w:sz w:val="24"/>
          <w:szCs w:val="24"/>
          <w:lang w:val="es-ES_tradnl"/>
        </w:rPr>
        <w:t xml:space="preserve">Publicacion de Datos Abiertos, </w:t>
      </w:r>
    </w:p>
    <w:p w:rsidR="00C310DF" w:rsidRPr="006066E0" w:rsidRDefault="00C310DF" w:rsidP="00582BDE">
      <w:pPr>
        <w:pStyle w:val="Prrafodelista"/>
        <w:numPr>
          <w:ilvl w:val="0"/>
          <w:numId w:val="147"/>
        </w:numPr>
        <w:spacing w:after="0" w:line="240" w:lineRule="auto"/>
        <w:jc w:val="both"/>
        <w:rPr>
          <w:rFonts w:ascii="Verdana" w:eastAsiaTheme="minorEastAsia" w:hAnsi="Verdana"/>
          <w:noProof/>
          <w:sz w:val="24"/>
          <w:szCs w:val="24"/>
          <w:lang w:val="es-ES_tradnl"/>
        </w:rPr>
      </w:pPr>
      <w:r w:rsidRPr="006066E0">
        <w:rPr>
          <w:rFonts w:ascii="Verdana" w:eastAsiaTheme="minorEastAsia" w:hAnsi="Verdana"/>
          <w:noProof/>
          <w:sz w:val="24"/>
          <w:szCs w:val="24"/>
          <w:lang w:val="es-ES_tradnl"/>
        </w:rPr>
        <w:t xml:space="preserve">Mejoras en la accesibildad y usabilidad de la página web del Centro, </w:t>
      </w:r>
    </w:p>
    <w:p w:rsidR="00C310DF" w:rsidRPr="006066E0" w:rsidRDefault="00C310DF" w:rsidP="00582BDE">
      <w:pPr>
        <w:pStyle w:val="Prrafodelista"/>
        <w:numPr>
          <w:ilvl w:val="0"/>
          <w:numId w:val="147"/>
        </w:numPr>
        <w:spacing w:after="0" w:line="240" w:lineRule="auto"/>
        <w:jc w:val="both"/>
        <w:rPr>
          <w:rFonts w:ascii="Verdana" w:eastAsiaTheme="minorEastAsia" w:hAnsi="Verdana"/>
          <w:noProof/>
          <w:sz w:val="24"/>
          <w:szCs w:val="24"/>
          <w:lang w:val="es-ES_tradnl"/>
        </w:rPr>
      </w:pPr>
      <w:r w:rsidRPr="006066E0">
        <w:rPr>
          <w:rFonts w:ascii="Verdana" w:eastAsiaTheme="minorEastAsia" w:hAnsi="Verdana"/>
          <w:noProof/>
          <w:sz w:val="24"/>
          <w:szCs w:val="24"/>
          <w:lang w:val="es-ES_tradnl"/>
        </w:rPr>
        <w:t xml:space="preserve">Implementacion de la Intranet como herramienta de automatización de procesos de la entidad. </w:t>
      </w:r>
    </w:p>
    <w:p w:rsidR="00C310DF" w:rsidRPr="006066E0" w:rsidRDefault="00C310DF" w:rsidP="00582BDE">
      <w:pPr>
        <w:pStyle w:val="Prrafodelista"/>
        <w:numPr>
          <w:ilvl w:val="0"/>
          <w:numId w:val="147"/>
        </w:numPr>
        <w:spacing w:after="0" w:line="240" w:lineRule="auto"/>
        <w:jc w:val="both"/>
        <w:rPr>
          <w:rFonts w:ascii="Verdana" w:eastAsiaTheme="minorEastAsia" w:hAnsi="Verdana"/>
          <w:noProof/>
          <w:sz w:val="24"/>
          <w:szCs w:val="24"/>
          <w:lang w:val="es-ES_tradnl"/>
        </w:rPr>
      </w:pPr>
      <w:r w:rsidRPr="006066E0">
        <w:rPr>
          <w:rFonts w:ascii="Verdana" w:eastAsiaTheme="minorEastAsia" w:hAnsi="Verdana"/>
          <w:noProof/>
          <w:sz w:val="24"/>
          <w:szCs w:val="24"/>
          <w:lang w:val="es-ES_tradnl"/>
        </w:rPr>
        <w:t>Diseño e implementacion del Sistema de Seguridad de la Información SGSI basado en la norma ISO 27001:2013.</w:t>
      </w:r>
    </w:p>
    <w:p w:rsidR="00C310DF" w:rsidRPr="00BC7F3F" w:rsidRDefault="00C310DF" w:rsidP="00C310DF">
      <w:pPr>
        <w:spacing w:after="0" w:line="240" w:lineRule="auto"/>
        <w:ind w:left="-66"/>
        <w:contextualSpacing/>
        <w:jc w:val="both"/>
        <w:rPr>
          <w:rFonts w:ascii="Verdana" w:eastAsiaTheme="minorEastAsia" w:hAnsi="Verdana"/>
          <w:noProof/>
          <w:sz w:val="24"/>
          <w:szCs w:val="24"/>
          <w:highlight w:val="yellow"/>
          <w:lang w:val="es-ES_tradnl"/>
        </w:rPr>
      </w:pPr>
    </w:p>
    <w:p w:rsidR="00C310DF" w:rsidRPr="006066E0" w:rsidRDefault="006066E0" w:rsidP="00582BDE">
      <w:pPr>
        <w:pStyle w:val="Subttulo"/>
        <w:numPr>
          <w:ilvl w:val="0"/>
          <w:numId w:val="136"/>
        </w:numPr>
        <w:spacing w:after="0"/>
        <w:contextualSpacing/>
        <w:outlineLvl w:val="1"/>
        <w:rPr>
          <w:rFonts w:ascii="Verdana" w:eastAsia="Arial" w:hAnsi="Verdana"/>
          <w:b/>
          <w:color w:val="4F81BD" w:themeColor="accent1"/>
          <w:sz w:val="24"/>
          <w:szCs w:val="24"/>
          <w:lang w:val="es-CO"/>
        </w:rPr>
      </w:pPr>
      <w:bookmarkStart w:id="129" w:name="_Toc412128217"/>
      <w:r w:rsidRPr="006066E0">
        <w:rPr>
          <w:rFonts w:ascii="Verdana" w:eastAsia="Arial" w:hAnsi="Verdana"/>
          <w:b/>
          <w:color w:val="4F81BD" w:themeColor="accent1"/>
          <w:sz w:val="24"/>
          <w:szCs w:val="24"/>
          <w:lang w:val="es-CO"/>
        </w:rPr>
        <w:t>ESTRATEGIA TECNOLÓGICA</w:t>
      </w:r>
      <w:bookmarkEnd w:id="129"/>
    </w:p>
    <w:p w:rsidR="00C310DF" w:rsidRPr="00BC7F3F" w:rsidRDefault="00C310DF" w:rsidP="00C310DF">
      <w:pPr>
        <w:shd w:val="clear" w:color="auto" w:fill="FFFFFF"/>
        <w:spacing w:after="0" w:line="240" w:lineRule="auto"/>
        <w:contextualSpacing/>
        <w:jc w:val="both"/>
        <w:rPr>
          <w:rFonts w:ascii="Verdana" w:eastAsia="Arial" w:hAnsi="Verdana"/>
          <w:sz w:val="24"/>
          <w:szCs w:val="24"/>
        </w:rPr>
      </w:pPr>
    </w:p>
    <w:p w:rsidR="00C310DF" w:rsidRPr="00BC7F3F" w:rsidRDefault="00C310DF" w:rsidP="00C310DF">
      <w:pPr>
        <w:shd w:val="clear" w:color="auto" w:fill="FFFFFF"/>
        <w:spacing w:after="0" w:line="240" w:lineRule="auto"/>
        <w:contextualSpacing/>
        <w:jc w:val="both"/>
        <w:rPr>
          <w:rFonts w:ascii="Verdana" w:eastAsia="Arial" w:hAnsi="Verdana"/>
          <w:sz w:val="24"/>
          <w:szCs w:val="24"/>
        </w:rPr>
      </w:pPr>
      <w:r w:rsidRPr="00BC7F3F">
        <w:rPr>
          <w:rFonts w:ascii="Verdana" w:eastAsia="Arial" w:hAnsi="Verdana"/>
          <w:sz w:val="24"/>
          <w:szCs w:val="24"/>
        </w:rPr>
        <w:t>A través de  la formulación del proyecto de inversión “Desarrollo del proceso de diseño e implementación de la estrategia tecnológica del centro de memoria histórica”, código BPIN 2012011000302, el CNMH crea e implementa una estrategia tecnológica integral que, además de mejorar y potencializar sus capacidades institucionales, está alineada con los objetivos misionales y satisface los requerimientos de las Direcciones Técnicas y sus funciones, así como la promoción de la difusión y apropiación social de los contenidos desarrollados por el Centro.</w:t>
      </w:r>
    </w:p>
    <w:p w:rsidR="00C310DF" w:rsidRPr="00BC7F3F" w:rsidRDefault="00C310DF" w:rsidP="00C310DF">
      <w:pPr>
        <w:shd w:val="clear" w:color="auto" w:fill="FFFFFF"/>
        <w:spacing w:after="0" w:line="240" w:lineRule="auto"/>
        <w:contextualSpacing/>
        <w:jc w:val="both"/>
        <w:rPr>
          <w:rFonts w:ascii="Verdana" w:eastAsia="Arial" w:hAnsi="Verdana"/>
          <w:sz w:val="24"/>
          <w:szCs w:val="24"/>
        </w:rPr>
      </w:pPr>
    </w:p>
    <w:p w:rsidR="00C310DF" w:rsidRPr="00BC7F3F" w:rsidRDefault="00C310DF" w:rsidP="00C310DF">
      <w:pPr>
        <w:shd w:val="clear" w:color="auto" w:fill="FFFFFF"/>
        <w:spacing w:after="0" w:line="240" w:lineRule="auto"/>
        <w:contextualSpacing/>
        <w:jc w:val="both"/>
        <w:rPr>
          <w:rFonts w:ascii="Verdana" w:eastAsia="Arial" w:hAnsi="Verdana"/>
          <w:sz w:val="24"/>
          <w:szCs w:val="24"/>
        </w:rPr>
      </w:pPr>
      <w:r w:rsidRPr="00BC7F3F">
        <w:rPr>
          <w:rFonts w:ascii="Verdana" w:eastAsia="Arial" w:hAnsi="Verdana"/>
          <w:sz w:val="24"/>
          <w:szCs w:val="24"/>
        </w:rPr>
        <w:t>En este proyecto se han trazado las siguientes metas:</w:t>
      </w:r>
    </w:p>
    <w:p w:rsidR="00C310DF" w:rsidRPr="00BC7F3F" w:rsidRDefault="00C310DF" w:rsidP="00C310DF">
      <w:pPr>
        <w:shd w:val="clear" w:color="auto" w:fill="FFFFFF"/>
        <w:spacing w:after="0" w:line="240" w:lineRule="auto"/>
        <w:contextualSpacing/>
        <w:jc w:val="both"/>
        <w:rPr>
          <w:rFonts w:ascii="Verdana" w:eastAsia="Arial" w:hAnsi="Verdana"/>
          <w:sz w:val="24"/>
          <w:szCs w:val="24"/>
        </w:rPr>
      </w:pPr>
    </w:p>
    <w:tbl>
      <w:tblPr>
        <w:tblStyle w:val="Tabladecuadrcula4-nfasis11"/>
        <w:tblW w:w="5000" w:type="pct"/>
        <w:jc w:val="center"/>
        <w:tblLook w:val="04A0"/>
      </w:tblPr>
      <w:tblGrid>
        <w:gridCol w:w="3788"/>
        <w:gridCol w:w="4064"/>
        <w:gridCol w:w="1163"/>
        <w:gridCol w:w="1227"/>
      </w:tblGrid>
      <w:tr w:rsidR="00C310DF" w:rsidRPr="006066E0" w:rsidTr="006066E0">
        <w:trPr>
          <w:cnfStyle w:val="100000000000"/>
          <w:trHeight w:val="386"/>
          <w:jc w:val="center"/>
        </w:trPr>
        <w:tc>
          <w:tcPr>
            <w:cnfStyle w:val="001000000000"/>
            <w:tcW w:w="1849" w:type="pct"/>
            <w:vAlign w:val="center"/>
            <w:hideMark/>
          </w:tcPr>
          <w:p w:rsidR="00C310DF" w:rsidRPr="006066E0" w:rsidRDefault="00C310DF" w:rsidP="00C310DF">
            <w:pPr>
              <w:contextualSpacing/>
              <w:jc w:val="center"/>
              <w:rPr>
                <w:rFonts w:ascii="Verdana" w:hAnsi="Verdana"/>
                <w:b w:val="0"/>
                <w:sz w:val="22"/>
                <w:szCs w:val="24"/>
                <w:lang w:val="es-CO"/>
              </w:rPr>
            </w:pPr>
            <w:r w:rsidRPr="006066E0">
              <w:rPr>
                <w:rFonts w:ascii="Verdana" w:hAnsi="Verdana"/>
                <w:b w:val="0"/>
                <w:bCs w:val="0"/>
                <w:sz w:val="22"/>
                <w:szCs w:val="24"/>
                <w:lang w:val="es-CO"/>
              </w:rPr>
              <w:t>Objetivo</w:t>
            </w:r>
          </w:p>
        </w:tc>
        <w:tc>
          <w:tcPr>
            <w:tcW w:w="1984" w:type="pct"/>
            <w:vAlign w:val="center"/>
            <w:hideMark/>
          </w:tcPr>
          <w:p w:rsidR="00C310DF" w:rsidRPr="006066E0" w:rsidRDefault="00C310DF" w:rsidP="00C310DF">
            <w:pPr>
              <w:contextualSpacing/>
              <w:jc w:val="center"/>
              <w:cnfStyle w:val="100000000000"/>
              <w:rPr>
                <w:rFonts w:ascii="Verdana" w:hAnsi="Verdana"/>
                <w:b w:val="0"/>
                <w:sz w:val="22"/>
                <w:szCs w:val="24"/>
                <w:lang w:val="es-CO"/>
              </w:rPr>
            </w:pPr>
            <w:r w:rsidRPr="006066E0">
              <w:rPr>
                <w:rFonts w:ascii="Verdana" w:hAnsi="Verdana"/>
                <w:b w:val="0"/>
                <w:bCs w:val="0"/>
                <w:sz w:val="22"/>
                <w:szCs w:val="24"/>
                <w:lang w:val="es-CO"/>
              </w:rPr>
              <w:t>Indicador</w:t>
            </w:r>
          </w:p>
        </w:tc>
        <w:tc>
          <w:tcPr>
            <w:tcW w:w="568" w:type="pct"/>
            <w:vAlign w:val="center"/>
            <w:hideMark/>
          </w:tcPr>
          <w:p w:rsidR="00C310DF" w:rsidRPr="006066E0" w:rsidRDefault="00C310DF" w:rsidP="00C310DF">
            <w:pPr>
              <w:contextualSpacing/>
              <w:jc w:val="center"/>
              <w:cnfStyle w:val="100000000000"/>
              <w:rPr>
                <w:rFonts w:ascii="Verdana" w:hAnsi="Verdana"/>
                <w:b w:val="0"/>
                <w:sz w:val="22"/>
                <w:szCs w:val="24"/>
                <w:lang w:val="es-CO"/>
              </w:rPr>
            </w:pPr>
            <w:r w:rsidRPr="006066E0">
              <w:rPr>
                <w:rFonts w:ascii="Verdana" w:hAnsi="Verdana"/>
                <w:b w:val="0"/>
                <w:bCs w:val="0"/>
                <w:sz w:val="22"/>
                <w:szCs w:val="24"/>
                <w:lang w:val="es-CO"/>
              </w:rPr>
              <w:t>Meta 2014</w:t>
            </w:r>
          </w:p>
        </w:tc>
        <w:tc>
          <w:tcPr>
            <w:tcW w:w="600" w:type="pct"/>
            <w:vAlign w:val="center"/>
            <w:hideMark/>
          </w:tcPr>
          <w:p w:rsidR="00C310DF" w:rsidRPr="006066E0" w:rsidRDefault="00C310DF" w:rsidP="00C310DF">
            <w:pPr>
              <w:contextualSpacing/>
              <w:jc w:val="center"/>
              <w:cnfStyle w:val="100000000000"/>
              <w:rPr>
                <w:rFonts w:ascii="Verdana" w:hAnsi="Verdana"/>
                <w:b w:val="0"/>
                <w:sz w:val="22"/>
                <w:szCs w:val="24"/>
                <w:lang w:val="es-CO"/>
              </w:rPr>
            </w:pPr>
            <w:r w:rsidRPr="006066E0">
              <w:rPr>
                <w:rFonts w:ascii="Verdana" w:hAnsi="Verdana"/>
                <w:b w:val="0"/>
                <w:bCs w:val="0"/>
                <w:sz w:val="22"/>
                <w:szCs w:val="24"/>
                <w:lang w:val="es-CO"/>
              </w:rPr>
              <w:t>Logro a 2014</w:t>
            </w:r>
          </w:p>
        </w:tc>
      </w:tr>
      <w:tr w:rsidR="00C310DF" w:rsidRPr="006066E0" w:rsidTr="006066E0">
        <w:trPr>
          <w:cnfStyle w:val="000000100000"/>
          <w:trHeight w:val="209"/>
          <w:jc w:val="center"/>
        </w:trPr>
        <w:tc>
          <w:tcPr>
            <w:cnfStyle w:val="001000000000"/>
            <w:tcW w:w="1849" w:type="pct"/>
            <w:vMerge w:val="restart"/>
            <w:vAlign w:val="center"/>
            <w:hideMark/>
          </w:tcPr>
          <w:p w:rsidR="00C310DF" w:rsidRPr="006066E0" w:rsidRDefault="00C310DF" w:rsidP="00C310DF">
            <w:pPr>
              <w:contextualSpacing/>
              <w:rPr>
                <w:rFonts w:ascii="Verdana" w:hAnsi="Verdana"/>
                <w:b w:val="0"/>
                <w:color w:val="000000"/>
                <w:sz w:val="22"/>
                <w:szCs w:val="24"/>
                <w:lang w:val="es-CO"/>
              </w:rPr>
            </w:pPr>
            <w:r w:rsidRPr="006066E0">
              <w:rPr>
                <w:rFonts w:ascii="Verdana" w:hAnsi="Verdana"/>
                <w:b w:val="0"/>
                <w:bCs w:val="0"/>
                <w:color w:val="000000"/>
                <w:sz w:val="22"/>
                <w:szCs w:val="24"/>
                <w:lang w:val="es-CO"/>
              </w:rPr>
              <w:t>1: Implementar el Sistema Integral de información del CNMH</w:t>
            </w:r>
          </w:p>
        </w:tc>
        <w:tc>
          <w:tcPr>
            <w:tcW w:w="1984" w:type="pct"/>
            <w:vAlign w:val="center"/>
            <w:hideMark/>
          </w:tcPr>
          <w:p w:rsidR="00C310DF" w:rsidRPr="006066E0" w:rsidRDefault="00C310DF" w:rsidP="00C310DF">
            <w:pPr>
              <w:contextualSpacing/>
              <w:cnfStyle w:val="000000100000"/>
              <w:rPr>
                <w:rFonts w:ascii="Verdana" w:hAnsi="Verdana"/>
                <w:color w:val="000000"/>
                <w:sz w:val="22"/>
                <w:szCs w:val="24"/>
                <w:lang w:val="es-CO"/>
              </w:rPr>
            </w:pPr>
            <w:r w:rsidRPr="006066E0">
              <w:rPr>
                <w:rFonts w:ascii="Verdana" w:hAnsi="Verdana"/>
                <w:color w:val="000000"/>
                <w:sz w:val="22"/>
                <w:szCs w:val="24"/>
                <w:lang w:val="es-CO"/>
              </w:rPr>
              <w:t>Módulos del sistema de información misional Implementados</w:t>
            </w:r>
          </w:p>
        </w:tc>
        <w:tc>
          <w:tcPr>
            <w:tcW w:w="568" w:type="pct"/>
            <w:vAlign w:val="center"/>
            <w:hideMark/>
          </w:tcPr>
          <w:p w:rsidR="00C310DF" w:rsidRPr="006066E0" w:rsidRDefault="00C310DF" w:rsidP="00C310DF">
            <w:pPr>
              <w:contextualSpacing/>
              <w:jc w:val="center"/>
              <w:cnfStyle w:val="000000100000"/>
              <w:rPr>
                <w:rFonts w:ascii="Verdana" w:hAnsi="Verdana"/>
                <w:color w:val="000000"/>
                <w:sz w:val="22"/>
                <w:szCs w:val="24"/>
                <w:lang w:val="es-CO"/>
              </w:rPr>
            </w:pPr>
            <w:r w:rsidRPr="006066E0">
              <w:rPr>
                <w:rFonts w:ascii="Verdana" w:hAnsi="Verdana"/>
                <w:color w:val="000000"/>
                <w:sz w:val="22"/>
                <w:szCs w:val="24"/>
                <w:lang w:val="es-CO"/>
              </w:rPr>
              <w:t>3</w:t>
            </w:r>
          </w:p>
        </w:tc>
        <w:tc>
          <w:tcPr>
            <w:tcW w:w="600" w:type="pct"/>
            <w:vAlign w:val="center"/>
            <w:hideMark/>
          </w:tcPr>
          <w:p w:rsidR="00C310DF" w:rsidRPr="006066E0" w:rsidRDefault="00C310DF" w:rsidP="00C310DF">
            <w:pPr>
              <w:contextualSpacing/>
              <w:jc w:val="center"/>
              <w:cnfStyle w:val="000000100000"/>
              <w:rPr>
                <w:rFonts w:ascii="Verdana" w:hAnsi="Verdana"/>
                <w:color w:val="000000"/>
                <w:sz w:val="22"/>
                <w:szCs w:val="24"/>
                <w:lang w:val="es-CO"/>
              </w:rPr>
            </w:pPr>
            <w:r w:rsidRPr="006066E0">
              <w:rPr>
                <w:rFonts w:ascii="Verdana" w:hAnsi="Verdana"/>
                <w:color w:val="000000"/>
                <w:sz w:val="22"/>
                <w:szCs w:val="24"/>
                <w:lang w:val="es-CO"/>
              </w:rPr>
              <w:t>3</w:t>
            </w:r>
          </w:p>
        </w:tc>
      </w:tr>
      <w:tr w:rsidR="00C310DF" w:rsidRPr="006066E0" w:rsidTr="006066E0">
        <w:trPr>
          <w:trHeight w:val="412"/>
          <w:jc w:val="center"/>
        </w:trPr>
        <w:tc>
          <w:tcPr>
            <w:cnfStyle w:val="001000000000"/>
            <w:tcW w:w="1849" w:type="pct"/>
            <w:vMerge/>
            <w:vAlign w:val="center"/>
            <w:hideMark/>
          </w:tcPr>
          <w:p w:rsidR="00C310DF" w:rsidRPr="006066E0" w:rsidRDefault="00C310DF" w:rsidP="00C310DF">
            <w:pPr>
              <w:contextualSpacing/>
              <w:rPr>
                <w:rFonts w:ascii="Verdana" w:hAnsi="Verdana"/>
                <w:b w:val="0"/>
                <w:color w:val="000000"/>
                <w:sz w:val="22"/>
                <w:szCs w:val="24"/>
                <w:lang w:val="es-CO"/>
              </w:rPr>
            </w:pPr>
          </w:p>
        </w:tc>
        <w:tc>
          <w:tcPr>
            <w:tcW w:w="1984" w:type="pct"/>
            <w:vAlign w:val="center"/>
            <w:hideMark/>
          </w:tcPr>
          <w:p w:rsidR="00C310DF" w:rsidRPr="006066E0" w:rsidRDefault="00C310DF" w:rsidP="00C310DF">
            <w:pPr>
              <w:contextualSpacing/>
              <w:cnfStyle w:val="000000000000"/>
              <w:rPr>
                <w:rFonts w:ascii="Verdana" w:hAnsi="Verdana"/>
                <w:color w:val="000000"/>
                <w:sz w:val="22"/>
                <w:szCs w:val="24"/>
                <w:lang w:val="es-CO"/>
              </w:rPr>
            </w:pPr>
            <w:r w:rsidRPr="006066E0">
              <w:rPr>
                <w:rFonts w:ascii="Verdana" w:hAnsi="Verdana"/>
                <w:color w:val="000000"/>
                <w:sz w:val="22"/>
                <w:szCs w:val="24"/>
                <w:lang w:val="es-CO"/>
              </w:rPr>
              <w:t>Componentes de Sede Electrónica Implantados</w:t>
            </w:r>
          </w:p>
        </w:tc>
        <w:tc>
          <w:tcPr>
            <w:tcW w:w="568" w:type="pct"/>
            <w:vAlign w:val="center"/>
            <w:hideMark/>
          </w:tcPr>
          <w:p w:rsidR="00C310DF" w:rsidRPr="006066E0" w:rsidRDefault="00C310DF" w:rsidP="00C310DF">
            <w:pPr>
              <w:contextualSpacing/>
              <w:jc w:val="center"/>
              <w:cnfStyle w:val="000000000000"/>
              <w:rPr>
                <w:rFonts w:ascii="Verdana" w:hAnsi="Verdana"/>
                <w:color w:val="000000"/>
                <w:sz w:val="22"/>
                <w:szCs w:val="24"/>
                <w:lang w:val="es-CO"/>
              </w:rPr>
            </w:pPr>
            <w:r w:rsidRPr="006066E0">
              <w:rPr>
                <w:rFonts w:ascii="Verdana" w:hAnsi="Verdana"/>
                <w:color w:val="000000"/>
                <w:sz w:val="22"/>
                <w:szCs w:val="24"/>
                <w:lang w:val="es-CO"/>
              </w:rPr>
              <w:t>2</w:t>
            </w:r>
          </w:p>
        </w:tc>
        <w:tc>
          <w:tcPr>
            <w:tcW w:w="600" w:type="pct"/>
            <w:vAlign w:val="center"/>
            <w:hideMark/>
          </w:tcPr>
          <w:p w:rsidR="00C310DF" w:rsidRPr="006066E0" w:rsidRDefault="00C310DF" w:rsidP="00C310DF">
            <w:pPr>
              <w:contextualSpacing/>
              <w:jc w:val="center"/>
              <w:cnfStyle w:val="000000000000"/>
              <w:rPr>
                <w:rFonts w:ascii="Verdana" w:hAnsi="Verdana"/>
                <w:color w:val="000000"/>
                <w:sz w:val="22"/>
                <w:szCs w:val="24"/>
                <w:lang w:val="es-CO"/>
              </w:rPr>
            </w:pPr>
            <w:r w:rsidRPr="006066E0">
              <w:rPr>
                <w:rFonts w:ascii="Verdana" w:hAnsi="Verdana"/>
                <w:color w:val="000000"/>
                <w:sz w:val="22"/>
                <w:szCs w:val="24"/>
                <w:lang w:val="es-CO"/>
              </w:rPr>
              <w:t>2</w:t>
            </w:r>
          </w:p>
        </w:tc>
      </w:tr>
      <w:tr w:rsidR="00C310DF" w:rsidRPr="006066E0" w:rsidTr="006066E0">
        <w:trPr>
          <w:cnfStyle w:val="000000100000"/>
          <w:trHeight w:val="249"/>
          <w:jc w:val="center"/>
        </w:trPr>
        <w:tc>
          <w:tcPr>
            <w:cnfStyle w:val="001000000000"/>
            <w:tcW w:w="1849" w:type="pct"/>
            <w:vAlign w:val="center"/>
            <w:hideMark/>
          </w:tcPr>
          <w:p w:rsidR="00C310DF" w:rsidRPr="006066E0" w:rsidRDefault="00C310DF" w:rsidP="00C310DF">
            <w:pPr>
              <w:contextualSpacing/>
              <w:rPr>
                <w:rFonts w:ascii="Verdana" w:hAnsi="Verdana"/>
                <w:b w:val="0"/>
                <w:color w:val="000000"/>
                <w:sz w:val="22"/>
                <w:szCs w:val="24"/>
                <w:lang w:val="es-CO"/>
              </w:rPr>
            </w:pPr>
            <w:r w:rsidRPr="006066E0">
              <w:rPr>
                <w:rFonts w:ascii="Verdana" w:hAnsi="Verdana"/>
                <w:b w:val="0"/>
                <w:bCs w:val="0"/>
                <w:color w:val="000000"/>
                <w:sz w:val="22"/>
                <w:szCs w:val="24"/>
                <w:lang w:val="es-CO"/>
              </w:rPr>
              <w:t>2: Fortalecer, mejorar y modernizar la plataforma tecnológica del CNMH</w:t>
            </w:r>
          </w:p>
        </w:tc>
        <w:tc>
          <w:tcPr>
            <w:tcW w:w="1984" w:type="pct"/>
            <w:vAlign w:val="center"/>
            <w:hideMark/>
          </w:tcPr>
          <w:p w:rsidR="00C310DF" w:rsidRPr="006066E0" w:rsidRDefault="00C310DF" w:rsidP="00C310DF">
            <w:pPr>
              <w:contextualSpacing/>
              <w:cnfStyle w:val="000000100000"/>
              <w:rPr>
                <w:rFonts w:ascii="Verdana" w:hAnsi="Verdana"/>
                <w:color w:val="000000"/>
                <w:sz w:val="22"/>
                <w:szCs w:val="24"/>
                <w:lang w:val="es-CO"/>
              </w:rPr>
            </w:pPr>
            <w:r w:rsidRPr="006066E0">
              <w:rPr>
                <w:rFonts w:ascii="Verdana" w:hAnsi="Verdana"/>
                <w:color w:val="000000"/>
                <w:sz w:val="22"/>
                <w:szCs w:val="24"/>
                <w:lang w:val="es-CO"/>
              </w:rPr>
              <w:t>Servicios y/o soluciones Implementadas</w:t>
            </w:r>
          </w:p>
        </w:tc>
        <w:tc>
          <w:tcPr>
            <w:tcW w:w="568" w:type="pct"/>
            <w:vAlign w:val="center"/>
            <w:hideMark/>
          </w:tcPr>
          <w:p w:rsidR="00C310DF" w:rsidRPr="006066E0" w:rsidRDefault="00C310DF" w:rsidP="00C310DF">
            <w:pPr>
              <w:contextualSpacing/>
              <w:jc w:val="center"/>
              <w:cnfStyle w:val="000000100000"/>
              <w:rPr>
                <w:rFonts w:ascii="Verdana" w:hAnsi="Verdana"/>
                <w:color w:val="000000"/>
                <w:sz w:val="22"/>
                <w:szCs w:val="24"/>
                <w:lang w:val="es-CO"/>
              </w:rPr>
            </w:pPr>
            <w:r w:rsidRPr="006066E0">
              <w:rPr>
                <w:rFonts w:ascii="Verdana" w:hAnsi="Verdana"/>
                <w:color w:val="000000"/>
                <w:sz w:val="22"/>
                <w:szCs w:val="24"/>
                <w:lang w:val="es-CO"/>
              </w:rPr>
              <w:t>3</w:t>
            </w:r>
          </w:p>
        </w:tc>
        <w:tc>
          <w:tcPr>
            <w:tcW w:w="600" w:type="pct"/>
            <w:vAlign w:val="center"/>
            <w:hideMark/>
          </w:tcPr>
          <w:p w:rsidR="00C310DF" w:rsidRPr="006066E0" w:rsidRDefault="00C310DF" w:rsidP="00C310DF">
            <w:pPr>
              <w:contextualSpacing/>
              <w:jc w:val="center"/>
              <w:cnfStyle w:val="000000100000"/>
              <w:rPr>
                <w:rFonts w:ascii="Verdana" w:hAnsi="Verdana"/>
                <w:color w:val="000000"/>
                <w:sz w:val="22"/>
                <w:szCs w:val="24"/>
                <w:lang w:val="es-CO"/>
              </w:rPr>
            </w:pPr>
            <w:r w:rsidRPr="006066E0">
              <w:rPr>
                <w:rFonts w:ascii="Verdana" w:hAnsi="Verdana"/>
                <w:color w:val="000000"/>
                <w:sz w:val="22"/>
                <w:szCs w:val="24"/>
                <w:lang w:val="es-CO"/>
              </w:rPr>
              <w:t>3</w:t>
            </w:r>
          </w:p>
        </w:tc>
      </w:tr>
      <w:tr w:rsidR="00C310DF" w:rsidRPr="006066E0" w:rsidTr="006066E0">
        <w:trPr>
          <w:trHeight w:val="424"/>
          <w:jc w:val="center"/>
        </w:trPr>
        <w:tc>
          <w:tcPr>
            <w:cnfStyle w:val="001000000000"/>
            <w:tcW w:w="1849" w:type="pct"/>
            <w:vAlign w:val="center"/>
            <w:hideMark/>
          </w:tcPr>
          <w:p w:rsidR="00C310DF" w:rsidRPr="006066E0" w:rsidRDefault="00C310DF" w:rsidP="00C310DF">
            <w:pPr>
              <w:contextualSpacing/>
              <w:rPr>
                <w:rFonts w:ascii="Verdana" w:hAnsi="Verdana"/>
                <w:b w:val="0"/>
                <w:color w:val="000000"/>
                <w:sz w:val="22"/>
                <w:szCs w:val="24"/>
                <w:lang w:val="es-CO"/>
              </w:rPr>
            </w:pPr>
            <w:r w:rsidRPr="006066E0">
              <w:rPr>
                <w:rFonts w:ascii="Verdana" w:hAnsi="Verdana"/>
                <w:b w:val="0"/>
                <w:bCs w:val="0"/>
                <w:color w:val="000000"/>
                <w:sz w:val="22"/>
                <w:szCs w:val="24"/>
                <w:lang w:val="es-CO"/>
              </w:rPr>
              <w:t>3: Fortalecer el modelo de Seguridad de la Información del CNMH</w:t>
            </w:r>
          </w:p>
        </w:tc>
        <w:tc>
          <w:tcPr>
            <w:tcW w:w="1984" w:type="pct"/>
            <w:vAlign w:val="center"/>
            <w:hideMark/>
          </w:tcPr>
          <w:p w:rsidR="00C310DF" w:rsidRPr="006066E0" w:rsidRDefault="00C310DF" w:rsidP="00C310DF">
            <w:pPr>
              <w:contextualSpacing/>
              <w:cnfStyle w:val="000000000000"/>
              <w:rPr>
                <w:rFonts w:ascii="Verdana" w:hAnsi="Verdana"/>
                <w:color w:val="000000"/>
                <w:sz w:val="22"/>
                <w:szCs w:val="24"/>
                <w:lang w:val="es-CO"/>
              </w:rPr>
            </w:pPr>
            <w:r w:rsidRPr="006066E0">
              <w:rPr>
                <w:rFonts w:ascii="Verdana" w:hAnsi="Verdana"/>
                <w:color w:val="000000"/>
                <w:sz w:val="22"/>
                <w:szCs w:val="24"/>
                <w:lang w:val="es-CO"/>
              </w:rPr>
              <w:t>Componentes del Sistema de Gestión de Seguridad de la Información Implementados</w:t>
            </w:r>
          </w:p>
        </w:tc>
        <w:tc>
          <w:tcPr>
            <w:tcW w:w="568" w:type="pct"/>
            <w:vAlign w:val="center"/>
            <w:hideMark/>
          </w:tcPr>
          <w:p w:rsidR="00C310DF" w:rsidRPr="006066E0" w:rsidRDefault="00C310DF" w:rsidP="00C310DF">
            <w:pPr>
              <w:contextualSpacing/>
              <w:jc w:val="center"/>
              <w:cnfStyle w:val="000000000000"/>
              <w:rPr>
                <w:rFonts w:ascii="Verdana" w:hAnsi="Verdana"/>
                <w:color w:val="000000"/>
                <w:sz w:val="22"/>
                <w:szCs w:val="24"/>
                <w:lang w:val="es-CO"/>
              </w:rPr>
            </w:pPr>
            <w:r w:rsidRPr="006066E0">
              <w:rPr>
                <w:rFonts w:ascii="Verdana" w:hAnsi="Verdana"/>
                <w:color w:val="000000"/>
                <w:sz w:val="22"/>
                <w:szCs w:val="24"/>
                <w:lang w:val="es-CO"/>
              </w:rPr>
              <w:t>4</w:t>
            </w:r>
          </w:p>
        </w:tc>
        <w:tc>
          <w:tcPr>
            <w:tcW w:w="600" w:type="pct"/>
            <w:vAlign w:val="center"/>
            <w:hideMark/>
          </w:tcPr>
          <w:p w:rsidR="00C310DF" w:rsidRPr="006066E0" w:rsidRDefault="00C310DF" w:rsidP="00C310DF">
            <w:pPr>
              <w:contextualSpacing/>
              <w:jc w:val="center"/>
              <w:cnfStyle w:val="000000000000"/>
              <w:rPr>
                <w:rFonts w:ascii="Verdana" w:hAnsi="Verdana"/>
                <w:color w:val="000000"/>
                <w:sz w:val="22"/>
                <w:szCs w:val="24"/>
                <w:lang w:val="es-CO"/>
              </w:rPr>
            </w:pPr>
            <w:r w:rsidRPr="006066E0">
              <w:rPr>
                <w:rFonts w:ascii="Verdana" w:hAnsi="Verdana"/>
                <w:color w:val="000000"/>
                <w:sz w:val="22"/>
                <w:szCs w:val="24"/>
                <w:lang w:val="es-CO"/>
              </w:rPr>
              <w:t>4</w:t>
            </w:r>
          </w:p>
        </w:tc>
      </w:tr>
      <w:tr w:rsidR="00C310DF" w:rsidRPr="006066E0" w:rsidTr="006066E0">
        <w:trPr>
          <w:cnfStyle w:val="000000100000"/>
          <w:trHeight w:val="108"/>
          <w:jc w:val="center"/>
        </w:trPr>
        <w:tc>
          <w:tcPr>
            <w:cnfStyle w:val="001000000000"/>
            <w:tcW w:w="1849" w:type="pct"/>
            <w:vAlign w:val="center"/>
            <w:hideMark/>
          </w:tcPr>
          <w:p w:rsidR="00C310DF" w:rsidRPr="006066E0" w:rsidRDefault="00C310DF" w:rsidP="00C310DF">
            <w:pPr>
              <w:contextualSpacing/>
              <w:rPr>
                <w:rFonts w:ascii="Verdana" w:hAnsi="Verdana"/>
                <w:b w:val="0"/>
                <w:color w:val="000000"/>
                <w:sz w:val="22"/>
                <w:szCs w:val="24"/>
                <w:lang w:val="es-CO"/>
              </w:rPr>
            </w:pPr>
            <w:r w:rsidRPr="006066E0">
              <w:rPr>
                <w:rFonts w:ascii="Verdana" w:hAnsi="Verdana"/>
                <w:b w:val="0"/>
                <w:bCs w:val="0"/>
                <w:color w:val="000000"/>
                <w:sz w:val="22"/>
                <w:szCs w:val="24"/>
                <w:lang w:val="es-CO"/>
              </w:rPr>
              <w:t>4: Gestionar los servicios TIC del CNMH</w:t>
            </w:r>
          </w:p>
        </w:tc>
        <w:tc>
          <w:tcPr>
            <w:tcW w:w="1984" w:type="pct"/>
            <w:vAlign w:val="center"/>
            <w:hideMark/>
          </w:tcPr>
          <w:p w:rsidR="00C310DF" w:rsidRPr="006066E0" w:rsidRDefault="00C310DF" w:rsidP="00C310DF">
            <w:pPr>
              <w:contextualSpacing/>
              <w:cnfStyle w:val="000000100000"/>
              <w:rPr>
                <w:rFonts w:ascii="Verdana" w:hAnsi="Verdana"/>
                <w:color w:val="000000"/>
                <w:sz w:val="22"/>
                <w:szCs w:val="24"/>
                <w:lang w:val="es-CO"/>
              </w:rPr>
            </w:pPr>
            <w:r w:rsidRPr="006066E0">
              <w:rPr>
                <w:rFonts w:ascii="Verdana" w:hAnsi="Verdana"/>
                <w:color w:val="000000"/>
                <w:sz w:val="22"/>
                <w:szCs w:val="24"/>
                <w:lang w:val="es-CO"/>
              </w:rPr>
              <w:t>Incidentes de TIC Atendidos</w:t>
            </w:r>
          </w:p>
        </w:tc>
        <w:tc>
          <w:tcPr>
            <w:tcW w:w="568" w:type="pct"/>
            <w:vAlign w:val="center"/>
            <w:hideMark/>
          </w:tcPr>
          <w:p w:rsidR="00C310DF" w:rsidRPr="006066E0" w:rsidRDefault="00C310DF" w:rsidP="00C310DF">
            <w:pPr>
              <w:contextualSpacing/>
              <w:jc w:val="center"/>
              <w:cnfStyle w:val="000000100000"/>
              <w:rPr>
                <w:rFonts w:ascii="Verdana" w:hAnsi="Verdana"/>
                <w:color w:val="000000"/>
                <w:sz w:val="22"/>
                <w:szCs w:val="24"/>
                <w:lang w:val="es-CO"/>
              </w:rPr>
            </w:pPr>
            <w:r w:rsidRPr="006066E0">
              <w:rPr>
                <w:rFonts w:ascii="Verdana" w:hAnsi="Verdana"/>
                <w:color w:val="000000"/>
                <w:sz w:val="22"/>
                <w:szCs w:val="24"/>
                <w:lang w:val="es-CO"/>
              </w:rPr>
              <w:t>100%</w:t>
            </w:r>
          </w:p>
        </w:tc>
        <w:tc>
          <w:tcPr>
            <w:tcW w:w="600" w:type="pct"/>
            <w:vAlign w:val="center"/>
            <w:hideMark/>
          </w:tcPr>
          <w:p w:rsidR="00C310DF" w:rsidRPr="006066E0" w:rsidRDefault="00C310DF" w:rsidP="00C310DF">
            <w:pPr>
              <w:contextualSpacing/>
              <w:jc w:val="center"/>
              <w:cnfStyle w:val="000000100000"/>
              <w:rPr>
                <w:rFonts w:ascii="Verdana" w:hAnsi="Verdana"/>
                <w:color w:val="000000"/>
                <w:sz w:val="22"/>
                <w:szCs w:val="24"/>
                <w:lang w:val="es-CO"/>
              </w:rPr>
            </w:pPr>
            <w:r w:rsidRPr="006066E0">
              <w:rPr>
                <w:rFonts w:ascii="Verdana" w:hAnsi="Verdana"/>
                <w:color w:val="000000"/>
                <w:sz w:val="22"/>
                <w:szCs w:val="24"/>
                <w:lang w:val="es-CO"/>
              </w:rPr>
              <w:t>100%</w:t>
            </w:r>
          </w:p>
        </w:tc>
      </w:tr>
    </w:tbl>
    <w:p w:rsidR="00C310DF" w:rsidRPr="00BC7F3F" w:rsidRDefault="00C310DF" w:rsidP="00C310DF">
      <w:pPr>
        <w:spacing w:after="0" w:line="240" w:lineRule="auto"/>
        <w:contextualSpacing/>
        <w:jc w:val="both"/>
        <w:rPr>
          <w:rFonts w:ascii="Verdana" w:hAnsi="Verdana"/>
          <w:sz w:val="24"/>
          <w:szCs w:val="24"/>
        </w:rPr>
      </w:pPr>
    </w:p>
    <w:p w:rsidR="00C310DF" w:rsidRPr="00BC7F3F" w:rsidRDefault="00C310DF" w:rsidP="00C310DF">
      <w:pPr>
        <w:spacing w:after="0" w:line="240" w:lineRule="auto"/>
        <w:contextualSpacing/>
        <w:jc w:val="both"/>
        <w:rPr>
          <w:rFonts w:ascii="Verdana" w:hAnsi="Verdana"/>
          <w:sz w:val="24"/>
          <w:szCs w:val="24"/>
        </w:rPr>
      </w:pPr>
      <w:r w:rsidRPr="00BC7F3F">
        <w:rPr>
          <w:rFonts w:ascii="Verdana" w:hAnsi="Verdana"/>
          <w:sz w:val="24"/>
          <w:szCs w:val="24"/>
        </w:rPr>
        <w:t xml:space="preserve">De acuerdo con los objetivos específicos establecidos en el proyecto y dando cumplimiento al </w:t>
      </w:r>
      <w:r w:rsidRPr="00BC7F3F">
        <w:rPr>
          <w:rFonts w:ascii="Verdana" w:hAnsi="Verdana"/>
          <w:color w:val="222222"/>
          <w:sz w:val="24"/>
          <w:szCs w:val="24"/>
          <w:shd w:val="clear" w:color="auto" w:fill="FFFFFF"/>
        </w:rPr>
        <w:t>Plan Estratégico de Tecnologías de la Información y las Comunicaciones – PETIC del CNMH</w:t>
      </w:r>
      <w:r w:rsidRPr="00BC7F3F">
        <w:rPr>
          <w:rFonts w:ascii="Verdana" w:hAnsi="Verdana"/>
          <w:sz w:val="24"/>
          <w:szCs w:val="24"/>
        </w:rPr>
        <w:t>, se destacan las siguientes acciones y logros alcanzados:</w:t>
      </w:r>
    </w:p>
    <w:p w:rsidR="00C310DF" w:rsidRPr="00BC7F3F" w:rsidRDefault="00C310DF" w:rsidP="00C310DF">
      <w:pPr>
        <w:spacing w:after="0" w:line="240" w:lineRule="auto"/>
        <w:contextualSpacing/>
        <w:jc w:val="both"/>
        <w:rPr>
          <w:rFonts w:ascii="Verdana" w:hAnsi="Verdana"/>
          <w:color w:val="222222"/>
          <w:sz w:val="24"/>
          <w:szCs w:val="24"/>
          <w:shd w:val="clear" w:color="auto" w:fill="FFFFFF"/>
        </w:rPr>
      </w:pPr>
    </w:p>
    <w:p w:rsidR="00C310DF" w:rsidRPr="00BC7F3F" w:rsidRDefault="00C310DF" w:rsidP="00C310DF">
      <w:pPr>
        <w:spacing w:after="0" w:line="240" w:lineRule="auto"/>
        <w:contextualSpacing/>
        <w:rPr>
          <w:rFonts w:ascii="Verdana" w:hAnsi="Verdana"/>
          <w:color w:val="222222"/>
          <w:sz w:val="24"/>
          <w:szCs w:val="24"/>
          <w:shd w:val="clear" w:color="auto" w:fill="FFFFFF"/>
        </w:rPr>
      </w:pPr>
      <w:r w:rsidRPr="00BC7F3F">
        <w:rPr>
          <w:rFonts w:ascii="Verdana" w:hAnsi="Verdana"/>
          <w:b/>
          <w:color w:val="222222"/>
          <w:sz w:val="24"/>
          <w:szCs w:val="24"/>
          <w:shd w:val="clear" w:color="auto" w:fill="FFFFFF"/>
        </w:rPr>
        <w:t>Objetivo 1:</w:t>
      </w:r>
      <w:r w:rsidRPr="00BC7F3F">
        <w:rPr>
          <w:rFonts w:ascii="Verdana" w:hAnsi="Verdana"/>
          <w:color w:val="222222"/>
          <w:sz w:val="24"/>
          <w:szCs w:val="24"/>
          <w:shd w:val="clear" w:color="auto" w:fill="FFFFFF"/>
        </w:rPr>
        <w:t xml:space="preserve"> Implementar el Sistema Integral de información del CNMH</w:t>
      </w:r>
    </w:p>
    <w:p w:rsidR="00C310DF" w:rsidRPr="00BC7F3F" w:rsidRDefault="00C310DF" w:rsidP="00C310DF">
      <w:pPr>
        <w:spacing w:after="0" w:line="240" w:lineRule="auto"/>
        <w:contextualSpacing/>
        <w:jc w:val="both"/>
        <w:rPr>
          <w:rFonts w:ascii="Verdana" w:hAnsi="Verdana"/>
          <w:color w:val="222222"/>
          <w:sz w:val="24"/>
          <w:szCs w:val="24"/>
          <w:shd w:val="clear" w:color="auto" w:fill="FFFFFF"/>
        </w:rPr>
      </w:pPr>
    </w:p>
    <w:p w:rsidR="00C310DF" w:rsidRPr="00BC7F3F" w:rsidRDefault="00C310DF" w:rsidP="00C310DF">
      <w:pPr>
        <w:spacing w:after="0" w:line="240" w:lineRule="auto"/>
        <w:contextualSpacing/>
        <w:jc w:val="both"/>
        <w:rPr>
          <w:rFonts w:ascii="Verdana" w:hAnsi="Verdana" w:cs="Arial"/>
          <w:sz w:val="24"/>
          <w:szCs w:val="24"/>
        </w:rPr>
      </w:pPr>
      <w:r w:rsidRPr="00BC7F3F">
        <w:rPr>
          <w:rFonts w:ascii="Verdana" w:hAnsi="Verdana" w:cs="Arial"/>
          <w:b/>
          <w:sz w:val="24"/>
          <w:szCs w:val="24"/>
        </w:rPr>
        <w:t xml:space="preserve">Actividad: </w:t>
      </w:r>
      <w:r w:rsidRPr="00BC7F3F">
        <w:rPr>
          <w:rFonts w:ascii="Verdana" w:hAnsi="Verdana" w:cs="Arial"/>
          <w:sz w:val="24"/>
          <w:szCs w:val="24"/>
        </w:rPr>
        <w:t>Desarrollar el módulo de acuerdos de la verdad (Fase II).</w:t>
      </w:r>
    </w:p>
    <w:p w:rsidR="00C310DF" w:rsidRPr="00BC7F3F" w:rsidRDefault="00C310DF" w:rsidP="00C310DF">
      <w:pPr>
        <w:spacing w:after="0" w:line="240" w:lineRule="auto"/>
        <w:contextualSpacing/>
        <w:jc w:val="both"/>
        <w:rPr>
          <w:rFonts w:ascii="Verdana" w:hAnsi="Verdana" w:cs="Arial"/>
          <w:sz w:val="24"/>
          <w:szCs w:val="24"/>
        </w:rPr>
      </w:pPr>
    </w:p>
    <w:p w:rsidR="00C310DF" w:rsidRPr="00BC7F3F" w:rsidRDefault="00C310DF" w:rsidP="00C310DF">
      <w:pPr>
        <w:spacing w:after="0" w:line="240" w:lineRule="auto"/>
        <w:contextualSpacing/>
        <w:jc w:val="both"/>
        <w:rPr>
          <w:rFonts w:ascii="Verdana" w:hAnsi="Verdana" w:cs="Arial"/>
          <w:sz w:val="24"/>
          <w:szCs w:val="24"/>
        </w:rPr>
      </w:pPr>
      <w:r w:rsidRPr="00BC7F3F">
        <w:rPr>
          <w:rFonts w:ascii="Verdana" w:hAnsi="Verdana" w:cs="Arial"/>
          <w:sz w:val="24"/>
          <w:szCs w:val="24"/>
        </w:rPr>
        <w:lastRenderedPageBreak/>
        <w:t>En la fase II se dio continuidad a los servicios de solución tecnológica integral para la recepción, análisis y sistematización de los testimonios de los desmovilizados acogidos a la Ley 975 de 2005, en cumplimiento de lo previsto en la Ley 1424 de 2010.</w:t>
      </w:r>
    </w:p>
    <w:p w:rsidR="00C310DF" w:rsidRPr="00BC7F3F" w:rsidRDefault="00C310DF" w:rsidP="00C310DF">
      <w:pPr>
        <w:spacing w:after="0" w:line="240" w:lineRule="auto"/>
        <w:contextualSpacing/>
        <w:jc w:val="both"/>
        <w:rPr>
          <w:rFonts w:ascii="Verdana" w:hAnsi="Verdana" w:cs="Arial"/>
          <w:sz w:val="24"/>
          <w:szCs w:val="24"/>
        </w:rPr>
      </w:pPr>
    </w:p>
    <w:p w:rsidR="00C310DF" w:rsidRPr="00BC7F3F" w:rsidRDefault="00C310DF" w:rsidP="00C310DF">
      <w:pPr>
        <w:spacing w:after="0" w:line="240" w:lineRule="auto"/>
        <w:contextualSpacing/>
        <w:jc w:val="both"/>
        <w:rPr>
          <w:rFonts w:ascii="Verdana" w:hAnsi="Verdana" w:cs="Arial"/>
          <w:sz w:val="24"/>
          <w:szCs w:val="24"/>
        </w:rPr>
      </w:pPr>
      <w:r w:rsidRPr="00BC7F3F">
        <w:rPr>
          <w:rFonts w:ascii="Verdana" w:hAnsi="Verdana" w:cs="Arial"/>
          <w:sz w:val="24"/>
          <w:szCs w:val="24"/>
        </w:rPr>
        <w:t>El aporte que desde el proyecto de tecnología se realizó, incluyó:</w:t>
      </w:r>
    </w:p>
    <w:p w:rsidR="00C310DF" w:rsidRPr="00BC7F3F" w:rsidRDefault="00C310DF" w:rsidP="00C310DF">
      <w:pPr>
        <w:spacing w:after="0" w:line="240" w:lineRule="auto"/>
        <w:contextualSpacing/>
        <w:jc w:val="both"/>
        <w:rPr>
          <w:rFonts w:ascii="Verdana" w:hAnsi="Verdana" w:cs="Arial"/>
          <w:sz w:val="24"/>
          <w:szCs w:val="24"/>
        </w:rPr>
      </w:pPr>
      <w:r w:rsidRPr="00BC7F3F">
        <w:rPr>
          <w:rFonts w:ascii="Verdana" w:hAnsi="Verdana" w:cs="Arial"/>
          <w:sz w:val="24"/>
          <w:szCs w:val="24"/>
        </w:rPr>
        <w:t xml:space="preserve"> </w:t>
      </w:r>
    </w:p>
    <w:p w:rsidR="00C310DF" w:rsidRPr="009D510B" w:rsidRDefault="00C310DF" w:rsidP="00582BDE">
      <w:pPr>
        <w:numPr>
          <w:ilvl w:val="0"/>
          <w:numId w:val="148"/>
        </w:numPr>
        <w:spacing w:after="0" w:line="240" w:lineRule="auto"/>
        <w:contextualSpacing/>
        <w:jc w:val="both"/>
        <w:rPr>
          <w:rFonts w:ascii="Verdana" w:hAnsi="Verdana" w:cs="Arial"/>
          <w:i/>
          <w:sz w:val="24"/>
          <w:szCs w:val="24"/>
        </w:rPr>
      </w:pPr>
      <w:r w:rsidRPr="009D510B">
        <w:rPr>
          <w:rFonts w:ascii="Verdana" w:hAnsi="Verdana" w:cs="Arial"/>
          <w:i/>
          <w:sz w:val="24"/>
          <w:szCs w:val="24"/>
        </w:rPr>
        <w:t xml:space="preserve">Dotación a nivel nacional de las sedes con infraestructura lógica y eléctrica (cableados lógicos, redes eléctricas, UPS, switches y Aires Acondicionados), </w:t>
      </w:r>
    </w:p>
    <w:p w:rsidR="00C310DF" w:rsidRPr="009D510B" w:rsidRDefault="00C310DF" w:rsidP="00582BDE">
      <w:pPr>
        <w:numPr>
          <w:ilvl w:val="0"/>
          <w:numId w:val="148"/>
        </w:numPr>
        <w:spacing w:after="0" w:line="240" w:lineRule="auto"/>
        <w:contextualSpacing/>
        <w:jc w:val="both"/>
        <w:rPr>
          <w:rFonts w:ascii="Verdana" w:hAnsi="Verdana" w:cs="Arial"/>
          <w:i/>
          <w:sz w:val="24"/>
          <w:szCs w:val="24"/>
        </w:rPr>
      </w:pPr>
      <w:r w:rsidRPr="009D510B">
        <w:rPr>
          <w:rFonts w:ascii="Verdana" w:hAnsi="Verdana" w:cs="Arial"/>
          <w:i/>
          <w:sz w:val="24"/>
          <w:szCs w:val="24"/>
        </w:rPr>
        <w:t xml:space="preserve">Servicios de comunicaciones (conectividad entre las sedes y acceso a Internet y telefonía IP), Equipos de cómputo (computadores de escritorio, portátiles, impresoras multifuncionales, grabadoras, videobeams), </w:t>
      </w:r>
    </w:p>
    <w:p w:rsidR="00C310DF" w:rsidRPr="009D510B" w:rsidRDefault="00C310DF" w:rsidP="00582BDE">
      <w:pPr>
        <w:numPr>
          <w:ilvl w:val="0"/>
          <w:numId w:val="148"/>
        </w:numPr>
        <w:spacing w:after="0" w:line="240" w:lineRule="auto"/>
        <w:contextualSpacing/>
        <w:jc w:val="both"/>
        <w:rPr>
          <w:rFonts w:ascii="Verdana" w:hAnsi="Verdana" w:cs="Arial"/>
          <w:i/>
          <w:sz w:val="24"/>
          <w:szCs w:val="24"/>
        </w:rPr>
      </w:pPr>
      <w:r w:rsidRPr="009D510B">
        <w:rPr>
          <w:rFonts w:ascii="Verdana" w:hAnsi="Verdana" w:cs="Arial"/>
          <w:i/>
          <w:sz w:val="24"/>
          <w:szCs w:val="24"/>
        </w:rPr>
        <w:t xml:space="preserve">Software Gestor de Procesos SAIA: puesta en producción, servicio de hosting y almacenamiento centralizado con los esquemas de seguridad requeridos para la transferencia, consulta y análisis de la información producto del levantamiento de Testimonios de desmovilizados que se acogen al proceso de contribución a la Verdad y construcción de la Memoria Histórica en el marco del conflicto armado en Colombia. </w:t>
      </w:r>
    </w:p>
    <w:p w:rsidR="00C310DF" w:rsidRPr="009D510B" w:rsidRDefault="00C310DF" w:rsidP="00582BDE">
      <w:pPr>
        <w:numPr>
          <w:ilvl w:val="0"/>
          <w:numId w:val="148"/>
        </w:numPr>
        <w:spacing w:after="0" w:line="240" w:lineRule="auto"/>
        <w:contextualSpacing/>
        <w:jc w:val="both"/>
        <w:rPr>
          <w:rFonts w:ascii="Verdana" w:hAnsi="Verdana" w:cs="Arial"/>
          <w:i/>
          <w:sz w:val="24"/>
          <w:szCs w:val="24"/>
        </w:rPr>
      </w:pPr>
      <w:r w:rsidRPr="009D510B">
        <w:rPr>
          <w:rFonts w:ascii="Verdana" w:hAnsi="Verdana" w:cs="Arial"/>
          <w:i/>
          <w:sz w:val="24"/>
          <w:szCs w:val="24"/>
        </w:rPr>
        <w:t>Se apoyó el proceso de migración de la información acumulada de 2013 y 2013, contenida en los expedientes físicos de entrevistas y testimonios a la plataforma gestor de procesos SAIA.</w:t>
      </w:r>
    </w:p>
    <w:p w:rsidR="00C310DF" w:rsidRPr="009D510B" w:rsidRDefault="00C310DF" w:rsidP="00582BDE">
      <w:pPr>
        <w:numPr>
          <w:ilvl w:val="0"/>
          <w:numId w:val="148"/>
        </w:numPr>
        <w:spacing w:after="0" w:line="240" w:lineRule="auto"/>
        <w:contextualSpacing/>
        <w:jc w:val="both"/>
        <w:rPr>
          <w:rFonts w:ascii="Verdana" w:hAnsi="Verdana" w:cs="Arial"/>
          <w:i/>
          <w:sz w:val="24"/>
          <w:szCs w:val="24"/>
        </w:rPr>
      </w:pPr>
      <w:r w:rsidRPr="009D510B">
        <w:rPr>
          <w:rFonts w:ascii="Verdana" w:hAnsi="Verdana" w:cs="Arial"/>
          <w:i/>
          <w:sz w:val="24"/>
          <w:szCs w:val="24"/>
        </w:rPr>
        <w:t>Se adelantaron los procesos de contratación a través de los Acuerdos Marco de Precios de los componentes de Conectividad (adjudicado a la firma IFX NETWORKS S.A.)  y Centro de Datos/Nube Privada (adjudicado a la firma UT COLOMBIA COMPRA EFICIENTE) y mediante Subasta Inversa la adquisición de los equipos de cómputo a ser distribuidos en las 15 Regionales de la DAV, de acuerdo con el presupuesto disponible.</w:t>
      </w:r>
    </w:p>
    <w:p w:rsidR="00C310DF" w:rsidRPr="00BC7F3F" w:rsidRDefault="00C310DF" w:rsidP="00C310DF">
      <w:pPr>
        <w:spacing w:after="0" w:line="240" w:lineRule="auto"/>
        <w:contextualSpacing/>
        <w:jc w:val="both"/>
        <w:rPr>
          <w:rFonts w:ascii="Verdana" w:hAnsi="Verdana" w:cs="Arial"/>
          <w:sz w:val="24"/>
          <w:szCs w:val="24"/>
        </w:rPr>
      </w:pPr>
    </w:p>
    <w:p w:rsidR="00C310DF" w:rsidRPr="00BC7F3F" w:rsidRDefault="00C310DF" w:rsidP="00C310DF">
      <w:pPr>
        <w:spacing w:after="0" w:line="240" w:lineRule="auto"/>
        <w:ind w:left="175"/>
        <w:contextualSpacing/>
        <w:jc w:val="both"/>
        <w:rPr>
          <w:rFonts w:ascii="Verdana" w:hAnsi="Verdana" w:cs="Arial"/>
          <w:sz w:val="24"/>
          <w:szCs w:val="24"/>
        </w:rPr>
      </w:pPr>
      <w:r w:rsidRPr="00BC7F3F">
        <w:rPr>
          <w:rFonts w:ascii="Verdana" w:hAnsi="Verdana" w:cs="Arial"/>
          <w:b/>
          <w:sz w:val="24"/>
          <w:szCs w:val="24"/>
        </w:rPr>
        <w:t xml:space="preserve">Actividad: </w:t>
      </w:r>
      <w:r w:rsidRPr="00BC7F3F">
        <w:rPr>
          <w:rFonts w:ascii="Verdana" w:hAnsi="Verdana" w:cs="Arial"/>
          <w:sz w:val="24"/>
          <w:szCs w:val="24"/>
        </w:rPr>
        <w:t>Diseñar, desarrollar e implementar la sede electrónica del CMH (Fase II)</w:t>
      </w:r>
    </w:p>
    <w:p w:rsidR="00C310DF" w:rsidRPr="00BC7F3F" w:rsidRDefault="00C310DF" w:rsidP="00C310DF">
      <w:pPr>
        <w:spacing w:after="0" w:line="240" w:lineRule="auto"/>
        <w:contextualSpacing/>
        <w:jc w:val="both"/>
        <w:rPr>
          <w:rFonts w:ascii="Verdana" w:hAnsi="Verdana" w:cs="Arial"/>
          <w:sz w:val="24"/>
          <w:szCs w:val="24"/>
        </w:rPr>
      </w:pPr>
    </w:p>
    <w:p w:rsidR="00C310DF" w:rsidRPr="009D510B" w:rsidRDefault="00C310DF" w:rsidP="00582BDE">
      <w:pPr>
        <w:numPr>
          <w:ilvl w:val="0"/>
          <w:numId w:val="149"/>
        </w:numPr>
        <w:spacing w:after="0" w:line="240" w:lineRule="auto"/>
        <w:contextualSpacing/>
        <w:jc w:val="both"/>
        <w:rPr>
          <w:rFonts w:ascii="Verdana" w:hAnsi="Verdana" w:cs="Arial"/>
          <w:i/>
          <w:sz w:val="24"/>
          <w:szCs w:val="24"/>
        </w:rPr>
      </w:pPr>
      <w:r w:rsidRPr="009D510B">
        <w:rPr>
          <w:rFonts w:ascii="Verdana" w:hAnsi="Verdana" w:cs="Arial"/>
          <w:i/>
          <w:sz w:val="24"/>
          <w:szCs w:val="24"/>
        </w:rPr>
        <w:t xml:space="preserve">Se diseñó e implementó, con puesta en producción, la INTRANET del CNMH, buscando que se constituya como el medio permanente y sistemático que contribuya a la gestión y competitividad de los servidores públicos y personal de apoyo al interior y al exterior de las sedes de la Entidad.  Esta herramienta permitirá acceder al portafolio de servicios y sistemas de información con que cuenta el Centro, además de disponer de otros </w:t>
      </w:r>
      <w:r w:rsidRPr="009D510B">
        <w:rPr>
          <w:rFonts w:ascii="Verdana" w:hAnsi="Verdana" w:cs="Arial"/>
          <w:i/>
          <w:sz w:val="24"/>
          <w:szCs w:val="24"/>
        </w:rPr>
        <w:lastRenderedPageBreak/>
        <w:t>servicios como Directorio de funcionarios, Normatividad, Boletines, Avisos clasificados, Enlaces de Interés, entre otros.</w:t>
      </w:r>
    </w:p>
    <w:p w:rsidR="00C310DF" w:rsidRPr="009D510B" w:rsidRDefault="00C310DF" w:rsidP="00582BDE">
      <w:pPr>
        <w:numPr>
          <w:ilvl w:val="0"/>
          <w:numId w:val="149"/>
        </w:numPr>
        <w:spacing w:after="0" w:line="240" w:lineRule="auto"/>
        <w:contextualSpacing/>
        <w:jc w:val="both"/>
        <w:rPr>
          <w:rFonts w:ascii="Verdana" w:hAnsi="Verdana" w:cs="Arial"/>
          <w:i/>
          <w:sz w:val="24"/>
          <w:szCs w:val="24"/>
        </w:rPr>
      </w:pPr>
      <w:r w:rsidRPr="009D510B">
        <w:rPr>
          <w:rFonts w:ascii="Verdana" w:hAnsi="Verdana" w:cs="Arial"/>
          <w:i/>
          <w:sz w:val="24"/>
          <w:szCs w:val="24"/>
        </w:rPr>
        <w:t xml:space="preserve">Se garantizó el servicio de Correo Electrónico Corporativo de la Entidad, llegando al final de la vigencia a un número de 444 cuentas en servicio. Con la suite Google Apps Business con que se presta este servicio, ofrece a los servidores del Centro además del correo electrónico, almacenamiento en la nube (Drive), Calendario y manejo de documentos (procesador de palabra, hojas de cálculo y presentaciones)  </w:t>
      </w:r>
    </w:p>
    <w:p w:rsidR="00C310DF" w:rsidRPr="00BC7F3F" w:rsidRDefault="00C310DF" w:rsidP="00C310DF">
      <w:pPr>
        <w:spacing w:after="0" w:line="240" w:lineRule="auto"/>
        <w:contextualSpacing/>
        <w:jc w:val="both"/>
        <w:rPr>
          <w:rFonts w:ascii="Verdana" w:hAnsi="Verdana" w:cs="Arial"/>
          <w:sz w:val="24"/>
          <w:szCs w:val="24"/>
        </w:rPr>
      </w:pPr>
    </w:p>
    <w:p w:rsidR="00C310DF" w:rsidRPr="00BC7F3F" w:rsidRDefault="00C310DF" w:rsidP="00C310DF">
      <w:pPr>
        <w:spacing w:after="0" w:line="240" w:lineRule="auto"/>
        <w:contextualSpacing/>
        <w:jc w:val="both"/>
        <w:rPr>
          <w:rFonts w:ascii="Verdana" w:hAnsi="Verdana" w:cs="Arial"/>
          <w:sz w:val="24"/>
          <w:szCs w:val="24"/>
        </w:rPr>
      </w:pPr>
      <w:r w:rsidRPr="00BC7F3F">
        <w:rPr>
          <w:rFonts w:ascii="Verdana" w:hAnsi="Verdana" w:cs="Arial"/>
          <w:b/>
          <w:sz w:val="24"/>
          <w:szCs w:val="24"/>
        </w:rPr>
        <w:t xml:space="preserve">Actividad: </w:t>
      </w:r>
      <w:r w:rsidRPr="00BC7F3F">
        <w:rPr>
          <w:rFonts w:ascii="Verdana" w:hAnsi="Verdana" w:cs="Arial"/>
          <w:sz w:val="24"/>
          <w:szCs w:val="24"/>
        </w:rPr>
        <w:t>Diseñar, especificar e implementar la solución Tecnológica que atienda los módulos para Archivo de DDHH, Museos y Construcción de la Memoria del Centro</w:t>
      </w:r>
    </w:p>
    <w:p w:rsidR="00C310DF" w:rsidRPr="00BC7F3F" w:rsidRDefault="00C310DF" w:rsidP="00C310DF">
      <w:pPr>
        <w:spacing w:after="0" w:line="240" w:lineRule="auto"/>
        <w:contextualSpacing/>
        <w:jc w:val="both"/>
        <w:rPr>
          <w:rFonts w:ascii="Verdana" w:hAnsi="Verdana"/>
          <w:sz w:val="24"/>
          <w:szCs w:val="24"/>
        </w:rPr>
      </w:pPr>
    </w:p>
    <w:p w:rsidR="00C310DF" w:rsidRPr="009D510B" w:rsidRDefault="00C310DF" w:rsidP="00582BDE">
      <w:pPr>
        <w:numPr>
          <w:ilvl w:val="0"/>
          <w:numId w:val="150"/>
        </w:numPr>
        <w:spacing w:after="0" w:line="240" w:lineRule="auto"/>
        <w:contextualSpacing/>
        <w:jc w:val="both"/>
        <w:rPr>
          <w:rFonts w:ascii="Verdana" w:hAnsi="Verdana"/>
          <w:i/>
          <w:sz w:val="24"/>
          <w:szCs w:val="24"/>
        </w:rPr>
      </w:pPr>
      <w:r w:rsidRPr="009D510B">
        <w:rPr>
          <w:rFonts w:ascii="Verdana" w:hAnsi="Verdana"/>
          <w:i/>
          <w:sz w:val="24"/>
          <w:szCs w:val="24"/>
        </w:rPr>
        <w:t>Se suscribió un convenio de cofinanciación con la Organización Internacional de Migraciones –OIM, en el cual el Centro aportó la suma de $238 millones y la OIM la suma de $403 millones, para la contratación de la solución informática que soportará la sistematización y administración de la información del Archivo Histórico de Derechos Humanos y el Centro Documental del Centro Nacional de Memoria Histórica, que permitirá la integración de los archivos que la Entidad acopia en cumplimiento de la Ley 1448 de 2011 y los Decretos 4800 y 4803 de 2011.</w:t>
      </w:r>
    </w:p>
    <w:p w:rsidR="00C310DF" w:rsidRPr="009D510B" w:rsidRDefault="00C310DF" w:rsidP="00582BDE">
      <w:pPr>
        <w:numPr>
          <w:ilvl w:val="0"/>
          <w:numId w:val="150"/>
        </w:numPr>
        <w:spacing w:after="0" w:line="240" w:lineRule="auto"/>
        <w:contextualSpacing/>
        <w:jc w:val="both"/>
        <w:rPr>
          <w:rFonts w:ascii="Verdana" w:hAnsi="Verdana"/>
          <w:i/>
          <w:sz w:val="24"/>
          <w:szCs w:val="24"/>
        </w:rPr>
      </w:pPr>
      <w:r w:rsidRPr="009D510B">
        <w:rPr>
          <w:rFonts w:ascii="Verdana" w:hAnsi="Verdana"/>
          <w:i/>
          <w:sz w:val="24"/>
          <w:szCs w:val="24"/>
        </w:rPr>
        <w:t xml:space="preserve">Se adquirió el software de Análisis Estadístico para el Observatorio de Memoria Histórica y Conflicto Armado – OCAME, que les permite realizar estudio de datos y procedimientos estadísticos desde distintos enfoques de análisis, para caracterizar los diferentes hechos victimizantes dentro del conflicto armado, con el fin de lograr una mayor confiabilidad de los datos, disminuir el subregistro, tanto de los hechos, las víctimas y las variables definidas, y lograr cifras más confiables. </w:t>
      </w:r>
    </w:p>
    <w:p w:rsidR="00C310DF" w:rsidRPr="009D510B" w:rsidRDefault="00C310DF" w:rsidP="00582BDE">
      <w:pPr>
        <w:numPr>
          <w:ilvl w:val="0"/>
          <w:numId w:val="150"/>
        </w:numPr>
        <w:spacing w:after="0" w:line="240" w:lineRule="auto"/>
        <w:contextualSpacing/>
        <w:jc w:val="both"/>
        <w:rPr>
          <w:rFonts w:ascii="Verdana" w:hAnsi="Verdana"/>
          <w:i/>
          <w:sz w:val="24"/>
          <w:szCs w:val="24"/>
        </w:rPr>
      </w:pPr>
      <w:r w:rsidRPr="009D510B">
        <w:rPr>
          <w:rFonts w:ascii="Verdana" w:hAnsi="Verdana"/>
          <w:i/>
          <w:sz w:val="24"/>
          <w:szCs w:val="24"/>
        </w:rPr>
        <w:t>También se atendió la necesidad del Observatorio de Memoria Histórica y Conflicto Armado – OCAME- de contar con el software de Análisis Estadístico, que les permite realizar estudio de datos y procedimientos estadísticos desde distintos enfoques de análisis, para caracterizar los diferentes hechos victimizantes, misión de esta Dependencia del CNMH. Una de las definidas, y lograr cifras más confiables que las que se dispone en la actualidad.</w:t>
      </w:r>
    </w:p>
    <w:p w:rsidR="00C310DF" w:rsidRPr="009D510B" w:rsidRDefault="00C310DF" w:rsidP="00582BDE">
      <w:pPr>
        <w:pStyle w:val="Prrafodelista"/>
        <w:numPr>
          <w:ilvl w:val="0"/>
          <w:numId w:val="150"/>
        </w:numPr>
        <w:spacing w:after="0" w:line="240" w:lineRule="auto"/>
        <w:jc w:val="both"/>
        <w:rPr>
          <w:rFonts w:ascii="Verdana" w:hAnsi="Verdana"/>
          <w:sz w:val="24"/>
          <w:szCs w:val="24"/>
        </w:rPr>
      </w:pPr>
      <w:r w:rsidRPr="009D510B">
        <w:rPr>
          <w:rFonts w:ascii="Verdana" w:hAnsi="Verdana"/>
          <w:i/>
          <w:sz w:val="24"/>
          <w:szCs w:val="24"/>
        </w:rPr>
        <w:t xml:space="preserve">La solución implementada consiste en una herramienta analítica y estadística avanzada que permite procesar de manera eficiente grandes volúmenes de registros, aprovechando la conectividad y las diferentes bases </w:t>
      </w:r>
      <w:r w:rsidRPr="009D510B">
        <w:rPr>
          <w:rFonts w:ascii="Verdana" w:hAnsi="Verdana"/>
          <w:i/>
          <w:sz w:val="24"/>
          <w:szCs w:val="24"/>
        </w:rPr>
        <w:lastRenderedPageBreak/>
        <w:t xml:space="preserve">de datos (provistas por las citadas fuentes) con que cuenta actualmente el OCAME, posibilitando el análisis matemático y estadístico de la misma y </w:t>
      </w:r>
      <w:r w:rsidRPr="009D510B">
        <w:rPr>
          <w:rFonts w:ascii="Verdana" w:hAnsi="Verdana"/>
          <w:sz w:val="24"/>
          <w:szCs w:val="24"/>
        </w:rPr>
        <w:t>proporcionando capacidades para el reporte automático de resultados.</w:t>
      </w:r>
    </w:p>
    <w:p w:rsidR="00C310DF" w:rsidRPr="00BC7F3F" w:rsidRDefault="00C310DF" w:rsidP="00C310DF">
      <w:pPr>
        <w:spacing w:after="0" w:line="240" w:lineRule="auto"/>
        <w:contextualSpacing/>
        <w:jc w:val="both"/>
        <w:rPr>
          <w:rFonts w:ascii="Verdana" w:hAnsi="Verdana"/>
          <w:sz w:val="24"/>
          <w:szCs w:val="24"/>
        </w:rPr>
      </w:pPr>
    </w:p>
    <w:p w:rsidR="00C310DF" w:rsidRPr="00BC7F3F" w:rsidRDefault="00C310DF" w:rsidP="00C310DF">
      <w:pPr>
        <w:spacing w:after="0" w:line="240" w:lineRule="auto"/>
        <w:contextualSpacing/>
        <w:rPr>
          <w:rFonts w:ascii="Verdana" w:hAnsi="Verdana"/>
          <w:sz w:val="24"/>
          <w:szCs w:val="24"/>
        </w:rPr>
      </w:pPr>
      <w:r w:rsidRPr="00BC7F3F">
        <w:rPr>
          <w:rFonts w:ascii="Verdana" w:hAnsi="Verdana"/>
          <w:b/>
          <w:sz w:val="24"/>
          <w:szCs w:val="24"/>
        </w:rPr>
        <w:t>Objetivo 2:</w:t>
      </w:r>
      <w:r w:rsidRPr="00BC7F3F">
        <w:rPr>
          <w:rFonts w:ascii="Verdana" w:hAnsi="Verdana"/>
          <w:sz w:val="24"/>
          <w:szCs w:val="24"/>
        </w:rPr>
        <w:t xml:space="preserve"> Fortalecer, mejorar y modernizar la plataforma tecnológica del Centro</w:t>
      </w:r>
    </w:p>
    <w:p w:rsidR="00C310DF" w:rsidRPr="00BC7F3F" w:rsidRDefault="00C310DF" w:rsidP="00C310DF">
      <w:pPr>
        <w:spacing w:after="0" w:line="240" w:lineRule="auto"/>
        <w:contextualSpacing/>
        <w:jc w:val="both"/>
        <w:rPr>
          <w:rFonts w:ascii="Verdana" w:hAnsi="Verdana" w:cs="Arial"/>
          <w:sz w:val="24"/>
          <w:szCs w:val="24"/>
        </w:rPr>
      </w:pPr>
    </w:p>
    <w:p w:rsidR="00C310DF" w:rsidRPr="00BC7F3F" w:rsidRDefault="00C310DF" w:rsidP="00C310DF">
      <w:pPr>
        <w:spacing w:after="0" w:line="240" w:lineRule="auto"/>
        <w:contextualSpacing/>
        <w:jc w:val="both"/>
        <w:rPr>
          <w:rFonts w:ascii="Verdana" w:hAnsi="Verdana" w:cs="Arial"/>
          <w:sz w:val="24"/>
          <w:szCs w:val="24"/>
        </w:rPr>
      </w:pPr>
      <w:r w:rsidRPr="00BC7F3F">
        <w:rPr>
          <w:rFonts w:ascii="Verdana" w:hAnsi="Verdana" w:cs="Arial"/>
          <w:b/>
          <w:sz w:val="24"/>
          <w:szCs w:val="24"/>
        </w:rPr>
        <w:t xml:space="preserve">Actividad: </w:t>
      </w:r>
      <w:r w:rsidRPr="00BC7F3F">
        <w:rPr>
          <w:rFonts w:ascii="Verdana" w:hAnsi="Verdana" w:cs="Arial"/>
          <w:sz w:val="24"/>
          <w:szCs w:val="24"/>
        </w:rPr>
        <w:t>Dotar al Centro de la infraestructura tecnológica adecuada.</w:t>
      </w:r>
    </w:p>
    <w:p w:rsidR="00C310DF" w:rsidRPr="00BC7F3F" w:rsidRDefault="00C310DF" w:rsidP="00C310DF">
      <w:pPr>
        <w:spacing w:after="0" w:line="240" w:lineRule="auto"/>
        <w:contextualSpacing/>
        <w:jc w:val="both"/>
        <w:rPr>
          <w:rFonts w:ascii="Verdana" w:hAnsi="Verdana" w:cs="Arial"/>
          <w:sz w:val="24"/>
          <w:szCs w:val="24"/>
        </w:rPr>
      </w:pPr>
    </w:p>
    <w:p w:rsidR="00C310DF" w:rsidRPr="00BC7F3F" w:rsidRDefault="00C310DF" w:rsidP="00C310DF">
      <w:pPr>
        <w:spacing w:after="0" w:line="240" w:lineRule="auto"/>
        <w:contextualSpacing/>
        <w:jc w:val="both"/>
        <w:rPr>
          <w:rFonts w:ascii="Verdana" w:hAnsi="Verdana" w:cs="Arial"/>
          <w:sz w:val="24"/>
          <w:szCs w:val="24"/>
        </w:rPr>
      </w:pPr>
      <w:r w:rsidRPr="00BC7F3F">
        <w:rPr>
          <w:rFonts w:ascii="Verdana" w:hAnsi="Verdana" w:cs="Arial"/>
          <w:sz w:val="24"/>
          <w:szCs w:val="24"/>
        </w:rPr>
        <w:t xml:space="preserve">Se atendieron las siguientes necesidades identificadas en materia de plataforma informática y licenciamiento de software comercial: </w:t>
      </w:r>
    </w:p>
    <w:p w:rsidR="00C310DF" w:rsidRPr="009D510B" w:rsidRDefault="00C310DF" w:rsidP="00582BDE">
      <w:pPr>
        <w:numPr>
          <w:ilvl w:val="0"/>
          <w:numId w:val="151"/>
        </w:numPr>
        <w:spacing w:after="0" w:line="240" w:lineRule="auto"/>
        <w:contextualSpacing/>
        <w:jc w:val="both"/>
        <w:rPr>
          <w:rFonts w:ascii="Verdana" w:hAnsi="Verdana"/>
          <w:i/>
          <w:sz w:val="24"/>
          <w:szCs w:val="24"/>
        </w:rPr>
      </w:pPr>
      <w:r w:rsidRPr="009D510B">
        <w:rPr>
          <w:rFonts w:ascii="Verdana" w:hAnsi="Verdana"/>
          <w:i/>
          <w:sz w:val="24"/>
          <w:szCs w:val="24"/>
        </w:rPr>
        <w:t xml:space="preserve">Suministro de equipos de cómputo para cubrir la necesidad en las Regionales de la DAV y sedes de nivel central; </w:t>
      </w:r>
    </w:p>
    <w:p w:rsidR="00C310DF" w:rsidRPr="009D510B" w:rsidRDefault="00C310DF" w:rsidP="00582BDE">
      <w:pPr>
        <w:numPr>
          <w:ilvl w:val="0"/>
          <w:numId w:val="151"/>
        </w:numPr>
        <w:spacing w:after="0" w:line="240" w:lineRule="auto"/>
        <w:contextualSpacing/>
        <w:jc w:val="both"/>
        <w:rPr>
          <w:rFonts w:ascii="Verdana" w:hAnsi="Verdana"/>
          <w:i/>
          <w:sz w:val="24"/>
          <w:szCs w:val="24"/>
        </w:rPr>
      </w:pPr>
      <w:r w:rsidRPr="009D510B">
        <w:rPr>
          <w:rFonts w:ascii="Verdana" w:hAnsi="Verdana"/>
          <w:i/>
          <w:sz w:val="24"/>
          <w:szCs w:val="24"/>
        </w:rPr>
        <w:t xml:space="preserve">Implementación de la solución de antivirus y antimalware corporativo para los equipos de cómputo y servidores propiedad del CNMH; </w:t>
      </w:r>
    </w:p>
    <w:p w:rsidR="00C310DF" w:rsidRPr="009D510B" w:rsidRDefault="00C310DF" w:rsidP="00582BDE">
      <w:pPr>
        <w:numPr>
          <w:ilvl w:val="0"/>
          <w:numId w:val="151"/>
        </w:numPr>
        <w:spacing w:after="0" w:line="240" w:lineRule="auto"/>
        <w:contextualSpacing/>
        <w:jc w:val="both"/>
        <w:rPr>
          <w:rFonts w:ascii="Verdana" w:hAnsi="Verdana"/>
          <w:i/>
          <w:sz w:val="24"/>
          <w:szCs w:val="24"/>
        </w:rPr>
      </w:pPr>
      <w:r w:rsidRPr="009D510B">
        <w:rPr>
          <w:rFonts w:ascii="Verdana" w:hAnsi="Verdana"/>
          <w:i/>
          <w:sz w:val="24"/>
          <w:szCs w:val="24"/>
        </w:rPr>
        <w:t xml:space="preserve">Ampliación de la infraestructura física y lógica del servidor misional de la Entidad, con el fin de cubrir adecuadamente los nuevos requerimientos para la correcta y eficiente operación de los nuevos aplicativos misionales y de apoyo; </w:t>
      </w:r>
    </w:p>
    <w:p w:rsidR="00C310DF" w:rsidRPr="009D510B" w:rsidRDefault="00C310DF" w:rsidP="00582BDE">
      <w:pPr>
        <w:numPr>
          <w:ilvl w:val="0"/>
          <w:numId w:val="151"/>
        </w:numPr>
        <w:spacing w:after="0" w:line="240" w:lineRule="auto"/>
        <w:contextualSpacing/>
        <w:jc w:val="both"/>
        <w:rPr>
          <w:rFonts w:ascii="Verdana" w:hAnsi="Verdana"/>
          <w:i/>
          <w:sz w:val="24"/>
          <w:szCs w:val="24"/>
        </w:rPr>
      </w:pPr>
      <w:r w:rsidRPr="009D510B">
        <w:rPr>
          <w:rFonts w:ascii="Verdana" w:hAnsi="Verdana"/>
          <w:i/>
          <w:sz w:val="24"/>
          <w:szCs w:val="24"/>
        </w:rPr>
        <w:t>Implementación del sistema de Climatización y Refrigeración para el centro de datos de la sede principal del Centro;</w:t>
      </w:r>
    </w:p>
    <w:p w:rsidR="00C310DF" w:rsidRPr="009D510B" w:rsidRDefault="00C310DF" w:rsidP="00582BDE">
      <w:pPr>
        <w:numPr>
          <w:ilvl w:val="0"/>
          <w:numId w:val="151"/>
        </w:numPr>
        <w:spacing w:after="0" w:line="240" w:lineRule="auto"/>
        <w:contextualSpacing/>
        <w:jc w:val="both"/>
        <w:rPr>
          <w:rFonts w:ascii="Verdana" w:hAnsi="Verdana"/>
          <w:i/>
          <w:sz w:val="24"/>
          <w:szCs w:val="24"/>
        </w:rPr>
      </w:pPr>
      <w:r w:rsidRPr="009D510B">
        <w:rPr>
          <w:rFonts w:ascii="Verdana" w:hAnsi="Verdana"/>
          <w:i/>
          <w:sz w:val="24"/>
          <w:szCs w:val="24"/>
        </w:rPr>
        <w:t xml:space="preserve">Adquisición de licencias de software comercial Adobe Acrobat TLP y SQL Server, destinadas a atender las necesidades de las áreas misionales y de apoyo del CNMH; </w:t>
      </w:r>
    </w:p>
    <w:p w:rsidR="00C310DF" w:rsidRPr="009D510B" w:rsidRDefault="00C310DF" w:rsidP="00582BDE">
      <w:pPr>
        <w:numPr>
          <w:ilvl w:val="0"/>
          <w:numId w:val="151"/>
        </w:numPr>
        <w:spacing w:after="0" w:line="240" w:lineRule="auto"/>
        <w:contextualSpacing/>
        <w:jc w:val="both"/>
        <w:rPr>
          <w:rFonts w:ascii="Verdana" w:hAnsi="Verdana"/>
          <w:i/>
          <w:sz w:val="24"/>
          <w:szCs w:val="24"/>
        </w:rPr>
      </w:pPr>
      <w:r w:rsidRPr="009D510B">
        <w:rPr>
          <w:rFonts w:ascii="Verdana" w:hAnsi="Verdana"/>
          <w:i/>
          <w:sz w:val="24"/>
          <w:szCs w:val="24"/>
        </w:rPr>
        <w:t xml:space="preserve">Renovación de los equipos de comunicaciones (Switches) que proveen la conectividad de red local de la Sede 2 (Calle 35 No. 6 – 41) en la ciudad de Bogotá; </w:t>
      </w:r>
    </w:p>
    <w:p w:rsidR="00C310DF" w:rsidRPr="009D510B" w:rsidRDefault="00C310DF" w:rsidP="00582BDE">
      <w:pPr>
        <w:numPr>
          <w:ilvl w:val="0"/>
          <w:numId w:val="151"/>
        </w:numPr>
        <w:spacing w:after="0" w:line="240" w:lineRule="auto"/>
        <w:contextualSpacing/>
        <w:jc w:val="both"/>
        <w:rPr>
          <w:rFonts w:ascii="Verdana" w:hAnsi="Verdana"/>
          <w:i/>
          <w:sz w:val="24"/>
          <w:szCs w:val="24"/>
        </w:rPr>
      </w:pPr>
      <w:r w:rsidRPr="009D510B">
        <w:rPr>
          <w:rFonts w:ascii="Verdana" w:hAnsi="Verdana"/>
          <w:i/>
          <w:sz w:val="24"/>
          <w:szCs w:val="24"/>
        </w:rPr>
        <w:t>Adquisición de insumos para garantizar la operación de las impresoras multifuncionales y láser de red de propiedad del Centro.</w:t>
      </w:r>
    </w:p>
    <w:p w:rsidR="00C310DF" w:rsidRPr="009D510B" w:rsidRDefault="00C310DF" w:rsidP="00582BDE">
      <w:pPr>
        <w:numPr>
          <w:ilvl w:val="0"/>
          <w:numId w:val="151"/>
        </w:numPr>
        <w:spacing w:after="0" w:line="240" w:lineRule="auto"/>
        <w:contextualSpacing/>
        <w:jc w:val="both"/>
        <w:rPr>
          <w:rFonts w:ascii="Verdana" w:hAnsi="Verdana"/>
          <w:i/>
          <w:sz w:val="24"/>
          <w:szCs w:val="24"/>
        </w:rPr>
      </w:pPr>
      <w:r w:rsidRPr="009D510B">
        <w:rPr>
          <w:rFonts w:ascii="Verdana" w:hAnsi="Verdana"/>
          <w:i/>
          <w:sz w:val="24"/>
          <w:szCs w:val="24"/>
        </w:rPr>
        <w:t>Adquisición de dos (2) equipos especializados Escáner cama plana de tamaño A3 destinados como herramienta de apoyo a las labores misionales de la Dirección de Archivo de Derechos Humanos.</w:t>
      </w:r>
    </w:p>
    <w:p w:rsidR="00C310DF" w:rsidRPr="00BC7F3F" w:rsidRDefault="00C310DF" w:rsidP="00C310DF">
      <w:pPr>
        <w:spacing w:after="0" w:line="240" w:lineRule="auto"/>
        <w:contextualSpacing/>
        <w:jc w:val="both"/>
        <w:rPr>
          <w:rFonts w:ascii="Verdana" w:hAnsi="Verdana" w:cs="Arial"/>
          <w:sz w:val="24"/>
          <w:szCs w:val="24"/>
        </w:rPr>
      </w:pPr>
    </w:p>
    <w:p w:rsidR="00C310DF" w:rsidRPr="00BC7F3F" w:rsidRDefault="00C310DF" w:rsidP="00C310DF">
      <w:pPr>
        <w:spacing w:after="0" w:line="240" w:lineRule="auto"/>
        <w:contextualSpacing/>
        <w:rPr>
          <w:rFonts w:ascii="Verdana" w:hAnsi="Verdana"/>
          <w:sz w:val="24"/>
          <w:szCs w:val="24"/>
        </w:rPr>
      </w:pPr>
      <w:r w:rsidRPr="00BC7F3F">
        <w:rPr>
          <w:rFonts w:ascii="Verdana" w:hAnsi="Verdana"/>
          <w:b/>
          <w:sz w:val="24"/>
          <w:szCs w:val="24"/>
        </w:rPr>
        <w:t>Objetivo 3:</w:t>
      </w:r>
      <w:r w:rsidRPr="00BC7F3F">
        <w:rPr>
          <w:rFonts w:ascii="Verdana" w:hAnsi="Verdana"/>
          <w:sz w:val="24"/>
          <w:szCs w:val="24"/>
        </w:rPr>
        <w:t xml:space="preserve"> Fortalecer el modelo de Seguridad de la Información del Centro</w:t>
      </w:r>
    </w:p>
    <w:p w:rsidR="00C310DF" w:rsidRPr="00BC7F3F" w:rsidRDefault="00C310DF" w:rsidP="00C310DF">
      <w:pPr>
        <w:spacing w:after="0" w:line="240" w:lineRule="auto"/>
        <w:ind w:left="34"/>
        <w:contextualSpacing/>
        <w:jc w:val="both"/>
        <w:rPr>
          <w:rFonts w:ascii="Verdana" w:hAnsi="Verdana" w:cs="Arial"/>
          <w:b/>
          <w:sz w:val="24"/>
          <w:szCs w:val="24"/>
        </w:rPr>
      </w:pPr>
    </w:p>
    <w:p w:rsidR="00C310DF" w:rsidRPr="00BC7F3F" w:rsidRDefault="00C310DF" w:rsidP="00C310DF">
      <w:pPr>
        <w:spacing w:after="0" w:line="240" w:lineRule="auto"/>
        <w:contextualSpacing/>
        <w:jc w:val="both"/>
        <w:rPr>
          <w:rFonts w:ascii="Verdana" w:hAnsi="Verdana"/>
          <w:sz w:val="24"/>
          <w:szCs w:val="24"/>
        </w:rPr>
      </w:pPr>
      <w:r w:rsidRPr="00BC7F3F">
        <w:rPr>
          <w:rFonts w:ascii="Verdana" w:hAnsi="Verdana" w:cs="Arial"/>
          <w:b/>
          <w:sz w:val="24"/>
          <w:szCs w:val="24"/>
        </w:rPr>
        <w:t xml:space="preserve">Actividad: </w:t>
      </w:r>
      <w:r w:rsidRPr="00BC7F3F">
        <w:rPr>
          <w:rFonts w:ascii="Verdana" w:hAnsi="Verdana" w:cs="Arial"/>
          <w:sz w:val="24"/>
          <w:szCs w:val="24"/>
        </w:rPr>
        <w:t>Diseñar, especificar e implementar las políticas y lineamientos del Sistema de Gestión de la Seguridad de la información en el Centro.</w:t>
      </w:r>
    </w:p>
    <w:p w:rsidR="00C310DF" w:rsidRPr="00BC7F3F" w:rsidRDefault="00C310DF" w:rsidP="00C310DF">
      <w:pPr>
        <w:spacing w:after="0" w:line="240" w:lineRule="auto"/>
        <w:ind w:left="175"/>
        <w:contextualSpacing/>
        <w:jc w:val="both"/>
        <w:rPr>
          <w:rFonts w:ascii="Verdana" w:hAnsi="Verdana"/>
          <w:sz w:val="24"/>
          <w:szCs w:val="24"/>
        </w:rPr>
      </w:pPr>
    </w:p>
    <w:p w:rsidR="00C310DF" w:rsidRPr="00BC7F3F" w:rsidRDefault="00C310DF" w:rsidP="00C310DF">
      <w:pPr>
        <w:spacing w:after="0" w:line="240" w:lineRule="auto"/>
        <w:contextualSpacing/>
        <w:jc w:val="both"/>
        <w:rPr>
          <w:rFonts w:ascii="Verdana" w:hAnsi="Verdana"/>
          <w:sz w:val="24"/>
          <w:szCs w:val="24"/>
        </w:rPr>
      </w:pPr>
      <w:r w:rsidRPr="00BC7F3F">
        <w:rPr>
          <w:rFonts w:ascii="Verdana" w:hAnsi="Verdana"/>
          <w:sz w:val="24"/>
          <w:szCs w:val="24"/>
        </w:rPr>
        <w:lastRenderedPageBreak/>
        <w:t xml:space="preserve">Se realizó la definición, diseño, implementación y puesta en operación del Sistema de Gestión de Seguridad de la Información (SGSI), que incluye una propuesta del plan de mejora continua para la Entidad en esta materia, basado en la norma ISO/IEC 27001–2013, como modelo sostenible de seguridad de la información, para garantizar que los riesgos de la seguridad de la información sean conocidos, asumidos, gestionados y mitigados por el CNMH de una forma documentada, sistemática, y estructurada. Incluye la adquisición de la Herramienta Globalsuite, que permite instrumentalizar y documentar la implementación del SGSI, para su posterior seguimiento y aplicación.   </w:t>
      </w:r>
    </w:p>
    <w:p w:rsidR="00C310DF" w:rsidRPr="00BC7F3F" w:rsidRDefault="00C310DF" w:rsidP="00C310DF">
      <w:pPr>
        <w:spacing w:after="0" w:line="240" w:lineRule="auto"/>
        <w:contextualSpacing/>
        <w:jc w:val="both"/>
        <w:rPr>
          <w:rFonts w:ascii="Verdana" w:hAnsi="Verdana"/>
          <w:sz w:val="24"/>
          <w:szCs w:val="24"/>
        </w:rPr>
      </w:pPr>
    </w:p>
    <w:p w:rsidR="00C310DF" w:rsidRPr="00BC7F3F" w:rsidRDefault="00C310DF" w:rsidP="00C310DF">
      <w:pPr>
        <w:spacing w:after="0" w:line="240" w:lineRule="auto"/>
        <w:contextualSpacing/>
        <w:rPr>
          <w:rFonts w:ascii="Verdana" w:hAnsi="Verdana"/>
          <w:sz w:val="24"/>
          <w:szCs w:val="24"/>
        </w:rPr>
      </w:pPr>
      <w:r w:rsidRPr="00BC7F3F">
        <w:rPr>
          <w:rFonts w:ascii="Verdana" w:hAnsi="Verdana"/>
          <w:b/>
          <w:sz w:val="24"/>
          <w:szCs w:val="24"/>
        </w:rPr>
        <w:t xml:space="preserve">Objetivo 4: </w:t>
      </w:r>
      <w:r w:rsidRPr="00BC7F3F">
        <w:rPr>
          <w:rFonts w:ascii="Verdana" w:hAnsi="Verdana"/>
          <w:sz w:val="24"/>
          <w:szCs w:val="24"/>
        </w:rPr>
        <w:t>Gestionar los servicios TIC del Centro</w:t>
      </w:r>
    </w:p>
    <w:p w:rsidR="00C310DF" w:rsidRPr="00BC7F3F" w:rsidRDefault="00C310DF" w:rsidP="00C310DF">
      <w:pPr>
        <w:spacing w:after="0" w:line="240" w:lineRule="auto"/>
        <w:ind w:left="175"/>
        <w:contextualSpacing/>
        <w:jc w:val="both"/>
        <w:rPr>
          <w:rFonts w:ascii="Verdana" w:hAnsi="Verdana" w:cs="Arial"/>
          <w:sz w:val="24"/>
          <w:szCs w:val="24"/>
        </w:rPr>
      </w:pPr>
    </w:p>
    <w:p w:rsidR="00C310DF" w:rsidRPr="00BC7F3F" w:rsidRDefault="00C310DF" w:rsidP="00C310DF">
      <w:pPr>
        <w:spacing w:after="0" w:line="240" w:lineRule="auto"/>
        <w:contextualSpacing/>
        <w:jc w:val="both"/>
        <w:rPr>
          <w:rFonts w:ascii="Verdana" w:hAnsi="Verdana" w:cs="Arial"/>
          <w:sz w:val="24"/>
          <w:szCs w:val="24"/>
        </w:rPr>
      </w:pPr>
      <w:r w:rsidRPr="00BC7F3F">
        <w:rPr>
          <w:rFonts w:ascii="Verdana" w:hAnsi="Verdana" w:cs="Arial"/>
          <w:b/>
          <w:sz w:val="24"/>
          <w:szCs w:val="24"/>
        </w:rPr>
        <w:t>Actividad:</w:t>
      </w:r>
      <w:r w:rsidRPr="00BC7F3F">
        <w:rPr>
          <w:rFonts w:ascii="Verdana" w:hAnsi="Verdana" w:cs="Arial"/>
          <w:sz w:val="24"/>
          <w:szCs w:val="24"/>
        </w:rPr>
        <w:t xml:space="preserve"> Definir especificaciones e implementar la plataforma de ciclo de servicios TIC basada en Buenas Prácticas ITIL</w:t>
      </w:r>
    </w:p>
    <w:p w:rsidR="00C310DF" w:rsidRPr="009D510B" w:rsidRDefault="00C310DF" w:rsidP="00582BDE">
      <w:pPr>
        <w:numPr>
          <w:ilvl w:val="0"/>
          <w:numId w:val="152"/>
        </w:numPr>
        <w:spacing w:after="0" w:line="240" w:lineRule="auto"/>
        <w:contextualSpacing/>
        <w:jc w:val="both"/>
        <w:rPr>
          <w:rFonts w:ascii="Verdana" w:hAnsi="Verdana" w:cs="Arial"/>
          <w:i/>
          <w:sz w:val="24"/>
          <w:szCs w:val="24"/>
        </w:rPr>
      </w:pPr>
      <w:r w:rsidRPr="009D510B">
        <w:rPr>
          <w:rFonts w:ascii="Verdana" w:hAnsi="Verdana" w:cs="Arial"/>
          <w:i/>
          <w:sz w:val="24"/>
          <w:szCs w:val="24"/>
        </w:rPr>
        <w:t xml:space="preserve">Contratación de los servicios de Mesa de Ayuda Especializada para la atención de las necesidades y requerimientos técnicos que sobre la red de comunicaciones, sistemas operativos (Windows y Linux) y Bases de Datos (SQL Server y PostgresSQL) que demanda el CNMH. Esta solución incluyó la adquisición, parametrización y puesta en producción de la herramienta de Gestión de HelpDesk HEAT, con su respectivo licenciamiento y acompañamiento.   </w:t>
      </w:r>
    </w:p>
    <w:p w:rsidR="00C310DF" w:rsidRPr="009D510B" w:rsidRDefault="00C310DF" w:rsidP="00582BDE">
      <w:pPr>
        <w:numPr>
          <w:ilvl w:val="0"/>
          <w:numId w:val="152"/>
        </w:numPr>
        <w:spacing w:after="0" w:line="240" w:lineRule="auto"/>
        <w:contextualSpacing/>
        <w:jc w:val="both"/>
        <w:rPr>
          <w:rFonts w:ascii="Verdana" w:hAnsi="Verdana"/>
          <w:i/>
          <w:sz w:val="24"/>
          <w:szCs w:val="24"/>
        </w:rPr>
      </w:pPr>
      <w:r w:rsidRPr="009D510B">
        <w:rPr>
          <w:rFonts w:ascii="Verdana" w:hAnsi="Verdana"/>
          <w:i/>
          <w:sz w:val="24"/>
          <w:szCs w:val="24"/>
        </w:rPr>
        <w:t xml:space="preserve">Vinculación de cuatro (4) Profesionales que apoyaron las líneas de asesoría, acompañamiento al proyecto de la DAV, especificación técnica y elaboración de sondeos de mercado y soporte de nivel 1 a la plataforma computacional del CNMH en sus sedes en Bogotá. </w:t>
      </w:r>
    </w:p>
    <w:p w:rsidR="00C310DF" w:rsidRPr="009D510B" w:rsidRDefault="00C310DF" w:rsidP="00582BDE">
      <w:pPr>
        <w:numPr>
          <w:ilvl w:val="0"/>
          <w:numId w:val="152"/>
        </w:numPr>
        <w:shd w:val="clear" w:color="auto" w:fill="FFFFFF"/>
        <w:spacing w:after="0" w:line="240" w:lineRule="auto"/>
        <w:contextualSpacing/>
        <w:jc w:val="both"/>
        <w:rPr>
          <w:rFonts w:ascii="Verdana" w:hAnsi="Verdana"/>
          <w:i/>
          <w:sz w:val="24"/>
          <w:szCs w:val="24"/>
        </w:rPr>
      </w:pPr>
      <w:r w:rsidRPr="009D510B">
        <w:rPr>
          <w:rFonts w:ascii="Verdana" w:hAnsi="Verdana"/>
          <w:i/>
          <w:sz w:val="24"/>
          <w:szCs w:val="24"/>
        </w:rPr>
        <w:t>Avance en la implementación de la Estrategia de Gobierno en Línea (GEL), en la que se subió el índice GEL en aproximadamente 20 puntos con respecto a la calificación de 2013, llegando a una calificación de 54.51. Esto obtenido gracias al desarrollo de aspectos como: La ejecución del PETIC como referente de la Estrategia de Tecnología, la publicación de los primeros tres (3) Datasets de Datos Abiertos publicados al servicio de la ciudadanía, la implementación del SGSI, mejoras en la Accesibilidad y Usabilidad de la Página Web de la Entidad, entre otros.</w:t>
      </w:r>
    </w:p>
    <w:p w:rsidR="00C310DF" w:rsidRDefault="00C310DF" w:rsidP="00C310DF">
      <w:pPr>
        <w:spacing w:after="0" w:line="240" w:lineRule="auto"/>
        <w:contextualSpacing/>
        <w:jc w:val="both"/>
        <w:rPr>
          <w:rFonts w:ascii="Verdana" w:hAnsi="Verdana"/>
          <w:sz w:val="24"/>
          <w:szCs w:val="24"/>
        </w:rPr>
      </w:pPr>
    </w:p>
    <w:p w:rsidR="009D510B" w:rsidRDefault="009D510B" w:rsidP="00C310DF">
      <w:pPr>
        <w:spacing w:after="0" w:line="240" w:lineRule="auto"/>
        <w:contextualSpacing/>
        <w:jc w:val="both"/>
        <w:rPr>
          <w:rFonts w:ascii="Verdana" w:hAnsi="Verdana"/>
          <w:sz w:val="24"/>
          <w:szCs w:val="24"/>
        </w:rPr>
      </w:pPr>
    </w:p>
    <w:p w:rsidR="009D510B" w:rsidRDefault="009D510B" w:rsidP="00C310DF">
      <w:pPr>
        <w:spacing w:after="0" w:line="240" w:lineRule="auto"/>
        <w:contextualSpacing/>
        <w:jc w:val="both"/>
        <w:rPr>
          <w:rFonts w:ascii="Verdana" w:hAnsi="Verdana"/>
          <w:sz w:val="24"/>
          <w:szCs w:val="24"/>
        </w:rPr>
      </w:pPr>
    </w:p>
    <w:p w:rsidR="009D510B" w:rsidRDefault="009D510B" w:rsidP="00C310DF">
      <w:pPr>
        <w:spacing w:after="0" w:line="240" w:lineRule="auto"/>
        <w:contextualSpacing/>
        <w:jc w:val="both"/>
        <w:rPr>
          <w:rFonts w:ascii="Verdana" w:hAnsi="Verdana"/>
          <w:sz w:val="24"/>
          <w:szCs w:val="24"/>
        </w:rPr>
      </w:pPr>
    </w:p>
    <w:p w:rsidR="009D510B" w:rsidRPr="00BC7F3F" w:rsidRDefault="009D510B" w:rsidP="00C310DF">
      <w:pPr>
        <w:spacing w:after="0" w:line="240" w:lineRule="auto"/>
        <w:contextualSpacing/>
        <w:jc w:val="both"/>
        <w:rPr>
          <w:rFonts w:ascii="Verdana" w:hAnsi="Verdana"/>
          <w:sz w:val="24"/>
          <w:szCs w:val="24"/>
        </w:rPr>
      </w:pPr>
    </w:p>
    <w:p w:rsidR="00C310DF" w:rsidRPr="009D510B" w:rsidRDefault="009D510B" w:rsidP="009D510B">
      <w:pPr>
        <w:pStyle w:val="Subttulo"/>
        <w:numPr>
          <w:ilvl w:val="0"/>
          <w:numId w:val="0"/>
        </w:numPr>
        <w:spacing w:after="0"/>
        <w:contextualSpacing/>
        <w:outlineLvl w:val="1"/>
        <w:rPr>
          <w:rFonts w:ascii="Verdana" w:eastAsia="Arial" w:hAnsi="Verdana"/>
          <w:b/>
          <w:color w:val="4F81BD" w:themeColor="accent1"/>
          <w:sz w:val="28"/>
          <w:szCs w:val="24"/>
          <w:lang w:val="es-CO"/>
        </w:rPr>
      </w:pPr>
      <w:bookmarkStart w:id="130" w:name="_Toc412128168"/>
      <w:r w:rsidRPr="009D510B">
        <w:rPr>
          <w:rFonts w:ascii="Verdana" w:eastAsia="Arial" w:hAnsi="Verdana"/>
          <w:b/>
          <w:noProof/>
          <w:color w:val="4F81BD" w:themeColor="accent1"/>
          <w:sz w:val="24"/>
          <w:szCs w:val="24"/>
          <w:lang w:val="es-CO" w:eastAsia="es-CO"/>
        </w:rPr>
        <w:lastRenderedPageBreak/>
        <w:drawing>
          <wp:inline distT="0" distB="0" distL="0" distR="0">
            <wp:extent cx="216024" cy="216024"/>
            <wp:effectExtent l="19050" t="0" r="0" b="0"/>
            <wp:docPr id="67"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8100392" y="4797152"/>
                      <a:chExt cx="216024" cy="216024"/>
                    </a:xfrm>
                  </a:grpSpPr>
                  <a:sp>
                    <a:nvSpPr>
                      <a:cNvPr id="41" name="40 Rectángulo redondeado"/>
                      <a:cNvSpPr/>
                    </a:nvSpPr>
                    <a:spPr>
                      <a:xfrm>
                        <a:off x="8100392" y="4797152"/>
                        <a:ext cx="216024" cy="216024"/>
                      </a:xfrm>
                      <a:prstGeom prst="roundRect">
                        <a:avLst/>
                      </a:prstGeom>
                      <a:gradFill flip="none" rotWithShape="1">
                        <a:gsLst>
                          <a:gs pos="0">
                            <a:schemeClr val="bg1">
                              <a:lumMod val="85000"/>
                              <a:shade val="30000"/>
                              <a:satMod val="115000"/>
                            </a:schemeClr>
                          </a:gs>
                          <a:gs pos="50000">
                            <a:schemeClr val="bg1">
                              <a:lumMod val="85000"/>
                              <a:shade val="67500"/>
                              <a:satMod val="115000"/>
                            </a:schemeClr>
                          </a:gs>
                          <a:gs pos="100000">
                            <a:schemeClr val="bg1">
                              <a:lumMod val="85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eastAsia="Arial" w:hAnsi="Verdana"/>
          <w:b/>
          <w:color w:val="4F81BD" w:themeColor="accent1"/>
          <w:sz w:val="24"/>
          <w:szCs w:val="24"/>
          <w:lang w:val="es-CO"/>
        </w:rPr>
        <w:t xml:space="preserve">  </w:t>
      </w:r>
      <w:r w:rsidRPr="009D510B">
        <w:rPr>
          <w:rFonts w:ascii="Verdana" w:eastAsia="Arial" w:hAnsi="Verdana"/>
          <w:b/>
          <w:color w:val="4F81BD" w:themeColor="accent1"/>
          <w:sz w:val="28"/>
          <w:szCs w:val="24"/>
          <w:lang w:val="es-CO"/>
        </w:rPr>
        <w:t>GESTIÓN CONTRACTUAL</w:t>
      </w:r>
      <w:bookmarkEnd w:id="130"/>
    </w:p>
    <w:p w:rsidR="00C310DF" w:rsidRPr="00BC7F3F" w:rsidRDefault="00C310DF" w:rsidP="00C310DF">
      <w:pPr>
        <w:shd w:val="clear" w:color="auto" w:fill="FFFFFF"/>
        <w:spacing w:after="0" w:line="240" w:lineRule="auto"/>
        <w:contextualSpacing/>
        <w:jc w:val="both"/>
        <w:rPr>
          <w:rFonts w:ascii="Verdana" w:eastAsia="Arial" w:hAnsi="Verdana"/>
          <w:sz w:val="24"/>
          <w:szCs w:val="24"/>
        </w:rPr>
      </w:pPr>
    </w:p>
    <w:p w:rsidR="00C310DF" w:rsidRPr="00BC7F3F" w:rsidRDefault="00C310DF" w:rsidP="00C310DF">
      <w:pPr>
        <w:shd w:val="clear" w:color="auto" w:fill="FFFFFF"/>
        <w:spacing w:after="0" w:line="240" w:lineRule="auto"/>
        <w:contextualSpacing/>
        <w:jc w:val="both"/>
        <w:rPr>
          <w:rFonts w:ascii="Verdana" w:eastAsia="Arial" w:hAnsi="Verdana"/>
          <w:sz w:val="24"/>
          <w:szCs w:val="24"/>
        </w:rPr>
      </w:pPr>
      <w:r w:rsidRPr="00BC7F3F">
        <w:rPr>
          <w:rFonts w:ascii="Verdana" w:eastAsia="Arial" w:hAnsi="Verdana"/>
          <w:sz w:val="24"/>
          <w:szCs w:val="24"/>
        </w:rPr>
        <w:t xml:space="preserve">La información detallada correspondiente a los procesos contractuales desarrollados durante la vigencia 2014 se presenta en el Anexo </w:t>
      </w:r>
      <w:r w:rsidR="009D510B">
        <w:rPr>
          <w:rFonts w:ascii="Verdana" w:eastAsia="Arial" w:hAnsi="Verdana"/>
          <w:sz w:val="24"/>
          <w:szCs w:val="24"/>
        </w:rPr>
        <w:t>3E,</w:t>
      </w:r>
      <w:r w:rsidRPr="00BC7F3F">
        <w:rPr>
          <w:rFonts w:ascii="Verdana" w:eastAsia="Arial" w:hAnsi="Verdana"/>
          <w:sz w:val="24"/>
          <w:szCs w:val="24"/>
        </w:rPr>
        <w:t xml:space="preserve"> de este informe. En dicho anexo se detalla el objeto del contrato, el estado, la modalidad de selección, el tipo de contrato y el valor de cada uno.  A manera de resumen, se presenta la siguiente tabla:</w:t>
      </w:r>
    </w:p>
    <w:p w:rsidR="00C310DF" w:rsidRPr="00BC7F3F" w:rsidRDefault="00C310DF" w:rsidP="00C310DF">
      <w:pPr>
        <w:shd w:val="clear" w:color="auto" w:fill="FFFFFF"/>
        <w:jc w:val="both"/>
        <w:rPr>
          <w:rFonts w:ascii="Verdana" w:eastAsia="Arial" w:hAnsi="Verdana"/>
          <w:sz w:val="24"/>
          <w:szCs w:val="24"/>
        </w:rPr>
      </w:pPr>
    </w:p>
    <w:tbl>
      <w:tblPr>
        <w:tblStyle w:val="Tabladecuadrcula4-nfasis11"/>
        <w:tblW w:w="5000" w:type="pct"/>
        <w:jc w:val="center"/>
        <w:tblLook w:val="04A0"/>
      </w:tblPr>
      <w:tblGrid>
        <w:gridCol w:w="2374"/>
        <w:gridCol w:w="2152"/>
        <w:gridCol w:w="2384"/>
        <w:gridCol w:w="2100"/>
        <w:gridCol w:w="1232"/>
      </w:tblGrid>
      <w:tr w:rsidR="00C310DF" w:rsidRPr="009D510B" w:rsidTr="009D510B">
        <w:trPr>
          <w:cnfStyle w:val="100000000000"/>
          <w:trHeight w:val="297"/>
          <w:tblHeader/>
          <w:jc w:val="center"/>
        </w:trPr>
        <w:tc>
          <w:tcPr>
            <w:cnfStyle w:val="001000000000"/>
            <w:tcW w:w="1852" w:type="pct"/>
            <w:gridSpan w:val="2"/>
            <w:vAlign w:val="center"/>
            <w:hideMark/>
          </w:tcPr>
          <w:p w:rsidR="00C310DF" w:rsidRPr="009D510B" w:rsidRDefault="00C310DF" w:rsidP="00C310DF">
            <w:pPr>
              <w:jc w:val="center"/>
              <w:rPr>
                <w:rFonts w:ascii="Verdana" w:hAnsi="Verdana"/>
                <w:b w:val="0"/>
                <w:sz w:val="22"/>
                <w:szCs w:val="22"/>
              </w:rPr>
            </w:pPr>
            <w:r w:rsidRPr="009D510B">
              <w:rPr>
                <w:rFonts w:ascii="Verdana" w:hAnsi="Verdana"/>
                <w:b w:val="0"/>
                <w:bCs w:val="0"/>
                <w:sz w:val="22"/>
                <w:szCs w:val="22"/>
              </w:rPr>
              <w:t>Modalidad de selección</w:t>
            </w:r>
          </w:p>
        </w:tc>
        <w:tc>
          <w:tcPr>
            <w:tcW w:w="1521" w:type="pct"/>
            <w:vAlign w:val="center"/>
            <w:hideMark/>
          </w:tcPr>
          <w:p w:rsidR="00C310DF" w:rsidRPr="009D510B" w:rsidRDefault="00C310DF" w:rsidP="00C310DF">
            <w:pPr>
              <w:jc w:val="center"/>
              <w:cnfStyle w:val="100000000000"/>
              <w:rPr>
                <w:rFonts w:ascii="Verdana" w:hAnsi="Verdana"/>
                <w:b w:val="0"/>
                <w:bCs w:val="0"/>
                <w:sz w:val="22"/>
                <w:szCs w:val="22"/>
              </w:rPr>
            </w:pPr>
            <w:r w:rsidRPr="009D510B">
              <w:rPr>
                <w:rFonts w:ascii="Verdana" w:hAnsi="Verdana"/>
                <w:b w:val="0"/>
                <w:bCs w:val="0"/>
                <w:sz w:val="22"/>
                <w:szCs w:val="22"/>
              </w:rPr>
              <w:t>Tipo de contrato</w:t>
            </w:r>
          </w:p>
        </w:tc>
        <w:tc>
          <w:tcPr>
            <w:tcW w:w="1025" w:type="pct"/>
            <w:vAlign w:val="center"/>
            <w:hideMark/>
          </w:tcPr>
          <w:p w:rsidR="00C310DF" w:rsidRPr="009D510B" w:rsidRDefault="00C310DF" w:rsidP="00C310DF">
            <w:pPr>
              <w:jc w:val="center"/>
              <w:cnfStyle w:val="100000000000"/>
              <w:rPr>
                <w:rFonts w:ascii="Verdana" w:hAnsi="Verdana"/>
                <w:b w:val="0"/>
                <w:bCs w:val="0"/>
                <w:sz w:val="22"/>
                <w:szCs w:val="22"/>
              </w:rPr>
            </w:pPr>
            <w:r w:rsidRPr="009D510B">
              <w:rPr>
                <w:rFonts w:ascii="Verdana" w:hAnsi="Verdana"/>
                <w:b w:val="0"/>
                <w:bCs w:val="0"/>
                <w:sz w:val="22"/>
                <w:szCs w:val="22"/>
              </w:rPr>
              <w:t>Valor</w:t>
            </w:r>
          </w:p>
        </w:tc>
        <w:tc>
          <w:tcPr>
            <w:tcW w:w="601" w:type="pct"/>
            <w:vAlign w:val="center"/>
            <w:hideMark/>
          </w:tcPr>
          <w:p w:rsidR="00C310DF" w:rsidRPr="009D510B" w:rsidRDefault="00C310DF" w:rsidP="00C310DF">
            <w:pPr>
              <w:jc w:val="center"/>
              <w:cnfStyle w:val="100000000000"/>
              <w:rPr>
                <w:rFonts w:ascii="Verdana" w:hAnsi="Verdana"/>
                <w:b w:val="0"/>
                <w:bCs w:val="0"/>
                <w:sz w:val="22"/>
                <w:szCs w:val="22"/>
              </w:rPr>
            </w:pPr>
            <w:r w:rsidRPr="009D510B">
              <w:rPr>
                <w:rFonts w:ascii="Verdana" w:hAnsi="Verdana"/>
                <w:b w:val="0"/>
                <w:bCs w:val="0"/>
                <w:sz w:val="22"/>
                <w:szCs w:val="22"/>
              </w:rPr>
              <w:t>Total contratos</w:t>
            </w:r>
          </w:p>
        </w:tc>
      </w:tr>
      <w:tr w:rsidR="00C310DF" w:rsidRPr="009D510B" w:rsidTr="009D510B">
        <w:trPr>
          <w:cnfStyle w:val="000000100000"/>
          <w:trHeight w:val="293"/>
          <w:jc w:val="center"/>
        </w:trPr>
        <w:tc>
          <w:tcPr>
            <w:cnfStyle w:val="001000000000"/>
            <w:tcW w:w="1852" w:type="pct"/>
            <w:gridSpan w:val="2"/>
            <w:noWrap/>
            <w:vAlign w:val="center"/>
            <w:hideMark/>
          </w:tcPr>
          <w:p w:rsidR="00C310DF" w:rsidRPr="009D510B" w:rsidRDefault="00C310DF" w:rsidP="00C310DF">
            <w:pPr>
              <w:jc w:val="center"/>
              <w:rPr>
                <w:rFonts w:ascii="Verdana" w:hAnsi="Verdana"/>
                <w:b w:val="0"/>
                <w:bCs w:val="0"/>
                <w:color w:val="000000"/>
                <w:sz w:val="22"/>
                <w:szCs w:val="22"/>
              </w:rPr>
            </w:pPr>
            <w:r w:rsidRPr="009D510B">
              <w:rPr>
                <w:rFonts w:ascii="Verdana" w:hAnsi="Verdana"/>
                <w:b w:val="0"/>
                <w:color w:val="000000"/>
                <w:sz w:val="22"/>
                <w:szCs w:val="22"/>
              </w:rPr>
              <w:t>Concurso de méritos abierto</w:t>
            </w:r>
          </w:p>
        </w:tc>
        <w:tc>
          <w:tcPr>
            <w:tcW w:w="1521" w:type="pct"/>
            <w:vAlign w:val="center"/>
            <w:hideMark/>
          </w:tcPr>
          <w:p w:rsidR="00C310DF" w:rsidRPr="009D510B" w:rsidRDefault="00C310DF" w:rsidP="00C310DF">
            <w:pPr>
              <w:cnfStyle w:val="000000100000"/>
              <w:rPr>
                <w:rFonts w:ascii="Verdana" w:hAnsi="Verdana"/>
                <w:color w:val="000000"/>
                <w:sz w:val="22"/>
                <w:szCs w:val="22"/>
              </w:rPr>
            </w:pPr>
            <w:r w:rsidRPr="009D510B">
              <w:rPr>
                <w:rFonts w:ascii="Verdana" w:hAnsi="Verdana"/>
                <w:color w:val="000000"/>
                <w:sz w:val="22"/>
                <w:szCs w:val="22"/>
              </w:rPr>
              <w:t>Consultoría</w:t>
            </w:r>
          </w:p>
        </w:tc>
        <w:tc>
          <w:tcPr>
            <w:tcW w:w="1025" w:type="pct"/>
            <w:noWrap/>
            <w:vAlign w:val="center"/>
            <w:hideMark/>
          </w:tcPr>
          <w:p w:rsidR="00C310DF" w:rsidRPr="009D510B" w:rsidRDefault="00C310DF" w:rsidP="00C310DF">
            <w:pPr>
              <w:jc w:val="right"/>
              <w:cnfStyle w:val="000000100000"/>
              <w:rPr>
                <w:rFonts w:ascii="Verdana" w:hAnsi="Verdana"/>
                <w:color w:val="000000"/>
                <w:sz w:val="22"/>
                <w:szCs w:val="22"/>
              </w:rPr>
            </w:pPr>
            <w:r w:rsidRPr="009D510B">
              <w:rPr>
                <w:rFonts w:ascii="Verdana" w:hAnsi="Verdana"/>
                <w:color w:val="000000"/>
                <w:sz w:val="22"/>
                <w:szCs w:val="22"/>
              </w:rPr>
              <w:t>$447.037.011</w:t>
            </w:r>
          </w:p>
        </w:tc>
        <w:tc>
          <w:tcPr>
            <w:tcW w:w="601" w:type="pct"/>
            <w:noWrap/>
            <w:vAlign w:val="center"/>
            <w:hideMark/>
          </w:tcPr>
          <w:p w:rsidR="00C310DF" w:rsidRPr="009D510B" w:rsidRDefault="00C310DF" w:rsidP="00C310DF">
            <w:pPr>
              <w:jc w:val="center"/>
              <w:cnfStyle w:val="000000100000"/>
              <w:rPr>
                <w:rFonts w:ascii="Verdana" w:hAnsi="Verdana"/>
                <w:color w:val="000000"/>
                <w:sz w:val="22"/>
                <w:szCs w:val="22"/>
              </w:rPr>
            </w:pPr>
            <w:r w:rsidRPr="009D510B">
              <w:rPr>
                <w:rFonts w:ascii="Verdana" w:hAnsi="Verdana"/>
                <w:color w:val="000000"/>
                <w:sz w:val="22"/>
                <w:szCs w:val="22"/>
              </w:rPr>
              <w:t>2</w:t>
            </w:r>
          </w:p>
        </w:tc>
      </w:tr>
      <w:tr w:rsidR="00C310DF" w:rsidRPr="009D510B" w:rsidTr="009D510B">
        <w:trPr>
          <w:trHeight w:val="282"/>
          <w:jc w:val="center"/>
        </w:trPr>
        <w:tc>
          <w:tcPr>
            <w:cnfStyle w:val="001000000000"/>
            <w:tcW w:w="1852" w:type="pct"/>
            <w:gridSpan w:val="2"/>
            <w:vMerge w:val="restart"/>
            <w:noWrap/>
            <w:vAlign w:val="center"/>
            <w:hideMark/>
          </w:tcPr>
          <w:p w:rsidR="00C310DF" w:rsidRPr="009D510B" w:rsidRDefault="00C310DF" w:rsidP="00C310DF">
            <w:pPr>
              <w:jc w:val="center"/>
              <w:rPr>
                <w:rFonts w:ascii="Verdana" w:hAnsi="Verdana"/>
                <w:b w:val="0"/>
                <w:color w:val="000000"/>
                <w:sz w:val="22"/>
                <w:szCs w:val="22"/>
              </w:rPr>
            </w:pPr>
            <w:r w:rsidRPr="009D510B">
              <w:rPr>
                <w:rFonts w:ascii="Verdana" w:hAnsi="Verdana"/>
                <w:b w:val="0"/>
                <w:color w:val="000000"/>
                <w:sz w:val="22"/>
                <w:szCs w:val="22"/>
              </w:rPr>
              <w:t>Contratación directa</w:t>
            </w:r>
          </w:p>
        </w:tc>
        <w:tc>
          <w:tcPr>
            <w:tcW w:w="1521" w:type="pct"/>
            <w:vAlign w:val="center"/>
            <w:hideMark/>
          </w:tcPr>
          <w:p w:rsidR="00C310DF" w:rsidRPr="009D510B" w:rsidRDefault="00C310DF" w:rsidP="00C310DF">
            <w:pPr>
              <w:cnfStyle w:val="000000000000"/>
              <w:rPr>
                <w:rFonts w:ascii="Verdana" w:hAnsi="Verdana"/>
                <w:color w:val="000000"/>
                <w:sz w:val="22"/>
                <w:szCs w:val="22"/>
              </w:rPr>
            </w:pPr>
            <w:r w:rsidRPr="009D510B">
              <w:rPr>
                <w:rFonts w:ascii="Verdana" w:hAnsi="Verdana"/>
                <w:color w:val="000000"/>
                <w:sz w:val="22"/>
                <w:szCs w:val="22"/>
              </w:rPr>
              <w:t>Arrendamiento</w:t>
            </w:r>
          </w:p>
        </w:tc>
        <w:tc>
          <w:tcPr>
            <w:tcW w:w="1025" w:type="pct"/>
            <w:noWrap/>
            <w:vAlign w:val="center"/>
            <w:hideMark/>
          </w:tcPr>
          <w:p w:rsidR="00C310DF" w:rsidRPr="009D510B" w:rsidRDefault="00C310DF" w:rsidP="00C310DF">
            <w:pPr>
              <w:jc w:val="right"/>
              <w:cnfStyle w:val="000000000000"/>
              <w:rPr>
                <w:rFonts w:ascii="Verdana" w:hAnsi="Verdana"/>
                <w:color w:val="000000"/>
                <w:sz w:val="22"/>
                <w:szCs w:val="22"/>
              </w:rPr>
            </w:pPr>
            <w:r w:rsidRPr="009D510B">
              <w:rPr>
                <w:rFonts w:ascii="Verdana" w:hAnsi="Verdana"/>
                <w:color w:val="000000"/>
                <w:sz w:val="22"/>
                <w:szCs w:val="22"/>
              </w:rPr>
              <w:t>$1.071.248.912</w:t>
            </w:r>
          </w:p>
        </w:tc>
        <w:tc>
          <w:tcPr>
            <w:tcW w:w="601" w:type="pct"/>
            <w:noWrap/>
            <w:vAlign w:val="center"/>
            <w:hideMark/>
          </w:tcPr>
          <w:p w:rsidR="00C310DF" w:rsidRPr="009D510B" w:rsidRDefault="00C310DF" w:rsidP="00C310DF">
            <w:pPr>
              <w:jc w:val="center"/>
              <w:cnfStyle w:val="000000000000"/>
              <w:rPr>
                <w:rFonts w:ascii="Verdana" w:hAnsi="Verdana"/>
                <w:color w:val="000000"/>
                <w:sz w:val="22"/>
                <w:szCs w:val="22"/>
              </w:rPr>
            </w:pPr>
            <w:r w:rsidRPr="009D510B">
              <w:rPr>
                <w:rFonts w:ascii="Verdana" w:hAnsi="Verdana"/>
                <w:color w:val="000000"/>
                <w:sz w:val="22"/>
                <w:szCs w:val="22"/>
              </w:rPr>
              <w:t>21</w:t>
            </w:r>
          </w:p>
        </w:tc>
      </w:tr>
      <w:tr w:rsidR="00C310DF" w:rsidRPr="009D510B" w:rsidTr="009D510B">
        <w:trPr>
          <w:cnfStyle w:val="000000100000"/>
          <w:trHeight w:val="273"/>
          <w:jc w:val="center"/>
        </w:trPr>
        <w:tc>
          <w:tcPr>
            <w:cnfStyle w:val="001000000000"/>
            <w:tcW w:w="1852" w:type="pct"/>
            <w:gridSpan w:val="2"/>
            <w:vMerge/>
            <w:vAlign w:val="center"/>
            <w:hideMark/>
          </w:tcPr>
          <w:p w:rsidR="00C310DF" w:rsidRPr="009D510B" w:rsidRDefault="00C310DF" w:rsidP="00C310DF">
            <w:pPr>
              <w:rPr>
                <w:rFonts w:ascii="Verdana" w:hAnsi="Verdana"/>
                <w:b w:val="0"/>
                <w:color w:val="000000"/>
                <w:sz w:val="22"/>
                <w:szCs w:val="22"/>
              </w:rPr>
            </w:pPr>
          </w:p>
        </w:tc>
        <w:tc>
          <w:tcPr>
            <w:tcW w:w="1521" w:type="pct"/>
            <w:vAlign w:val="center"/>
            <w:hideMark/>
          </w:tcPr>
          <w:p w:rsidR="00C310DF" w:rsidRPr="009D510B" w:rsidRDefault="00C310DF" w:rsidP="00C310DF">
            <w:pPr>
              <w:cnfStyle w:val="000000100000"/>
              <w:rPr>
                <w:rFonts w:ascii="Verdana" w:hAnsi="Verdana"/>
                <w:color w:val="000000"/>
                <w:sz w:val="22"/>
                <w:szCs w:val="22"/>
              </w:rPr>
            </w:pPr>
            <w:r w:rsidRPr="009D510B">
              <w:rPr>
                <w:rFonts w:ascii="Verdana" w:hAnsi="Verdana"/>
                <w:color w:val="000000"/>
                <w:sz w:val="22"/>
                <w:szCs w:val="22"/>
              </w:rPr>
              <w:t>Arrendamiento de software</w:t>
            </w:r>
          </w:p>
        </w:tc>
        <w:tc>
          <w:tcPr>
            <w:tcW w:w="1025" w:type="pct"/>
            <w:noWrap/>
            <w:vAlign w:val="center"/>
            <w:hideMark/>
          </w:tcPr>
          <w:p w:rsidR="00C310DF" w:rsidRPr="009D510B" w:rsidRDefault="00C310DF" w:rsidP="00C310DF">
            <w:pPr>
              <w:jc w:val="right"/>
              <w:cnfStyle w:val="000000100000"/>
              <w:rPr>
                <w:rFonts w:ascii="Verdana" w:hAnsi="Verdana"/>
                <w:color w:val="000000"/>
                <w:sz w:val="22"/>
                <w:szCs w:val="22"/>
              </w:rPr>
            </w:pPr>
            <w:r w:rsidRPr="009D510B">
              <w:rPr>
                <w:rFonts w:ascii="Verdana" w:hAnsi="Verdana"/>
                <w:color w:val="000000"/>
                <w:sz w:val="22"/>
                <w:szCs w:val="22"/>
              </w:rPr>
              <w:t>$52.030.176</w:t>
            </w:r>
          </w:p>
        </w:tc>
        <w:tc>
          <w:tcPr>
            <w:tcW w:w="601" w:type="pct"/>
            <w:noWrap/>
            <w:vAlign w:val="center"/>
            <w:hideMark/>
          </w:tcPr>
          <w:p w:rsidR="00C310DF" w:rsidRPr="009D510B" w:rsidRDefault="00C310DF" w:rsidP="00C310DF">
            <w:pPr>
              <w:jc w:val="center"/>
              <w:cnfStyle w:val="000000100000"/>
              <w:rPr>
                <w:rFonts w:ascii="Verdana" w:hAnsi="Verdana"/>
                <w:color w:val="000000"/>
                <w:sz w:val="22"/>
                <w:szCs w:val="22"/>
              </w:rPr>
            </w:pPr>
            <w:r w:rsidRPr="009D510B">
              <w:rPr>
                <w:rFonts w:ascii="Verdana" w:hAnsi="Verdana"/>
                <w:color w:val="000000"/>
                <w:sz w:val="22"/>
                <w:szCs w:val="22"/>
              </w:rPr>
              <w:t>1</w:t>
            </w:r>
          </w:p>
        </w:tc>
      </w:tr>
      <w:tr w:rsidR="00C310DF" w:rsidRPr="009D510B" w:rsidTr="009D510B">
        <w:trPr>
          <w:trHeight w:val="418"/>
          <w:jc w:val="center"/>
        </w:trPr>
        <w:tc>
          <w:tcPr>
            <w:cnfStyle w:val="001000000000"/>
            <w:tcW w:w="1852" w:type="pct"/>
            <w:gridSpan w:val="2"/>
            <w:vMerge/>
            <w:vAlign w:val="center"/>
            <w:hideMark/>
          </w:tcPr>
          <w:p w:rsidR="00C310DF" w:rsidRPr="009D510B" w:rsidRDefault="00C310DF" w:rsidP="00C310DF">
            <w:pPr>
              <w:rPr>
                <w:rFonts w:ascii="Verdana" w:hAnsi="Verdana"/>
                <w:b w:val="0"/>
                <w:color w:val="000000"/>
                <w:sz w:val="22"/>
                <w:szCs w:val="22"/>
              </w:rPr>
            </w:pPr>
          </w:p>
        </w:tc>
        <w:tc>
          <w:tcPr>
            <w:tcW w:w="1521" w:type="pct"/>
            <w:vAlign w:val="center"/>
            <w:hideMark/>
          </w:tcPr>
          <w:p w:rsidR="00C310DF" w:rsidRPr="009D510B" w:rsidRDefault="00C310DF" w:rsidP="00C310DF">
            <w:pPr>
              <w:cnfStyle w:val="000000000000"/>
              <w:rPr>
                <w:rFonts w:ascii="Verdana" w:hAnsi="Verdana"/>
                <w:color w:val="000000"/>
                <w:sz w:val="22"/>
                <w:szCs w:val="22"/>
              </w:rPr>
            </w:pPr>
            <w:r w:rsidRPr="009D510B">
              <w:rPr>
                <w:rFonts w:ascii="Verdana" w:hAnsi="Verdana"/>
                <w:color w:val="000000"/>
                <w:sz w:val="22"/>
                <w:szCs w:val="22"/>
              </w:rPr>
              <w:t>Contrato de licenciamiento de software</w:t>
            </w:r>
          </w:p>
        </w:tc>
        <w:tc>
          <w:tcPr>
            <w:tcW w:w="1025" w:type="pct"/>
            <w:noWrap/>
            <w:vAlign w:val="center"/>
            <w:hideMark/>
          </w:tcPr>
          <w:p w:rsidR="00C310DF" w:rsidRPr="009D510B" w:rsidRDefault="00C310DF" w:rsidP="00C310DF">
            <w:pPr>
              <w:jc w:val="right"/>
              <w:cnfStyle w:val="000000000000"/>
              <w:rPr>
                <w:rFonts w:ascii="Verdana" w:hAnsi="Verdana"/>
                <w:color w:val="000000"/>
                <w:sz w:val="22"/>
                <w:szCs w:val="22"/>
              </w:rPr>
            </w:pPr>
            <w:r w:rsidRPr="009D510B">
              <w:rPr>
                <w:rFonts w:ascii="Verdana" w:hAnsi="Verdana"/>
                <w:color w:val="000000"/>
                <w:sz w:val="22"/>
                <w:szCs w:val="22"/>
              </w:rPr>
              <w:t>$288.675.512</w:t>
            </w:r>
          </w:p>
        </w:tc>
        <w:tc>
          <w:tcPr>
            <w:tcW w:w="601" w:type="pct"/>
            <w:noWrap/>
            <w:vAlign w:val="center"/>
            <w:hideMark/>
          </w:tcPr>
          <w:p w:rsidR="00C310DF" w:rsidRPr="009D510B" w:rsidRDefault="00C310DF" w:rsidP="00C310DF">
            <w:pPr>
              <w:jc w:val="center"/>
              <w:cnfStyle w:val="000000000000"/>
              <w:rPr>
                <w:rFonts w:ascii="Verdana" w:hAnsi="Verdana"/>
                <w:color w:val="000000"/>
                <w:sz w:val="22"/>
                <w:szCs w:val="22"/>
              </w:rPr>
            </w:pPr>
            <w:r w:rsidRPr="009D510B">
              <w:rPr>
                <w:rFonts w:ascii="Verdana" w:hAnsi="Verdana"/>
                <w:color w:val="000000"/>
                <w:sz w:val="22"/>
                <w:szCs w:val="22"/>
              </w:rPr>
              <w:t>1</w:t>
            </w:r>
          </w:p>
        </w:tc>
      </w:tr>
      <w:tr w:rsidR="00C310DF" w:rsidRPr="009D510B" w:rsidTr="009D510B">
        <w:trPr>
          <w:cnfStyle w:val="000000100000"/>
          <w:trHeight w:val="226"/>
          <w:jc w:val="center"/>
        </w:trPr>
        <w:tc>
          <w:tcPr>
            <w:cnfStyle w:val="001000000000"/>
            <w:tcW w:w="1852" w:type="pct"/>
            <w:gridSpan w:val="2"/>
            <w:vMerge/>
            <w:vAlign w:val="center"/>
            <w:hideMark/>
          </w:tcPr>
          <w:p w:rsidR="00C310DF" w:rsidRPr="009D510B" w:rsidRDefault="00C310DF" w:rsidP="00C310DF">
            <w:pPr>
              <w:rPr>
                <w:rFonts w:ascii="Verdana" w:hAnsi="Verdana"/>
                <w:b w:val="0"/>
                <w:color w:val="000000"/>
                <w:sz w:val="22"/>
                <w:szCs w:val="22"/>
              </w:rPr>
            </w:pPr>
          </w:p>
        </w:tc>
        <w:tc>
          <w:tcPr>
            <w:tcW w:w="1521" w:type="pct"/>
            <w:vAlign w:val="center"/>
            <w:hideMark/>
          </w:tcPr>
          <w:p w:rsidR="00C310DF" w:rsidRPr="009D510B" w:rsidRDefault="00C310DF" w:rsidP="00C310DF">
            <w:pPr>
              <w:cnfStyle w:val="000000100000"/>
              <w:rPr>
                <w:rFonts w:ascii="Verdana" w:hAnsi="Verdana"/>
                <w:color w:val="000000"/>
                <w:sz w:val="22"/>
                <w:szCs w:val="22"/>
              </w:rPr>
            </w:pPr>
            <w:r w:rsidRPr="009D510B">
              <w:rPr>
                <w:rFonts w:ascii="Verdana" w:hAnsi="Verdana"/>
                <w:color w:val="000000"/>
                <w:sz w:val="22"/>
                <w:szCs w:val="22"/>
              </w:rPr>
              <w:t>Prestación de servicios</w:t>
            </w:r>
          </w:p>
        </w:tc>
        <w:tc>
          <w:tcPr>
            <w:tcW w:w="1025" w:type="pct"/>
            <w:noWrap/>
            <w:vAlign w:val="center"/>
            <w:hideMark/>
          </w:tcPr>
          <w:p w:rsidR="00C310DF" w:rsidRPr="009D510B" w:rsidRDefault="00C310DF" w:rsidP="00C310DF">
            <w:pPr>
              <w:jc w:val="right"/>
              <w:cnfStyle w:val="000000100000"/>
              <w:rPr>
                <w:rFonts w:ascii="Verdana" w:hAnsi="Verdana"/>
                <w:color w:val="000000"/>
                <w:sz w:val="22"/>
                <w:szCs w:val="22"/>
              </w:rPr>
            </w:pPr>
            <w:r w:rsidRPr="009D510B">
              <w:rPr>
                <w:rFonts w:ascii="Verdana" w:hAnsi="Verdana"/>
                <w:color w:val="000000"/>
                <w:sz w:val="22"/>
                <w:szCs w:val="22"/>
              </w:rPr>
              <w:t>$660.515.412</w:t>
            </w:r>
          </w:p>
        </w:tc>
        <w:tc>
          <w:tcPr>
            <w:tcW w:w="601" w:type="pct"/>
            <w:noWrap/>
            <w:vAlign w:val="center"/>
            <w:hideMark/>
          </w:tcPr>
          <w:p w:rsidR="00C310DF" w:rsidRPr="009D510B" w:rsidRDefault="00C310DF" w:rsidP="00C310DF">
            <w:pPr>
              <w:jc w:val="center"/>
              <w:cnfStyle w:val="000000100000"/>
              <w:rPr>
                <w:rFonts w:ascii="Verdana" w:hAnsi="Verdana"/>
                <w:color w:val="000000"/>
                <w:sz w:val="22"/>
                <w:szCs w:val="22"/>
              </w:rPr>
            </w:pPr>
            <w:r w:rsidRPr="009D510B">
              <w:rPr>
                <w:rFonts w:ascii="Verdana" w:hAnsi="Verdana"/>
                <w:color w:val="000000"/>
                <w:sz w:val="22"/>
                <w:szCs w:val="22"/>
              </w:rPr>
              <w:t>11</w:t>
            </w:r>
          </w:p>
        </w:tc>
      </w:tr>
      <w:tr w:rsidR="00C310DF" w:rsidRPr="009D510B" w:rsidTr="009D510B">
        <w:trPr>
          <w:trHeight w:val="287"/>
          <w:jc w:val="center"/>
        </w:trPr>
        <w:tc>
          <w:tcPr>
            <w:cnfStyle w:val="001000000000"/>
            <w:tcW w:w="1852" w:type="pct"/>
            <w:gridSpan w:val="2"/>
            <w:vMerge/>
            <w:vAlign w:val="center"/>
            <w:hideMark/>
          </w:tcPr>
          <w:p w:rsidR="00C310DF" w:rsidRPr="009D510B" w:rsidRDefault="00C310DF" w:rsidP="00C310DF">
            <w:pPr>
              <w:rPr>
                <w:rFonts w:ascii="Verdana" w:hAnsi="Verdana"/>
                <w:b w:val="0"/>
                <w:color w:val="000000"/>
                <w:sz w:val="22"/>
                <w:szCs w:val="22"/>
              </w:rPr>
            </w:pPr>
          </w:p>
        </w:tc>
        <w:tc>
          <w:tcPr>
            <w:tcW w:w="1521" w:type="pct"/>
            <w:vAlign w:val="center"/>
            <w:hideMark/>
          </w:tcPr>
          <w:p w:rsidR="00C310DF" w:rsidRPr="009D510B" w:rsidRDefault="00C310DF" w:rsidP="00C310DF">
            <w:pPr>
              <w:cnfStyle w:val="000000000000"/>
              <w:rPr>
                <w:rFonts w:ascii="Verdana" w:hAnsi="Verdana"/>
                <w:color w:val="000000"/>
                <w:sz w:val="22"/>
                <w:szCs w:val="22"/>
              </w:rPr>
            </w:pPr>
            <w:r w:rsidRPr="009D510B">
              <w:rPr>
                <w:rFonts w:ascii="Verdana" w:hAnsi="Verdana"/>
                <w:color w:val="000000"/>
                <w:sz w:val="22"/>
                <w:szCs w:val="22"/>
              </w:rPr>
              <w:t>Prestación de servicios de apoyo a la gestión</w:t>
            </w:r>
          </w:p>
        </w:tc>
        <w:tc>
          <w:tcPr>
            <w:tcW w:w="1025" w:type="pct"/>
            <w:noWrap/>
            <w:vAlign w:val="center"/>
            <w:hideMark/>
          </w:tcPr>
          <w:p w:rsidR="00C310DF" w:rsidRPr="009D510B" w:rsidRDefault="00C310DF" w:rsidP="00C310DF">
            <w:pPr>
              <w:jc w:val="right"/>
              <w:cnfStyle w:val="000000000000"/>
              <w:rPr>
                <w:rFonts w:ascii="Verdana" w:hAnsi="Verdana"/>
                <w:color w:val="000000"/>
                <w:sz w:val="22"/>
                <w:szCs w:val="22"/>
              </w:rPr>
            </w:pPr>
            <w:r w:rsidRPr="009D510B">
              <w:rPr>
                <w:rFonts w:ascii="Verdana" w:hAnsi="Verdana"/>
                <w:color w:val="000000"/>
                <w:sz w:val="22"/>
                <w:szCs w:val="22"/>
              </w:rPr>
              <w:t>$16.067.091.822</w:t>
            </w:r>
          </w:p>
        </w:tc>
        <w:tc>
          <w:tcPr>
            <w:tcW w:w="601" w:type="pct"/>
            <w:noWrap/>
            <w:vAlign w:val="center"/>
            <w:hideMark/>
          </w:tcPr>
          <w:p w:rsidR="00C310DF" w:rsidRPr="009D510B" w:rsidRDefault="00C310DF" w:rsidP="00C310DF">
            <w:pPr>
              <w:jc w:val="center"/>
              <w:cnfStyle w:val="000000000000"/>
              <w:rPr>
                <w:rFonts w:ascii="Verdana" w:hAnsi="Verdana"/>
                <w:color w:val="000000"/>
                <w:sz w:val="22"/>
                <w:szCs w:val="22"/>
              </w:rPr>
            </w:pPr>
            <w:r w:rsidRPr="009D510B">
              <w:rPr>
                <w:rFonts w:ascii="Verdana" w:hAnsi="Verdana"/>
                <w:color w:val="000000"/>
                <w:sz w:val="22"/>
                <w:szCs w:val="22"/>
              </w:rPr>
              <w:t>457</w:t>
            </w:r>
          </w:p>
        </w:tc>
      </w:tr>
      <w:tr w:rsidR="00C310DF" w:rsidRPr="009D510B" w:rsidTr="009D510B">
        <w:trPr>
          <w:cnfStyle w:val="000000100000"/>
          <w:trHeight w:val="237"/>
          <w:jc w:val="center"/>
        </w:trPr>
        <w:tc>
          <w:tcPr>
            <w:cnfStyle w:val="001000000000"/>
            <w:tcW w:w="1852" w:type="pct"/>
            <w:gridSpan w:val="2"/>
            <w:vMerge/>
            <w:vAlign w:val="center"/>
            <w:hideMark/>
          </w:tcPr>
          <w:p w:rsidR="00C310DF" w:rsidRPr="009D510B" w:rsidRDefault="00C310DF" w:rsidP="00C310DF">
            <w:pPr>
              <w:rPr>
                <w:rFonts w:ascii="Verdana" w:hAnsi="Verdana"/>
                <w:b w:val="0"/>
                <w:color w:val="000000"/>
                <w:sz w:val="22"/>
                <w:szCs w:val="22"/>
              </w:rPr>
            </w:pPr>
          </w:p>
        </w:tc>
        <w:tc>
          <w:tcPr>
            <w:tcW w:w="1521" w:type="pct"/>
            <w:vAlign w:val="center"/>
            <w:hideMark/>
          </w:tcPr>
          <w:p w:rsidR="00C310DF" w:rsidRPr="009D510B" w:rsidRDefault="00C310DF" w:rsidP="00C310DF">
            <w:pPr>
              <w:cnfStyle w:val="000000100000"/>
              <w:rPr>
                <w:rFonts w:ascii="Verdana" w:hAnsi="Verdana"/>
                <w:color w:val="000000"/>
                <w:sz w:val="22"/>
                <w:szCs w:val="22"/>
              </w:rPr>
            </w:pPr>
            <w:r w:rsidRPr="009D510B">
              <w:rPr>
                <w:rFonts w:ascii="Verdana" w:hAnsi="Verdana"/>
                <w:color w:val="000000"/>
                <w:sz w:val="22"/>
                <w:szCs w:val="22"/>
              </w:rPr>
              <w:t>Convenios de asociación</w:t>
            </w:r>
          </w:p>
        </w:tc>
        <w:tc>
          <w:tcPr>
            <w:tcW w:w="1025" w:type="pct"/>
            <w:noWrap/>
            <w:vAlign w:val="center"/>
            <w:hideMark/>
          </w:tcPr>
          <w:p w:rsidR="00C310DF" w:rsidRPr="009D510B" w:rsidRDefault="00C310DF" w:rsidP="00C310DF">
            <w:pPr>
              <w:jc w:val="right"/>
              <w:cnfStyle w:val="000000100000"/>
              <w:rPr>
                <w:rFonts w:ascii="Verdana" w:hAnsi="Verdana"/>
                <w:color w:val="000000"/>
                <w:sz w:val="22"/>
                <w:szCs w:val="22"/>
              </w:rPr>
            </w:pPr>
            <w:r w:rsidRPr="009D510B">
              <w:rPr>
                <w:rFonts w:ascii="Verdana" w:hAnsi="Verdana"/>
                <w:color w:val="000000"/>
                <w:sz w:val="22"/>
                <w:szCs w:val="22"/>
              </w:rPr>
              <w:t>$1.687.097.337</w:t>
            </w:r>
          </w:p>
        </w:tc>
        <w:tc>
          <w:tcPr>
            <w:tcW w:w="601" w:type="pct"/>
            <w:noWrap/>
            <w:vAlign w:val="center"/>
            <w:hideMark/>
          </w:tcPr>
          <w:p w:rsidR="00C310DF" w:rsidRPr="009D510B" w:rsidRDefault="00C310DF" w:rsidP="00C310DF">
            <w:pPr>
              <w:jc w:val="center"/>
              <w:cnfStyle w:val="000000100000"/>
              <w:rPr>
                <w:rFonts w:ascii="Verdana" w:hAnsi="Verdana"/>
                <w:color w:val="000000"/>
                <w:sz w:val="22"/>
                <w:szCs w:val="22"/>
              </w:rPr>
            </w:pPr>
            <w:r w:rsidRPr="009D510B">
              <w:rPr>
                <w:rFonts w:ascii="Verdana" w:hAnsi="Verdana"/>
                <w:color w:val="000000"/>
                <w:sz w:val="22"/>
                <w:szCs w:val="22"/>
              </w:rPr>
              <w:t>10</w:t>
            </w:r>
          </w:p>
        </w:tc>
      </w:tr>
      <w:tr w:rsidR="00C310DF" w:rsidRPr="009D510B" w:rsidTr="009D510B">
        <w:trPr>
          <w:trHeight w:val="269"/>
          <w:jc w:val="center"/>
        </w:trPr>
        <w:tc>
          <w:tcPr>
            <w:cnfStyle w:val="001000000000"/>
            <w:tcW w:w="1852" w:type="pct"/>
            <w:gridSpan w:val="2"/>
            <w:vMerge/>
            <w:vAlign w:val="center"/>
            <w:hideMark/>
          </w:tcPr>
          <w:p w:rsidR="00C310DF" w:rsidRPr="009D510B" w:rsidRDefault="00C310DF" w:rsidP="00C310DF">
            <w:pPr>
              <w:rPr>
                <w:rFonts w:ascii="Verdana" w:hAnsi="Verdana"/>
                <w:b w:val="0"/>
                <w:color w:val="000000"/>
                <w:sz w:val="22"/>
                <w:szCs w:val="22"/>
              </w:rPr>
            </w:pPr>
          </w:p>
        </w:tc>
        <w:tc>
          <w:tcPr>
            <w:tcW w:w="1521" w:type="pct"/>
            <w:vAlign w:val="center"/>
            <w:hideMark/>
          </w:tcPr>
          <w:p w:rsidR="00C310DF" w:rsidRPr="009D510B" w:rsidRDefault="00C310DF" w:rsidP="00C310DF">
            <w:pPr>
              <w:cnfStyle w:val="000000000000"/>
              <w:rPr>
                <w:rFonts w:ascii="Verdana" w:hAnsi="Verdana"/>
                <w:color w:val="000000"/>
                <w:sz w:val="22"/>
                <w:szCs w:val="22"/>
              </w:rPr>
            </w:pPr>
            <w:r w:rsidRPr="009D510B">
              <w:rPr>
                <w:rFonts w:ascii="Verdana" w:hAnsi="Verdana"/>
                <w:color w:val="000000"/>
                <w:sz w:val="22"/>
                <w:szCs w:val="22"/>
              </w:rPr>
              <w:t>Convenios interadministrativos</w:t>
            </w:r>
          </w:p>
        </w:tc>
        <w:tc>
          <w:tcPr>
            <w:tcW w:w="1025" w:type="pct"/>
            <w:noWrap/>
            <w:vAlign w:val="center"/>
            <w:hideMark/>
          </w:tcPr>
          <w:p w:rsidR="00C310DF" w:rsidRPr="009D510B" w:rsidRDefault="00C310DF" w:rsidP="00C310DF">
            <w:pPr>
              <w:jc w:val="right"/>
              <w:cnfStyle w:val="000000000000"/>
              <w:rPr>
                <w:rFonts w:ascii="Verdana" w:hAnsi="Verdana"/>
                <w:color w:val="000000"/>
                <w:sz w:val="22"/>
                <w:szCs w:val="22"/>
              </w:rPr>
            </w:pPr>
            <w:r w:rsidRPr="009D510B">
              <w:rPr>
                <w:rFonts w:ascii="Verdana" w:hAnsi="Verdana"/>
                <w:color w:val="000000"/>
                <w:sz w:val="22"/>
                <w:szCs w:val="22"/>
              </w:rPr>
              <w:t>$2.056.024.400</w:t>
            </w:r>
          </w:p>
        </w:tc>
        <w:tc>
          <w:tcPr>
            <w:tcW w:w="601" w:type="pct"/>
            <w:noWrap/>
            <w:vAlign w:val="center"/>
            <w:hideMark/>
          </w:tcPr>
          <w:p w:rsidR="00C310DF" w:rsidRPr="009D510B" w:rsidRDefault="00C310DF" w:rsidP="00C310DF">
            <w:pPr>
              <w:jc w:val="center"/>
              <w:cnfStyle w:val="000000000000"/>
              <w:rPr>
                <w:rFonts w:ascii="Verdana" w:hAnsi="Verdana"/>
                <w:color w:val="000000"/>
                <w:sz w:val="22"/>
                <w:szCs w:val="22"/>
              </w:rPr>
            </w:pPr>
            <w:r w:rsidRPr="009D510B">
              <w:rPr>
                <w:rFonts w:ascii="Verdana" w:hAnsi="Verdana"/>
                <w:color w:val="000000"/>
                <w:sz w:val="22"/>
                <w:szCs w:val="22"/>
              </w:rPr>
              <w:t>5</w:t>
            </w:r>
          </w:p>
        </w:tc>
      </w:tr>
      <w:tr w:rsidR="00C310DF" w:rsidRPr="009D510B" w:rsidTr="009D510B">
        <w:trPr>
          <w:cnfStyle w:val="000000100000"/>
          <w:trHeight w:val="272"/>
          <w:jc w:val="center"/>
        </w:trPr>
        <w:tc>
          <w:tcPr>
            <w:cnfStyle w:val="001000000000"/>
            <w:tcW w:w="1852" w:type="pct"/>
            <w:gridSpan w:val="2"/>
            <w:vMerge/>
            <w:vAlign w:val="center"/>
            <w:hideMark/>
          </w:tcPr>
          <w:p w:rsidR="00C310DF" w:rsidRPr="009D510B" w:rsidRDefault="00C310DF" w:rsidP="00C310DF">
            <w:pPr>
              <w:rPr>
                <w:rFonts w:ascii="Verdana" w:hAnsi="Verdana"/>
                <w:b w:val="0"/>
                <w:color w:val="000000"/>
                <w:sz w:val="22"/>
                <w:szCs w:val="22"/>
              </w:rPr>
            </w:pPr>
          </w:p>
        </w:tc>
        <w:tc>
          <w:tcPr>
            <w:tcW w:w="1521" w:type="pct"/>
            <w:vAlign w:val="center"/>
            <w:hideMark/>
          </w:tcPr>
          <w:p w:rsidR="00C310DF" w:rsidRPr="009D510B" w:rsidRDefault="00C310DF" w:rsidP="00C310DF">
            <w:pPr>
              <w:cnfStyle w:val="000000100000"/>
              <w:rPr>
                <w:rFonts w:ascii="Verdana" w:hAnsi="Verdana"/>
                <w:color w:val="000000"/>
                <w:sz w:val="22"/>
                <w:szCs w:val="22"/>
              </w:rPr>
            </w:pPr>
            <w:r w:rsidRPr="009D510B">
              <w:rPr>
                <w:rFonts w:ascii="Verdana" w:hAnsi="Verdana"/>
                <w:color w:val="000000"/>
                <w:sz w:val="22"/>
                <w:szCs w:val="22"/>
              </w:rPr>
              <w:t>Convenios de cooperación</w:t>
            </w:r>
          </w:p>
        </w:tc>
        <w:tc>
          <w:tcPr>
            <w:tcW w:w="1025" w:type="pct"/>
            <w:noWrap/>
            <w:vAlign w:val="center"/>
            <w:hideMark/>
          </w:tcPr>
          <w:p w:rsidR="00C310DF" w:rsidRPr="009D510B" w:rsidRDefault="00C310DF" w:rsidP="00C310DF">
            <w:pPr>
              <w:jc w:val="right"/>
              <w:cnfStyle w:val="000000100000"/>
              <w:rPr>
                <w:rFonts w:ascii="Verdana" w:hAnsi="Verdana"/>
                <w:color w:val="000000"/>
                <w:sz w:val="22"/>
                <w:szCs w:val="22"/>
              </w:rPr>
            </w:pPr>
            <w:r w:rsidRPr="009D510B">
              <w:rPr>
                <w:rFonts w:ascii="Verdana" w:hAnsi="Verdana"/>
                <w:color w:val="000000"/>
                <w:sz w:val="22"/>
                <w:szCs w:val="22"/>
              </w:rPr>
              <w:t>$210.852.199</w:t>
            </w:r>
          </w:p>
        </w:tc>
        <w:tc>
          <w:tcPr>
            <w:tcW w:w="601" w:type="pct"/>
            <w:noWrap/>
            <w:vAlign w:val="center"/>
            <w:hideMark/>
          </w:tcPr>
          <w:p w:rsidR="00C310DF" w:rsidRPr="009D510B" w:rsidRDefault="00C310DF" w:rsidP="00C310DF">
            <w:pPr>
              <w:jc w:val="center"/>
              <w:cnfStyle w:val="000000100000"/>
              <w:rPr>
                <w:rFonts w:ascii="Verdana" w:hAnsi="Verdana"/>
                <w:color w:val="000000"/>
                <w:sz w:val="22"/>
                <w:szCs w:val="22"/>
              </w:rPr>
            </w:pPr>
            <w:r w:rsidRPr="009D510B">
              <w:rPr>
                <w:rFonts w:ascii="Verdana" w:hAnsi="Verdana"/>
                <w:color w:val="000000"/>
                <w:sz w:val="22"/>
                <w:szCs w:val="22"/>
              </w:rPr>
              <w:t>3</w:t>
            </w:r>
          </w:p>
        </w:tc>
      </w:tr>
      <w:tr w:rsidR="00C310DF" w:rsidRPr="009D510B" w:rsidTr="009D510B">
        <w:trPr>
          <w:trHeight w:val="135"/>
          <w:jc w:val="center"/>
        </w:trPr>
        <w:tc>
          <w:tcPr>
            <w:cnfStyle w:val="001000000000"/>
            <w:tcW w:w="1852" w:type="pct"/>
            <w:gridSpan w:val="2"/>
            <w:vAlign w:val="center"/>
            <w:hideMark/>
          </w:tcPr>
          <w:p w:rsidR="00C310DF" w:rsidRPr="009D510B" w:rsidRDefault="00C310DF" w:rsidP="00C310DF">
            <w:pPr>
              <w:jc w:val="center"/>
              <w:rPr>
                <w:rFonts w:ascii="Verdana" w:hAnsi="Verdana"/>
                <w:b w:val="0"/>
                <w:color w:val="000000"/>
                <w:sz w:val="22"/>
                <w:szCs w:val="22"/>
              </w:rPr>
            </w:pPr>
            <w:r w:rsidRPr="009D510B">
              <w:rPr>
                <w:rFonts w:ascii="Verdana" w:hAnsi="Verdana"/>
                <w:b w:val="0"/>
                <w:color w:val="000000"/>
                <w:sz w:val="22"/>
                <w:szCs w:val="22"/>
              </w:rPr>
              <w:t>Licitación pública</w:t>
            </w:r>
          </w:p>
        </w:tc>
        <w:tc>
          <w:tcPr>
            <w:tcW w:w="1521" w:type="pct"/>
            <w:vAlign w:val="center"/>
            <w:hideMark/>
          </w:tcPr>
          <w:p w:rsidR="00C310DF" w:rsidRPr="009D510B" w:rsidRDefault="00C310DF" w:rsidP="00C310DF">
            <w:pPr>
              <w:cnfStyle w:val="000000000000"/>
              <w:rPr>
                <w:rFonts w:ascii="Verdana" w:hAnsi="Verdana"/>
                <w:color w:val="000000"/>
                <w:sz w:val="22"/>
                <w:szCs w:val="22"/>
              </w:rPr>
            </w:pPr>
            <w:r w:rsidRPr="009D510B">
              <w:rPr>
                <w:rFonts w:ascii="Verdana" w:hAnsi="Verdana"/>
                <w:color w:val="000000"/>
                <w:sz w:val="22"/>
                <w:szCs w:val="22"/>
              </w:rPr>
              <w:t>Prestación de servicios</w:t>
            </w:r>
          </w:p>
        </w:tc>
        <w:tc>
          <w:tcPr>
            <w:tcW w:w="1025" w:type="pct"/>
            <w:noWrap/>
            <w:vAlign w:val="center"/>
            <w:hideMark/>
          </w:tcPr>
          <w:p w:rsidR="00C310DF" w:rsidRPr="009D510B" w:rsidRDefault="00C310DF" w:rsidP="00C310DF">
            <w:pPr>
              <w:jc w:val="right"/>
              <w:cnfStyle w:val="000000000000"/>
              <w:rPr>
                <w:rFonts w:ascii="Verdana" w:hAnsi="Verdana"/>
                <w:color w:val="000000"/>
                <w:sz w:val="22"/>
                <w:szCs w:val="22"/>
              </w:rPr>
            </w:pPr>
            <w:r w:rsidRPr="009D510B">
              <w:rPr>
                <w:rFonts w:ascii="Verdana" w:hAnsi="Verdana"/>
                <w:color w:val="000000"/>
                <w:sz w:val="22"/>
                <w:szCs w:val="22"/>
              </w:rPr>
              <w:t>$2.126.399.369</w:t>
            </w:r>
          </w:p>
        </w:tc>
        <w:tc>
          <w:tcPr>
            <w:tcW w:w="601" w:type="pct"/>
            <w:noWrap/>
            <w:vAlign w:val="center"/>
            <w:hideMark/>
          </w:tcPr>
          <w:p w:rsidR="00C310DF" w:rsidRPr="009D510B" w:rsidRDefault="00C310DF" w:rsidP="00C310DF">
            <w:pPr>
              <w:jc w:val="center"/>
              <w:cnfStyle w:val="000000000000"/>
              <w:rPr>
                <w:rFonts w:ascii="Verdana" w:hAnsi="Verdana"/>
                <w:color w:val="000000"/>
                <w:sz w:val="22"/>
                <w:szCs w:val="22"/>
              </w:rPr>
            </w:pPr>
            <w:r w:rsidRPr="009D510B">
              <w:rPr>
                <w:rFonts w:ascii="Verdana" w:hAnsi="Verdana"/>
                <w:color w:val="000000"/>
                <w:sz w:val="22"/>
                <w:szCs w:val="22"/>
              </w:rPr>
              <w:t>2</w:t>
            </w:r>
          </w:p>
        </w:tc>
      </w:tr>
      <w:tr w:rsidR="00C310DF" w:rsidRPr="009D510B" w:rsidTr="009D510B">
        <w:trPr>
          <w:cnfStyle w:val="000000100000"/>
          <w:trHeight w:val="130"/>
          <w:jc w:val="center"/>
        </w:trPr>
        <w:tc>
          <w:tcPr>
            <w:cnfStyle w:val="001000000000"/>
            <w:tcW w:w="1852" w:type="pct"/>
            <w:gridSpan w:val="2"/>
            <w:vMerge w:val="restart"/>
            <w:vAlign w:val="center"/>
            <w:hideMark/>
          </w:tcPr>
          <w:p w:rsidR="00C310DF" w:rsidRPr="009D510B" w:rsidRDefault="00C310DF" w:rsidP="00C310DF">
            <w:pPr>
              <w:jc w:val="center"/>
              <w:rPr>
                <w:rFonts w:ascii="Verdana" w:hAnsi="Verdana"/>
                <w:b w:val="0"/>
                <w:color w:val="000000"/>
                <w:sz w:val="22"/>
                <w:szCs w:val="22"/>
              </w:rPr>
            </w:pPr>
            <w:r w:rsidRPr="009D510B">
              <w:rPr>
                <w:rFonts w:ascii="Verdana" w:hAnsi="Verdana"/>
                <w:b w:val="0"/>
                <w:color w:val="000000"/>
                <w:sz w:val="22"/>
                <w:szCs w:val="22"/>
              </w:rPr>
              <w:t>Mínima cuantía</w:t>
            </w:r>
          </w:p>
        </w:tc>
        <w:tc>
          <w:tcPr>
            <w:tcW w:w="1521" w:type="pct"/>
            <w:vAlign w:val="center"/>
            <w:hideMark/>
          </w:tcPr>
          <w:p w:rsidR="00C310DF" w:rsidRPr="009D510B" w:rsidRDefault="00C310DF" w:rsidP="00C310DF">
            <w:pPr>
              <w:cnfStyle w:val="000000100000"/>
              <w:rPr>
                <w:rFonts w:ascii="Verdana" w:hAnsi="Verdana"/>
                <w:color w:val="000000"/>
                <w:sz w:val="22"/>
                <w:szCs w:val="22"/>
              </w:rPr>
            </w:pPr>
            <w:r w:rsidRPr="009D510B">
              <w:rPr>
                <w:rFonts w:ascii="Verdana" w:hAnsi="Verdana"/>
                <w:color w:val="000000"/>
                <w:sz w:val="22"/>
                <w:szCs w:val="22"/>
              </w:rPr>
              <w:t>Compraventa</w:t>
            </w:r>
          </w:p>
        </w:tc>
        <w:tc>
          <w:tcPr>
            <w:tcW w:w="1025" w:type="pct"/>
            <w:noWrap/>
            <w:vAlign w:val="center"/>
            <w:hideMark/>
          </w:tcPr>
          <w:p w:rsidR="00C310DF" w:rsidRPr="009D510B" w:rsidRDefault="00C310DF" w:rsidP="00C310DF">
            <w:pPr>
              <w:jc w:val="right"/>
              <w:cnfStyle w:val="000000100000"/>
              <w:rPr>
                <w:rFonts w:ascii="Verdana" w:hAnsi="Verdana"/>
                <w:color w:val="000000"/>
                <w:sz w:val="22"/>
                <w:szCs w:val="22"/>
              </w:rPr>
            </w:pPr>
            <w:r w:rsidRPr="009D510B">
              <w:rPr>
                <w:rFonts w:ascii="Verdana" w:hAnsi="Verdana"/>
                <w:color w:val="000000"/>
                <w:sz w:val="22"/>
                <w:szCs w:val="22"/>
              </w:rPr>
              <w:t>$22.022.237</w:t>
            </w:r>
          </w:p>
        </w:tc>
        <w:tc>
          <w:tcPr>
            <w:tcW w:w="601" w:type="pct"/>
            <w:noWrap/>
            <w:vAlign w:val="center"/>
            <w:hideMark/>
          </w:tcPr>
          <w:p w:rsidR="00C310DF" w:rsidRPr="009D510B" w:rsidRDefault="00C310DF" w:rsidP="00C310DF">
            <w:pPr>
              <w:jc w:val="center"/>
              <w:cnfStyle w:val="000000100000"/>
              <w:rPr>
                <w:rFonts w:ascii="Verdana" w:hAnsi="Verdana"/>
                <w:color w:val="000000"/>
                <w:sz w:val="22"/>
                <w:szCs w:val="22"/>
              </w:rPr>
            </w:pPr>
            <w:r w:rsidRPr="009D510B">
              <w:rPr>
                <w:rFonts w:ascii="Verdana" w:hAnsi="Verdana"/>
                <w:color w:val="000000"/>
                <w:sz w:val="22"/>
                <w:szCs w:val="22"/>
              </w:rPr>
              <w:t>4</w:t>
            </w:r>
          </w:p>
        </w:tc>
      </w:tr>
      <w:tr w:rsidR="00C310DF" w:rsidRPr="009D510B" w:rsidTr="009D510B">
        <w:trPr>
          <w:trHeight w:val="130"/>
          <w:jc w:val="center"/>
        </w:trPr>
        <w:tc>
          <w:tcPr>
            <w:cnfStyle w:val="001000000000"/>
            <w:tcW w:w="1852" w:type="pct"/>
            <w:gridSpan w:val="2"/>
            <w:vMerge/>
            <w:vAlign w:val="center"/>
            <w:hideMark/>
          </w:tcPr>
          <w:p w:rsidR="00C310DF" w:rsidRPr="009D510B" w:rsidRDefault="00C310DF" w:rsidP="00C310DF">
            <w:pPr>
              <w:rPr>
                <w:rFonts w:ascii="Verdana" w:hAnsi="Verdana"/>
                <w:b w:val="0"/>
                <w:color w:val="000000"/>
                <w:sz w:val="22"/>
                <w:szCs w:val="22"/>
              </w:rPr>
            </w:pPr>
          </w:p>
        </w:tc>
        <w:tc>
          <w:tcPr>
            <w:tcW w:w="1521" w:type="pct"/>
            <w:vAlign w:val="center"/>
            <w:hideMark/>
          </w:tcPr>
          <w:p w:rsidR="00C310DF" w:rsidRPr="009D510B" w:rsidRDefault="00C310DF" w:rsidP="00C310DF">
            <w:pPr>
              <w:cnfStyle w:val="000000000000"/>
              <w:rPr>
                <w:rFonts w:ascii="Verdana" w:hAnsi="Verdana"/>
                <w:color w:val="000000"/>
                <w:sz w:val="22"/>
                <w:szCs w:val="22"/>
              </w:rPr>
            </w:pPr>
            <w:r w:rsidRPr="009D510B">
              <w:rPr>
                <w:rFonts w:ascii="Verdana" w:hAnsi="Verdana"/>
                <w:color w:val="000000"/>
                <w:sz w:val="22"/>
                <w:szCs w:val="22"/>
              </w:rPr>
              <w:t>Prestación de servicios</w:t>
            </w:r>
          </w:p>
        </w:tc>
        <w:tc>
          <w:tcPr>
            <w:tcW w:w="1025" w:type="pct"/>
            <w:noWrap/>
            <w:vAlign w:val="center"/>
            <w:hideMark/>
          </w:tcPr>
          <w:p w:rsidR="00C310DF" w:rsidRPr="009D510B" w:rsidRDefault="00C310DF" w:rsidP="00C310DF">
            <w:pPr>
              <w:jc w:val="right"/>
              <w:cnfStyle w:val="000000000000"/>
              <w:rPr>
                <w:rFonts w:ascii="Verdana" w:hAnsi="Verdana"/>
                <w:color w:val="000000"/>
                <w:sz w:val="22"/>
                <w:szCs w:val="22"/>
              </w:rPr>
            </w:pPr>
            <w:r w:rsidRPr="009D510B">
              <w:rPr>
                <w:rFonts w:ascii="Verdana" w:hAnsi="Verdana"/>
                <w:color w:val="000000"/>
                <w:sz w:val="22"/>
                <w:szCs w:val="22"/>
              </w:rPr>
              <w:t>$20.657.760</w:t>
            </w:r>
          </w:p>
        </w:tc>
        <w:tc>
          <w:tcPr>
            <w:tcW w:w="601" w:type="pct"/>
            <w:noWrap/>
            <w:vAlign w:val="center"/>
            <w:hideMark/>
          </w:tcPr>
          <w:p w:rsidR="00C310DF" w:rsidRPr="009D510B" w:rsidRDefault="00C310DF" w:rsidP="00C310DF">
            <w:pPr>
              <w:jc w:val="center"/>
              <w:cnfStyle w:val="000000000000"/>
              <w:rPr>
                <w:rFonts w:ascii="Verdana" w:hAnsi="Verdana"/>
                <w:color w:val="000000"/>
                <w:sz w:val="22"/>
                <w:szCs w:val="22"/>
              </w:rPr>
            </w:pPr>
            <w:r w:rsidRPr="009D510B">
              <w:rPr>
                <w:rFonts w:ascii="Verdana" w:hAnsi="Verdana"/>
                <w:color w:val="000000"/>
                <w:sz w:val="22"/>
                <w:szCs w:val="22"/>
              </w:rPr>
              <w:t>3</w:t>
            </w:r>
          </w:p>
        </w:tc>
      </w:tr>
      <w:tr w:rsidR="00C310DF" w:rsidRPr="009D510B" w:rsidTr="009D510B">
        <w:trPr>
          <w:cnfStyle w:val="000000100000"/>
          <w:trHeight w:val="176"/>
          <w:jc w:val="center"/>
        </w:trPr>
        <w:tc>
          <w:tcPr>
            <w:cnfStyle w:val="001000000000"/>
            <w:tcW w:w="1852" w:type="pct"/>
            <w:gridSpan w:val="2"/>
            <w:vMerge/>
            <w:vAlign w:val="center"/>
            <w:hideMark/>
          </w:tcPr>
          <w:p w:rsidR="00C310DF" w:rsidRPr="009D510B" w:rsidRDefault="00C310DF" w:rsidP="00C310DF">
            <w:pPr>
              <w:rPr>
                <w:rFonts w:ascii="Verdana" w:hAnsi="Verdana"/>
                <w:b w:val="0"/>
                <w:color w:val="000000"/>
                <w:sz w:val="22"/>
                <w:szCs w:val="22"/>
              </w:rPr>
            </w:pPr>
          </w:p>
        </w:tc>
        <w:tc>
          <w:tcPr>
            <w:tcW w:w="1521" w:type="pct"/>
            <w:vAlign w:val="center"/>
            <w:hideMark/>
          </w:tcPr>
          <w:p w:rsidR="00C310DF" w:rsidRPr="009D510B" w:rsidRDefault="00C310DF" w:rsidP="00C310DF">
            <w:pPr>
              <w:cnfStyle w:val="000000100000"/>
              <w:rPr>
                <w:rFonts w:ascii="Verdana" w:hAnsi="Verdana"/>
                <w:color w:val="000000"/>
                <w:sz w:val="22"/>
                <w:szCs w:val="22"/>
              </w:rPr>
            </w:pPr>
            <w:r w:rsidRPr="009D510B">
              <w:rPr>
                <w:rFonts w:ascii="Verdana" w:hAnsi="Verdana"/>
                <w:color w:val="000000"/>
                <w:sz w:val="22"/>
                <w:szCs w:val="22"/>
              </w:rPr>
              <w:t>Suministro</w:t>
            </w:r>
          </w:p>
        </w:tc>
        <w:tc>
          <w:tcPr>
            <w:tcW w:w="1025" w:type="pct"/>
            <w:noWrap/>
            <w:vAlign w:val="center"/>
            <w:hideMark/>
          </w:tcPr>
          <w:p w:rsidR="00C310DF" w:rsidRPr="009D510B" w:rsidRDefault="00C310DF" w:rsidP="00C310DF">
            <w:pPr>
              <w:jc w:val="right"/>
              <w:cnfStyle w:val="000000100000"/>
              <w:rPr>
                <w:rFonts w:ascii="Verdana" w:hAnsi="Verdana"/>
                <w:color w:val="000000"/>
                <w:sz w:val="22"/>
                <w:szCs w:val="22"/>
              </w:rPr>
            </w:pPr>
            <w:r w:rsidRPr="009D510B">
              <w:rPr>
                <w:rFonts w:ascii="Verdana" w:hAnsi="Verdana"/>
                <w:color w:val="000000"/>
                <w:sz w:val="22"/>
                <w:szCs w:val="22"/>
              </w:rPr>
              <w:t>$12.936.116</w:t>
            </w:r>
          </w:p>
        </w:tc>
        <w:tc>
          <w:tcPr>
            <w:tcW w:w="601" w:type="pct"/>
            <w:noWrap/>
            <w:vAlign w:val="center"/>
            <w:hideMark/>
          </w:tcPr>
          <w:p w:rsidR="00C310DF" w:rsidRPr="009D510B" w:rsidRDefault="00C310DF" w:rsidP="00C310DF">
            <w:pPr>
              <w:jc w:val="center"/>
              <w:cnfStyle w:val="000000100000"/>
              <w:rPr>
                <w:rFonts w:ascii="Verdana" w:hAnsi="Verdana"/>
                <w:color w:val="000000"/>
                <w:sz w:val="22"/>
                <w:szCs w:val="22"/>
              </w:rPr>
            </w:pPr>
            <w:r w:rsidRPr="009D510B">
              <w:rPr>
                <w:rFonts w:ascii="Verdana" w:hAnsi="Verdana"/>
                <w:color w:val="000000"/>
                <w:sz w:val="22"/>
                <w:szCs w:val="22"/>
              </w:rPr>
              <w:t>1</w:t>
            </w:r>
          </w:p>
        </w:tc>
      </w:tr>
      <w:tr w:rsidR="00C310DF" w:rsidRPr="009D510B" w:rsidTr="009D510B">
        <w:trPr>
          <w:trHeight w:val="222"/>
          <w:jc w:val="center"/>
        </w:trPr>
        <w:tc>
          <w:tcPr>
            <w:cnfStyle w:val="001000000000"/>
            <w:tcW w:w="1852" w:type="pct"/>
            <w:gridSpan w:val="2"/>
            <w:vMerge/>
            <w:vAlign w:val="center"/>
            <w:hideMark/>
          </w:tcPr>
          <w:p w:rsidR="00C310DF" w:rsidRPr="009D510B" w:rsidRDefault="00C310DF" w:rsidP="00C310DF">
            <w:pPr>
              <w:rPr>
                <w:rFonts w:ascii="Verdana" w:hAnsi="Verdana"/>
                <w:b w:val="0"/>
                <w:color w:val="000000"/>
                <w:sz w:val="22"/>
                <w:szCs w:val="22"/>
              </w:rPr>
            </w:pPr>
          </w:p>
        </w:tc>
        <w:tc>
          <w:tcPr>
            <w:tcW w:w="1521" w:type="pct"/>
            <w:vAlign w:val="center"/>
            <w:hideMark/>
          </w:tcPr>
          <w:p w:rsidR="00C310DF" w:rsidRPr="009D510B" w:rsidRDefault="00C310DF" w:rsidP="00C310DF">
            <w:pPr>
              <w:cnfStyle w:val="000000000000"/>
              <w:rPr>
                <w:rFonts w:ascii="Verdana" w:hAnsi="Verdana"/>
                <w:color w:val="000000"/>
                <w:sz w:val="22"/>
                <w:szCs w:val="22"/>
              </w:rPr>
            </w:pPr>
            <w:r w:rsidRPr="009D510B">
              <w:rPr>
                <w:rFonts w:ascii="Verdana" w:hAnsi="Verdana"/>
                <w:color w:val="000000"/>
                <w:sz w:val="22"/>
                <w:szCs w:val="22"/>
              </w:rPr>
              <w:t>Tienda virtual</w:t>
            </w:r>
          </w:p>
        </w:tc>
        <w:tc>
          <w:tcPr>
            <w:tcW w:w="1025" w:type="pct"/>
            <w:noWrap/>
            <w:vAlign w:val="center"/>
            <w:hideMark/>
          </w:tcPr>
          <w:p w:rsidR="00C310DF" w:rsidRPr="009D510B" w:rsidRDefault="00C310DF" w:rsidP="00C310DF">
            <w:pPr>
              <w:jc w:val="right"/>
              <w:cnfStyle w:val="000000000000"/>
              <w:rPr>
                <w:rFonts w:ascii="Verdana" w:hAnsi="Verdana"/>
                <w:color w:val="000000"/>
                <w:sz w:val="22"/>
                <w:szCs w:val="22"/>
              </w:rPr>
            </w:pPr>
            <w:r w:rsidRPr="009D510B">
              <w:rPr>
                <w:rFonts w:ascii="Verdana" w:hAnsi="Verdana"/>
                <w:color w:val="000000"/>
                <w:sz w:val="22"/>
                <w:szCs w:val="22"/>
              </w:rPr>
              <w:t>$818.932</w:t>
            </w:r>
          </w:p>
        </w:tc>
        <w:tc>
          <w:tcPr>
            <w:tcW w:w="601" w:type="pct"/>
            <w:noWrap/>
            <w:vAlign w:val="center"/>
            <w:hideMark/>
          </w:tcPr>
          <w:p w:rsidR="00C310DF" w:rsidRPr="009D510B" w:rsidRDefault="00C310DF" w:rsidP="00C310DF">
            <w:pPr>
              <w:jc w:val="center"/>
              <w:cnfStyle w:val="000000000000"/>
              <w:rPr>
                <w:rFonts w:ascii="Verdana" w:hAnsi="Verdana"/>
                <w:color w:val="000000"/>
                <w:sz w:val="22"/>
                <w:szCs w:val="22"/>
              </w:rPr>
            </w:pPr>
            <w:r w:rsidRPr="009D510B">
              <w:rPr>
                <w:rFonts w:ascii="Verdana" w:hAnsi="Verdana"/>
                <w:color w:val="000000"/>
                <w:sz w:val="22"/>
                <w:szCs w:val="22"/>
              </w:rPr>
              <w:t>1</w:t>
            </w:r>
          </w:p>
        </w:tc>
      </w:tr>
      <w:tr w:rsidR="00C310DF" w:rsidRPr="009D510B" w:rsidTr="009D510B">
        <w:trPr>
          <w:cnfStyle w:val="000000100000"/>
          <w:trHeight w:val="222"/>
          <w:jc w:val="center"/>
        </w:trPr>
        <w:tc>
          <w:tcPr>
            <w:cnfStyle w:val="001000000000"/>
            <w:tcW w:w="1159" w:type="pct"/>
            <w:vMerge w:val="restart"/>
            <w:noWrap/>
            <w:vAlign w:val="center"/>
            <w:hideMark/>
          </w:tcPr>
          <w:p w:rsidR="00C310DF" w:rsidRPr="009D510B" w:rsidRDefault="00C310DF" w:rsidP="00C310DF">
            <w:pPr>
              <w:jc w:val="center"/>
              <w:rPr>
                <w:rFonts w:ascii="Verdana" w:hAnsi="Verdana"/>
                <w:b w:val="0"/>
                <w:color w:val="000000"/>
                <w:sz w:val="22"/>
                <w:szCs w:val="22"/>
              </w:rPr>
            </w:pPr>
            <w:r w:rsidRPr="009D510B">
              <w:rPr>
                <w:rFonts w:ascii="Verdana" w:hAnsi="Verdana"/>
                <w:b w:val="0"/>
                <w:color w:val="000000"/>
                <w:sz w:val="22"/>
                <w:szCs w:val="22"/>
              </w:rPr>
              <w:t>Selección abreviada</w:t>
            </w:r>
          </w:p>
        </w:tc>
        <w:tc>
          <w:tcPr>
            <w:tcW w:w="693" w:type="pct"/>
            <w:vMerge w:val="restart"/>
            <w:noWrap/>
            <w:vAlign w:val="center"/>
            <w:hideMark/>
          </w:tcPr>
          <w:p w:rsidR="00C310DF" w:rsidRPr="009D510B" w:rsidRDefault="00C310DF" w:rsidP="00C310DF">
            <w:pPr>
              <w:cnfStyle w:val="000000100000"/>
              <w:rPr>
                <w:rFonts w:ascii="Verdana" w:hAnsi="Verdana"/>
                <w:color w:val="000000"/>
                <w:sz w:val="22"/>
                <w:szCs w:val="22"/>
              </w:rPr>
            </w:pPr>
            <w:r w:rsidRPr="009D510B">
              <w:rPr>
                <w:rFonts w:ascii="Verdana" w:hAnsi="Verdana"/>
                <w:color w:val="000000"/>
                <w:sz w:val="22"/>
                <w:szCs w:val="22"/>
              </w:rPr>
              <w:t>De menor cuantía</w:t>
            </w:r>
          </w:p>
        </w:tc>
        <w:tc>
          <w:tcPr>
            <w:tcW w:w="1521" w:type="pct"/>
            <w:vAlign w:val="center"/>
            <w:hideMark/>
          </w:tcPr>
          <w:p w:rsidR="00C310DF" w:rsidRPr="009D510B" w:rsidRDefault="00C310DF" w:rsidP="00C310DF">
            <w:pPr>
              <w:cnfStyle w:val="000000100000"/>
              <w:rPr>
                <w:rFonts w:ascii="Verdana" w:hAnsi="Verdana"/>
                <w:color w:val="000000"/>
                <w:sz w:val="22"/>
                <w:szCs w:val="22"/>
              </w:rPr>
            </w:pPr>
            <w:r w:rsidRPr="009D510B">
              <w:rPr>
                <w:rFonts w:ascii="Verdana" w:hAnsi="Verdana"/>
                <w:color w:val="000000"/>
                <w:sz w:val="22"/>
                <w:szCs w:val="22"/>
              </w:rPr>
              <w:t>De seguros</w:t>
            </w:r>
          </w:p>
        </w:tc>
        <w:tc>
          <w:tcPr>
            <w:tcW w:w="1025" w:type="pct"/>
            <w:noWrap/>
            <w:vAlign w:val="center"/>
            <w:hideMark/>
          </w:tcPr>
          <w:p w:rsidR="00C310DF" w:rsidRPr="009D510B" w:rsidRDefault="00C310DF" w:rsidP="00C310DF">
            <w:pPr>
              <w:jc w:val="right"/>
              <w:cnfStyle w:val="000000100000"/>
              <w:rPr>
                <w:rFonts w:ascii="Verdana" w:hAnsi="Verdana"/>
                <w:color w:val="000000"/>
                <w:sz w:val="22"/>
                <w:szCs w:val="22"/>
              </w:rPr>
            </w:pPr>
            <w:r w:rsidRPr="009D510B">
              <w:rPr>
                <w:rFonts w:ascii="Verdana" w:hAnsi="Verdana"/>
                <w:color w:val="000000"/>
                <w:sz w:val="22"/>
                <w:szCs w:val="22"/>
              </w:rPr>
              <w:t>$82.794.723</w:t>
            </w:r>
          </w:p>
        </w:tc>
        <w:tc>
          <w:tcPr>
            <w:tcW w:w="601" w:type="pct"/>
            <w:noWrap/>
            <w:vAlign w:val="center"/>
            <w:hideMark/>
          </w:tcPr>
          <w:p w:rsidR="00C310DF" w:rsidRPr="009D510B" w:rsidRDefault="00C310DF" w:rsidP="00C310DF">
            <w:pPr>
              <w:jc w:val="center"/>
              <w:cnfStyle w:val="000000100000"/>
              <w:rPr>
                <w:rFonts w:ascii="Verdana" w:hAnsi="Verdana"/>
                <w:color w:val="000000"/>
                <w:sz w:val="22"/>
                <w:szCs w:val="22"/>
              </w:rPr>
            </w:pPr>
            <w:r w:rsidRPr="009D510B">
              <w:rPr>
                <w:rFonts w:ascii="Verdana" w:hAnsi="Verdana"/>
                <w:color w:val="000000"/>
                <w:sz w:val="22"/>
                <w:szCs w:val="22"/>
              </w:rPr>
              <w:t>1</w:t>
            </w:r>
          </w:p>
        </w:tc>
      </w:tr>
      <w:tr w:rsidR="00C310DF" w:rsidRPr="009D510B" w:rsidTr="009D510B">
        <w:trPr>
          <w:trHeight w:val="126"/>
          <w:jc w:val="center"/>
        </w:trPr>
        <w:tc>
          <w:tcPr>
            <w:cnfStyle w:val="001000000000"/>
            <w:tcW w:w="1159" w:type="pct"/>
            <w:vMerge/>
            <w:vAlign w:val="center"/>
            <w:hideMark/>
          </w:tcPr>
          <w:p w:rsidR="00C310DF" w:rsidRPr="009D510B" w:rsidRDefault="00C310DF" w:rsidP="00C310DF">
            <w:pPr>
              <w:rPr>
                <w:rFonts w:ascii="Verdana" w:hAnsi="Verdana"/>
                <w:b w:val="0"/>
                <w:color w:val="000000"/>
                <w:sz w:val="22"/>
                <w:szCs w:val="22"/>
              </w:rPr>
            </w:pPr>
          </w:p>
        </w:tc>
        <w:tc>
          <w:tcPr>
            <w:tcW w:w="693" w:type="pct"/>
            <w:vMerge/>
            <w:vAlign w:val="center"/>
            <w:hideMark/>
          </w:tcPr>
          <w:p w:rsidR="00C310DF" w:rsidRPr="009D510B" w:rsidRDefault="00C310DF" w:rsidP="00C310DF">
            <w:pPr>
              <w:cnfStyle w:val="000000000000"/>
              <w:rPr>
                <w:rFonts w:ascii="Verdana" w:hAnsi="Verdana"/>
                <w:color w:val="000000"/>
                <w:sz w:val="22"/>
                <w:szCs w:val="22"/>
              </w:rPr>
            </w:pPr>
          </w:p>
        </w:tc>
        <w:tc>
          <w:tcPr>
            <w:tcW w:w="1521" w:type="pct"/>
            <w:vAlign w:val="center"/>
            <w:hideMark/>
          </w:tcPr>
          <w:p w:rsidR="00C310DF" w:rsidRPr="009D510B" w:rsidRDefault="00C310DF" w:rsidP="00C310DF">
            <w:pPr>
              <w:cnfStyle w:val="000000000000"/>
              <w:rPr>
                <w:rFonts w:ascii="Verdana" w:hAnsi="Verdana"/>
                <w:color w:val="000000"/>
                <w:sz w:val="22"/>
                <w:szCs w:val="22"/>
              </w:rPr>
            </w:pPr>
            <w:r w:rsidRPr="009D510B">
              <w:rPr>
                <w:rFonts w:ascii="Verdana" w:hAnsi="Verdana"/>
                <w:color w:val="000000"/>
                <w:sz w:val="22"/>
                <w:szCs w:val="22"/>
              </w:rPr>
              <w:t xml:space="preserve">Prestación de </w:t>
            </w:r>
            <w:r w:rsidRPr="009D510B">
              <w:rPr>
                <w:rFonts w:ascii="Verdana" w:hAnsi="Verdana"/>
                <w:color w:val="000000"/>
                <w:sz w:val="22"/>
                <w:szCs w:val="22"/>
              </w:rPr>
              <w:lastRenderedPageBreak/>
              <w:t>servicios</w:t>
            </w:r>
          </w:p>
        </w:tc>
        <w:tc>
          <w:tcPr>
            <w:tcW w:w="1025" w:type="pct"/>
            <w:noWrap/>
            <w:vAlign w:val="center"/>
            <w:hideMark/>
          </w:tcPr>
          <w:p w:rsidR="00C310DF" w:rsidRPr="009D510B" w:rsidRDefault="00C310DF" w:rsidP="00C310DF">
            <w:pPr>
              <w:jc w:val="right"/>
              <w:cnfStyle w:val="000000000000"/>
              <w:rPr>
                <w:rFonts w:ascii="Verdana" w:hAnsi="Verdana"/>
                <w:color w:val="000000"/>
                <w:sz w:val="22"/>
                <w:szCs w:val="22"/>
              </w:rPr>
            </w:pPr>
            <w:r w:rsidRPr="009D510B">
              <w:rPr>
                <w:rFonts w:ascii="Verdana" w:hAnsi="Verdana"/>
                <w:color w:val="000000"/>
                <w:sz w:val="22"/>
                <w:szCs w:val="22"/>
              </w:rPr>
              <w:lastRenderedPageBreak/>
              <w:t>$300.268.000</w:t>
            </w:r>
          </w:p>
        </w:tc>
        <w:tc>
          <w:tcPr>
            <w:tcW w:w="601" w:type="pct"/>
            <w:noWrap/>
            <w:vAlign w:val="center"/>
            <w:hideMark/>
          </w:tcPr>
          <w:p w:rsidR="00C310DF" w:rsidRPr="009D510B" w:rsidRDefault="00C310DF" w:rsidP="00C310DF">
            <w:pPr>
              <w:jc w:val="center"/>
              <w:cnfStyle w:val="000000000000"/>
              <w:rPr>
                <w:rFonts w:ascii="Verdana" w:hAnsi="Verdana"/>
                <w:color w:val="000000"/>
                <w:sz w:val="22"/>
                <w:szCs w:val="22"/>
              </w:rPr>
            </w:pPr>
            <w:r w:rsidRPr="009D510B">
              <w:rPr>
                <w:rFonts w:ascii="Verdana" w:hAnsi="Verdana"/>
                <w:color w:val="000000"/>
                <w:sz w:val="22"/>
                <w:szCs w:val="22"/>
              </w:rPr>
              <w:t>4</w:t>
            </w:r>
          </w:p>
        </w:tc>
      </w:tr>
      <w:tr w:rsidR="00C310DF" w:rsidRPr="009D510B" w:rsidTr="009D510B">
        <w:trPr>
          <w:cnfStyle w:val="000000100000"/>
          <w:trHeight w:val="56"/>
          <w:jc w:val="center"/>
        </w:trPr>
        <w:tc>
          <w:tcPr>
            <w:cnfStyle w:val="001000000000"/>
            <w:tcW w:w="1159" w:type="pct"/>
            <w:vMerge/>
            <w:vAlign w:val="center"/>
            <w:hideMark/>
          </w:tcPr>
          <w:p w:rsidR="00C310DF" w:rsidRPr="009D510B" w:rsidRDefault="00C310DF" w:rsidP="00C310DF">
            <w:pPr>
              <w:rPr>
                <w:rFonts w:ascii="Verdana" w:hAnsi="Verdana"/>
                <w:b w:val="0"/>
                <w:color w:val="000000"/>
                <w:sz w:val="22"/>
                <w:szCs w:val="22"/>
              </w:rPr>
            </w:pPr>
          </w:p>
        </w:tc>
        <w:tc>
          <w:tcPr>
            <w:tcW w:w="693" w:type="pct"/>
            <w:vMerge w:val="restart"/>
            <w:noWrap/>
            <w:vAlign w:val="center"/>
            <w:hideMark/>
          </w:tcPr>
          <w:p w:rsidR="00C310DF" w:rsidRPr="009D510B" w:rsidRDefault="00C310DF" w:rsidP="00C310DF">
            <w:pPr>
              <w:cnfStyle w:val="000000100000"/>
              <w:rPr>
                <w:rFonts w:ascii="Verdana" w:hAnsi="Verdana"/>
                <w:color w:val="000000"/>
                <w:sz w:val="22"/>
                <w:szCs w:val="22"/>
              </w:rPr>
            </w:pPr>
            <w:r w:rsidRPr="009D510B">
              <w:rPr>
                <w:rFonts w:ascii="Verdana" w:hAnsi="Verdana"/>
                <w:color w:val="000000"/>
                <w:sz w:val="22"/>
                <w:szCs w:val="22"/>
              </w:rPr>
              <w:t>Subasta inversa</w:t>
            </w:r>
          </w:p>
        </w:tc>
        <w:tc>
          <w:tcPr>
            <w:tcW w:w="1521" w:type="pct"/>
            <w:vAlign w:val="center"/>
            <w:hideMark/>
          </w:tcPr>
          <w:p w:rsidR="00C310DF" w:rsidRPr="009D510B" w:rsidRDefault="00C310DF" w:rsidP="00C310DF">
            <w:pPr>
              <w:cnfStyle w:val="000000100000"/>
              <w:rPr>
                <w:rFonts w:ascii="Verdana" w:hAnsi="Verdana"/>
                <w:color w:val="000000"/>
                <w:sz w:val="22"/>
                <w:szCs w:val="22"/>
              </w:rPr>
            </w:pPr>
            <w:r w:rsidRPr="009D510B">
              <w:rPr>
                <w:rFonts w:ascii="Verdana" w:hAnsi="Verdana"/>
                <w:color w:val="000000"/>
                <w:sz w:val="22"/>
                <w:szCs w:val="22"/>
              </w:rPr>
              <w:t>Compraventa</w:t>
            </w:r>
          </w:p>
        </w:tc>
        <w:tc>
          <w:tcPr>
            <w:tcW w:w="1025" w:type="pct"/>
            <w:noWrap/>
            <w:vAlign w:val="center"/>
            <w:hideMark/>
          </w:tcPr>
          <w:p w:rsidR="00C310DF" w:rsidRPr="009D510B" w:rsidRDefault="00C310DF" w:rsidP="00C310DF">
            <w:pPr>
              <w:jc w:val="right"/>
              <w:cnfStyle w:val="000000100000"/>
              <w:rPr>
                <w:rFonts w:ascii="Verdana" w:hAnsi="Verdana"/>
                <w:color w:val="000000"/>
                <w:sz w:val="22"/>
                <w:szCs w:val="22"/>
              </w:rPr>
            </w:pPr>
            <w:r w:rsidRPr="009D510B">
              <w:rPr>
                <w:rFonts w:ascii="Verdana" w:hAnsi="Verdana"/>
                <w:color w:val="000000"/>
                <w:sz w:val="22"/>
                <w:szCs w:val="22"/>
              </w:rPr>
              <w:t>$419.691.943</w:t>
            </w:r>
          </w:p>
        </w:tc>
        <w:tc>
          <w:tcPr>
            <w:tcW w:w="601" w:type="pct"/>
            <w:noWrap/>
            <w:vAlign w:val="center"/>
            <w:hideMark/>
          </w:tcPr>
          <w:p w:rsidR="00C310DF" w:rsidRPr="009D510B" w:rsidRDefault="00C310DF" w:rsidP="00C310DF">
            <w:pPr>
              <w:jc w:val="center"/>
              <w:cnfStyle w:val="000000100000"/>
              <w:rPr>
                <w:rFonts w:ascii="Verdana" w:hAnsi="Verdana"/>
                <w:color w:val="000000"/>
                <w:sz w:val="22"/>
                <w:szCs w:val="22"/>
              </w:rPr>
            </w:pPr>
            <w:r w:rsidRPr="009D510B">
              <w:rPr>
                <w:rFonts w:ascii="Verdana" w:hAnsi="Verdana"/>
                <w:color w:val="000000"/>
                <w:sz w:val="22"/>
                <w:szCs w:val="22"/>
              </w:rPr>
              <w:t>6</w:t>
            </w:r>
          </w:p>
        </w:tc>
      </w:tr>
      <w:tr w:rsidR="00C310DF" w:rsidRPr="009D510B" w:rsidTr="009D510B">
        <w:trPr>
          <w:trHeight w:val="76"/>
          <w:jc w:val="center"/>
        </w:trPr>
        <w:tc>
          <w:tcPr>
            <w:cnfStyle w:val="001000000000"/>
            <w:tcW w:w="1159" w:type="pct"/>
            <w:vMerge/>
            <w:vAlign w:val="center"/>
            <w:hideMark/>
          </w:tcPr>
          <w:p w:rsidR="00C310DF" w:rsidRPr="009D510B" w:rsidRDefault="00C310DF" w:rsidP="00C310DF">
            <w:pPr>
              <w:rPr>
                <w:rFonts w:ascii="Verdana" w:hAnsi="Verdana"/>
                <w:b w:val="0"/>
                <w:color w:val="000000"/>
                <w:sz w:val="22"/>
                <w:szCs w:val="22"/>
              </w:rPr>
            </w:pPr>
          </w:p>
        </w:tc>
        <w:tc>
          <w:tcPr>
            <w:tcW w:w="693" w:type="pct"/>
            <w:vMerge/>
            <w:vAlign w:val="center"/>
            <w:hideMark/>
          </w:tcPr>
          <w:p w:rsidR="00C310DF" w:rsidRPr="009D510B" w:rsidRDefault="00C310DF" w:rsidP="00C310DF">
            <w:pPr>
              <w:cnfStyle w:val="000000000000"/>
              <w:rPr>
                <w:rFonts w:ascii="Verdana" w:hAnsi="Verdana"/>
                <w:color w:val="000000"/>
                <w:sz w:val="22"/>
                <w:szCs w:val="22"/>
              </w:rPr>
            </w:pPr>
          </w:p>
        </w:tc>
        <w:tc>
          <w:tcPr>
            <w:tcW w:w="1521" w:type="pct"/>
            <w:vAlign w:val="center"/>
            <w:hideMark/>
          </w:tcPr>
          <w:p w:rsidR="00C310DF" w:rsidRPr="009D510B" w:rsidRDefault="00C310DF" w:rsidP="00C310DF">
            <w:pPr>
              <w:cnfStyle w:val="000000000000"/>
              <w:rPr>
                <w:rFonts w:ascii="Verdana" w:hAnsi="Verdana"/>
                <w:color w:val="000000"/>
                <w:sz w:val="22"/>
                <w:szCs w:val="22"/>
              </w:rPr>
            </w:pPr>
            <w:r w:rsidRPr="009D510B">
              <w:rPr>
                <w:rFonts w:ascii="Verdana" w:hAnsi="Verdana"/>
                <w:color w:val="000000"/>
                <w:sz w:val="22"/>
                <w:szCs w:val="22"/>
              </w:rPr>
              <w:t>Prestación de servicios</w:t>
            </w:r>
          </w:p>
        </w:tc>
        <w:tc>
          <w:tcPr>
            <w:tcW w:w="1025" w:type="pct"/>
            <w:noWrap/>
            <w:vAlign w:val="center"/>
            <w:hideMark/>
          </w:tcPr>
          <w:p w:rsidR="00C310DF" w:rsidRPr="009D510B" w:rsidRDefault="00C310DF" w:rsidP="00C310DF">
            <w:pPr>
              <w:jc w:val="right"/>
              <w:cnfStyle w:val="000000000000"/>
              <w:rPr>
                <w:rFonts w:ascii="Verdana" w:hAnsi="Verdana"/>
                <w:color w:val="000000"/>
                <w:sz w:val="22"/>
                <w:szCs w:val="22"/>
              </w:rPr>
            </w:pPr>
            <w:r w:rsidRPr="009D510B">
              <w:rPr>
                <w:rFonts w:ascii="Verdana" w:hAnsi="Verdana"/>
                <w:color w:val="000000"/>
                <w:sz w:val="22"/>
                <w:szCs w:val="22"/>
              </w:rPr>
              <w:t>$893.000.000</w:t>
            </w:r>
          </w:p>
        </w:tc>
        <w:tc>
          <w:tcPr>
            <w:tcW w:w="601" w:type="pct"/>
            <w:noWrap/>
            <w:vAlign w:val="center"/>
            <w:hideMark/>
          </w:tcPr>
          <w:p w:rsidR="00C310DF" w:rsidRPr="009D510B" w:rsidRDefault="00C310DF" w:rsidP="00C310DF">
            <w:pPr>
              <w:jc w:val="center"/>
              <w:cnfStyle w:val="000000000000"/>
              <w:rPr>
                <w:rFonts w:ascii="Verdana" w:hAnsi="Verdana"/>
                <w:color w:val="000000"/>
                <w:sz w:val="22"/>
                <w:szCs w:val="22"/>
              </w:rPr>
            </w:pPr>
            <w:r w:rsidRPr="009D510B">
              <w:rPr>
                <w:rFonts w:ascii="Verdana" w:hAnsi="Verdana"/>
                <w:color w:val="000000"/>
                <w:sz w:val="22"/>
                <w:szCs w:val="22"/>
              </w:rPr>
              <w:t>1</w:t>
            </w:r>
          </w:p>
        </w:tc>
      </w:tr>
      <w:tr w:rsidR="00C310DF" w:rsidRPr="009D510B" w:rsidTr="009D510B">
        <w:trPr>
          <w:cnfStyle w:val="000000100000"/>
          <w:trHeight w:val="122"/>
          <w:jc w:val="center"/>
        </w:trPr>
        <w:tc>
          <w:tcPr>
            <w:cnfStyle w:val="001000000000"/>
            <w:tcW w:w="1159" w:type="pct"/>
            <w:vMerge/>
            <w:vAlign w:val="center"/>
            <w:hideMark/>
          </w:tcPr>
          <w:p w:rsidR="00C310DF" w:rsidRPr="009D510B" w:rsidRDefault="00C310DF" w:rsidP="00C310DF">
            <w:pPr>
              <w:rPr>
                <w:rFonts w:ascii="Verdana" w:hAnsi="Verdana"/>
                <w:b w:val="0"/>
                <w:color w:val="000000"/>
                <w:sz w:val="22"/>
                <w:szCs w:val="22"/>
              </w:rPr>
            </w:pPr>
          </w:p>
        </w:tc>
        <w:tc>
          <w:tcPr>
            <w:tcW w:w="693" w:type="pct"/>
            <w:vAlign w:val="center"/>
            <w:hideMark/>
          </w:tcPr>
          <w:p w:rsidR="00C310DF" w:rsidRPr="009D510B" w:rsidRDefault="00C310DF" w:rsidP="00C310DF">
            <w:pPr>
              <w:cnfStyle w:val="000000100000"/>
              <w:rPr>
                <w:rFonts w:ascii="Verdana" w:hAnsi="Verdana"/>
                <w:color w:val="000000"/>
                <w:sz w:val="22"/>
                <w:szCs w:val="22"/>
              </w:rPr>
            </w:pPr>
            <w:r w:rsidRPr="009D510B">
              <w:rPr>
                <w:rFonts w:ascii="Verdana" w:hAnsi="Verdana"/>
                <w:color w:val="000000"/>
                <w:sz w:val="22"/>
                <w:szCs w:val="22"/>
              </w:rPr>
              <w:t>Acuerdo marco de precios</w:t>
            </w:r>
          </w:p>
        </w:tc>
        <w:tc>
          <w:tcPr>
            <w:tcW w:w="1521" w:type="pct"/>
            <w:vAlign w:val="center"/>
            <w:hideMark/>
          </w:tcPr>
          <w:p w:rsidR="00C310DF" w:rsidRPr="009D510B" w:rsidRDefault="00C310DF" w:rsidP="00C310DF">
            <w:pPr>
              <w:cnfStyle w:val="000000100000"/>
              <w:rPr>
                <w:rFonts w:ascii="Verdana" w:hAnsi="Verdana"/>
                <w:color w:val="000000"/>
                <w:sz w:val="22"/>
                <w:szCs w:val="22"/>
              </w:rPr>
            </w:pPr>
            <w:r w:rsidRPr="009D510B">
              <w:rPr>
                <w:rFonts w:ascii="Verdana" w:hAnsi="Verdana"/>
                <w:color w:val="000000"/>
                <w:sz w:val="22"/>
                <w:szCs w:val="22"/>
              </w:rPr>
              <w:t>Orden de compra</w:t>
            </w:r>
          </w:p>
        </w:tc>
        <w:tc>
          <w:tcPr>
            <w:tcW w:w="1025" w:type="pct"/>
            <w:noWrap/>
            <w:vAlign w:val="center"/>
            <w:hideMark/>
          </w:tcPr>
          <w:p w:rsidR="00C310DF" w:rsidRPr="009D510B" w:rsidRDefault="00C310DF" w:rsidP="00C310DF">
            <w:pPr>
              <w:jc w:val="right"/>
              <w:cnfStyle w:val="000000100000"/>
              <w:rPr>
                <w:rFonts w:ascii="Verdana" w:hAnsi="Verdana"/>
                <w:color w:val="000000"/>
                <w:sz w:val="22"/>
                <w:szCs w:val="22"/>
              </w:rPr>
            </w:pPr>
            <w:r w:rsidRPr="009D510B">
              <w:rPr>
                <w:rFonts w:ascii="Verdana" w:hAnsi="Verdana"/>
                <w:color w:val="000000"/>
                <w:sz w:val="22"/>
                <w:szCs w:val="22"/>
              </w:rPr>
              <w:t>$615.112.203</w:t>
            </w:r>
          </w:p>
        </w:tc>
        <w:tc>
          <w:tcPr>
            <w:tcW w:w="601" w:type="pct"/>
            <w:noWrap/>
            <w:vAlign w:val="center"/>
            <w:hideMark/>
          </w:tcPr>
          <w:p w:rsidR="00C310DF" w:rsidRPr="009D510B" w:rsidRDefault="00C310DF" w:rsidP="00C310DF">
            <w:pPr>
              <w:jc w:val="center"/>
              <w:cnfStyle w:val="000000100000"/>
              <w:rPr>
                <w:rFonts w:ascii="Verdana" w:hAnsi="Verdana"/>
                <w:color w:val="000000"/>
                <w:sz w:val="22"/>
                <w:szCs w:val="22"/>
              </w:rPr>
            </w:pPr>
            <w:r w:rsidRPr="009D510B">
              <w:rPr>
                <w:rFonts w:ascii="Verdana" w:hAnsi="Verdana"/>
                <w:color w:val="000000"/>
                <w:sz w:val="22"/>
                <w:szCs w:val="22"/>
              </w:rPr>
              <w:t>5</w:t>
            </w:r>
          </w:p>
        </w:tc>
      </w:tr>
      <w:tr w:rsidR="00C310DF" w:rsidRPr="009D510B" w:rsidTr="009D510B">
        <w:trPr>
          <w:trHeight w:val="163"/>
          <w:jc w:val="center"/>
        </w:trPr>
        <w:tc>
          <w:tcPr>
            <w:cnfStyle w:val="001000000000"/>
            <w:tcW w:w="3373" w:type="pct"/>
            <w:gridSpan w:val="3"/>
            <w:noWrap/>
            <w:vAlign w:val="center"/>
            <w:hideMark/>
          </w:tcPr>
          <w:p w:rsidR="00C310DF" w:rsidRPr="009D510B" w:rsidRDefault="00C310DF" w:rsidP="00C310DF">
            <w:pPr>
              <w:jc w:val="center"/>
              <w:rPr>
                <w:rFonts w:ascii="Verdana" w:hAnsi="Verdana"/>
                <w:b w:val="0"/>
                <w:color w:val="000000"/>
                <w:sz w:val="22"/>
                <w:szCs w:val="22"/>
              </w:rPr>
            </w:pPr>
            <w:r w:rsidRPr="009D510B">
              <w:rPr>
                <w:rFonts w:ascii="Verdana" w:hAnsi="Verdana"/>
                <w:b w:val="0"/>
                <w:color w:val="000000"/>
                <w:sz w:val="22"/>
                <w:szCs w:val="22"/>
              </w:rPr>
              <w:t>Total</w:t>
            </w:r>
          </w:p>
        </w:tc>
        <w:tc>
          <w:tcPr>
            <w:tcW w:w="1025" w:type="pct"/>
            <w:noWrap/>
            <w:vAlign w:val="center"/>
            <w:hideMark/>
          </w:tcPr>
          <w:p w:rsidR="00C310DF" w:rsidRPr="009D510B" w:rsidRDefault="00C310DF" w:rsidP="00C310DF">
            <w:pPr>
              <w:jc w:val="right"/>
              <w:cnfStyle w:val="000000000000"/>
              <w:rPr>
                <w:rFonts w:ascii="Verdana" w:hAnsi="Verdana"/>
                <w:color w:val="000000"/>
                <w:sz w:val="22"/>
                <w:szCs w:val="22"/>
              </w:rPr>
            </w:pPr>
            <w:r w:rsidRPr="009D510B">
              <w:rPr>
                <w:rFonts w:ascii="Verdana" w:hAnsi="Verdana"/>
                <w:color w:val="000000"/>
                <w:sz w:val="22"/>
                <w:szCs w:val="22"/>
              </w:rPr>
              <w:t>$27.034.274.064</w:t>
            </w:r>
          </w:p>
        </w:tc>
        <w:tc>
          <w:tcPr>
            <w:tcW w:w="601" w:type="pct"/>
            <w:noWrap/>
            <w:vAlign w:val="center"/>
            <w:hideMark/>
          </w:tcPr>
          <w:p w:rsidR="00C310DF" w:rsidRPr="009D510B" w:rsidRDefault="00C310DF" w:rsidP="00C310DF">
            <w:pPr>
              <w:jc w:val="center"/>
              <w:cnfStyle w:val="000000000000"/>
              <w:rPr>
                <w:rFonts w:ascii="Verdana" w:hAnsi="Verdana"/>
                <w:color w:val="000000"/>
                <w:sz w:val="22"/>
                <w:szCs w:val="22"/>
              </w:rPr>
            </w:pPr>
            <w:r w:rsidRPr="009D510B">
              <w:rPr>
                <w:rFonts w:ascii="Verdana" w:hAnsi="Verdana"/>
                <w:color w:val="000000"/>
                <w:sz w:val="22"/>
                <w:szCs w:val="22"/>
              </w:rPr>
              <w:t>539</w:t>
            </w:r>
          </w:p>
        </w:tc>
      </w:tr>
    </w:tbl>
    <w:p w:rsidR="00C310DF" w:rsidRPr="00BC7F3F" w:rsidRDefault="00C310DF" w:rsidP="00C310DF">
      <w:pPr>
        <w:spacing w:after="0" w:line="240" w:lineRule="auto"/>
        <w:contextualSpacing/>
        <w:jc w:val="both"/>
        <w:rPr>
          <w:rFonts w:ascii="Verdana" w:hAnsi="Verdana"/>
          <w:sz w:val="24"/>
          <w:szCs w:val="24"/>
        </w:rPr>
      </w:pPr>
    </w:p>
    <w:p w:rsidR="00C310DF" w:rsidRPr="00BC7F3F" w:rsidRDefault="00C310DF" w:rsidP="00C310DF">
      <w:pPr>
        <w:spacing w:after="0" w:line="240" w:lineRule="auto"/>
        <w:contextualSpacing/>
        <w:jc w:val="both"/>
        <w:rPr>
          <w:rFonts w:ascii="Verdana" w:hAnsi="Verdana"/>
          <w:sz w:val="24"/>
          <w:szCs w:val="24"/>
        </w:rPr>
      </w:pPr>
    </w:p>
    <w:p w:rsidR="00C310DF" w:rsidRPr="00BC7F3F" w:rsidRDefault="009D510B" w:rsidP="00C310DF">
      <w:pPr>
        <w:spacing w:after="0" w:line="240" w:lineRule="auto"/>
        <w:jc w:val="both"/>
        <w:rPr>
          <w:rFonts w:ascii="Verdana" w:hAnsi="Verdana"/>
          <w:sz w:val="24"/>
          <w:szCs w:val="24"/>
        </w:rPr>
      </w:pPr>
      <w:r w:rsidRPr="009D510B">
        <w:rPr>
          <w:rFonts w:ascii="Verdana" w:hAnsi="Verdana"/>
          <w:b/>
          <w:noProof/>
          <w:color w:val="4F81BD" w:themeColor="accent1"/>
          <w:sz w:val="24"/>
          <w:szCs w:val="24"/>
          <w:lang w:eastAsia="es-CO"/>
        </w:rPr>
        <w:drawing>
          <wp:inline distT="0" distB="0" distL="0" distR="0">
            <wp:extent cx="216024" cy="216024"/>
            <wp:effectExtent l="19050" t="0" r="0" b="0"/>
            <wp:docPr id="81"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8100392" y="4797152"/>
                      <a:chExt cx="216024" cy="216024"/>
                    </a:xfrm>
                  </a:grpSpPr>
                  <a:sp>
                    <a:nvSpPr>
                      <a:cNvPr id="41" name="40 Rectángulo redondeado"/>
                      <a:cNvSpPr/>
                    </a:nvSpPr>
                    <a:spPr>
                      <a:xfrm>
                        <a:off x="8100392" y="4797152"/>
                        <a:ext cx="216024" cy="216024"/>
                      </a:xfrm>
                      <a:prstGeom prst="roundRect">
                        <a:avLst/>
                      </a:prstGeom>
                      <a:gradFill flip="none" rotWithShape="1">
                        <a:gsLst>
                          <a:gs pos="0">
                            <a:schemeClr val="bg1">
                              <a:lumMod val="85000"/>
                              <a:shade val="30000"/>
                              <a:satMod val="115000"/>
                            </a:schemeClr>
                          </a:gs>
                          <a:gs pos="50000">
                            <a:schemeClr val="bg1">
                              <a:lumMod val="85000"/>
                              <a:shade val="67500"/>
                              <a:satMod val="115000"/>
                            </a:schemeClr>
                          </a:gs>
                          <a:gs pos="100000">
                            <a:schemeClr val="bg1">
                              <a:lumMod val="85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hAnsi="Verdana"/>
          <w:b/>
          <w:color w:val="4F81BD" w:themeColor="accent1"/>
          <w:sz w:val="24"/>
          <w:szCs w:val="24"/>
        </w:rPr>
        <w:t xml:space="preserve">   </w:t>
      </w:r>
      <w:r w:rsidR="00C310DF" w:rsidRPr="00BC7F3F">
        <w:rPr>
          <w:rFonts w:ascii="Verdana" w:hAnsi="Verdana"/>
          <w:b/>
          <w:color w:val="4F81BD" w:themeColor="accent1"/>
          <w:sz w:val="24"/>
          <w:szCs w:val="24"/>
        </w:rPr>
        <w:t>IMPACTO DE LA GESTIÓN</w:t>
      </w:r>
      <w:r w:rsidR="00C310DF" w:rsidRPr="00BC7F3F">
        <w:rPr>
          <w:rFonts w:ascii="Verdana" w:hAnsi="Verdana"/>
          <w:sz w:val="24"/>
          <w:szCs w:val="24"/>
        </w:rPr>
        <w:tab/>
      </w:r>
    </w:p>
    <w:p w:rsidR="00C310DF" w:rsidRPr="00BC7F3F" w:rsidRDefault="00C310DF" w:rsidP="00C310DF">
      <w:pPr>
        <w:spacing w:after="0" w:line="240" w:lineRule="auto"/>
        <w:contextualSpacing/>
        <w:jc w:val="both"/>
        <w:rPr>
          <w:rFonts w:ascii="Verdana" w:hAnsi="Verdana" w:cs="Arial"/>
          <w:sz w:val="24"/>
          <w:szCs w:val="24"/>
        </w:rPr>
      </w:pPr>
    </w:p>
    <w:p w:rsidR="00C310DF" w:rsidRPr="00BC7F3F" w:rsidRDefault="00C310DF" w:rsidP="00C310DF">
      <w:pPr>
        <w:spacing w:after="0" w:line="240" w:lineRule="auto"/>
        <w:contextualSpacing/>
        <w:jc w:val="both"/>
        <w:rPr>
          <w:rFonts w:ascii="Verdana" w:hAnsi="Verdana"/>
          <w:bCs/>
          <w:sz w:val="24"/>
          <w:szCs w:val="24"/>
        </w:rPr>
      </w:pPr>
      <w:r w:rsidRPr="00BC7F3F">
        <w:rPr>
          <w:rFonts w:ascii="Verdana" w:hAnsi="Verdana" w:cs="Arial"/>
          <w:sz w:val="24"/>
          <w:szCs w:val="24"/>
        </w:rPr>
        <w:t xml:space="preserve">En cuanto a los logros que se dan en materia de grupos regionales de memoria acompañados por parte del CNMH se destaca </w:t>
      </w:r>
      <w:r w:rsidRPr="00BC7F3F">
        <w:rPr>
          <w:rFonts w:ascii="Verdana" w:hAnsi="Verdana"/>
          <w:bCs/>
          <w:sz w:val="24"/>
          <w:szCs w:val="24"/>
        </w:rPr>
        <w:t>la relación transformativa que se teje entre víctimas, profesores y estudiantes: tanto en el caso de la Universidad de Magdalena, como en la Universidad Tecnológica de Bolívar los estudiantes se refirieron al proceso como uno que les "cambió la vida" y en la que una realidad circundante que ellos no percibían se les reveló en toda su crudeza. Para las víctimas, estos acompañamientos donde la escucha de sus testimonios y opiniones es central, se transforma en una plataforma para hacer oír su voz en otras esferas e impugnar los silencios, la indiferencia, la normalización de los horrores de la guerra.</w:t>
      </w:r>
    </w:p>
    <w:p w:rsidR="00C310DF" w:rsidRPr="00BC7F3F" w:rsidRDefault="00C310DF" w:rsidP="00C310DF">
      <w:pPr>
        <w:spacing w:after="0" w:line="240" w:lineRule="auto"/>
        <w:contextualSpacing/>
        <w:jc w:val="both"/>
        <w:rPr>
          <w:rFonts w:ascii="Verdana" w:hAnsi="Verdana" w:cs="Arial"/>
          <w:sz w:val="24"/>
          <w:szCs w:val="24"/>
          <w:u w:val="single"/>
        </w:rPr>
      </w:pPr>
    </w:p>
    <w:p w:rsidR="00C310DF" w:rsidRPr="00BC7F3F" w:rsidRDefault="00C310DF" w:rsidP="00C310DF">
      <w:pPr>
        <w:spacing w:after="0" w:line="240" w:lineRule="auto"/>
        <w:contextualSpacing/>
        <w:jc w:val="both"/>
        <w:rPr>
          <w:rFonts w:ascii="Verdana" w:hAnsi="Verdana" w:cs="Arial"/>
          <w:sz w:val="24"/>
          <w:szCs w:val="24"/>
        </w:rPr>
      </w:pPr>
      <w:r w:rsidRPr="00BC7F3F">
        <w:rPr>
          <w:rFonts w:ascii="Verdana" w:hAnsi="Verdana" w:cs="Arial"/>
          <w:sz w:val="24"/>
          <w:szCs w:val="24"/>
        </w:rPr>
        <w:t xml:space="preserve">Queda además como resultado de estos esfuerzos una alianza a mediano plazo con estos grupos en región que serán cruciales para fortalecer una red de Grupos Regionales de Memoria Histórica expandida. Su experiencia no se agota en la construcción de los casos sino que en la </w:t>
      </w:r>
      <w:r w:rsidRPr="00BC7F3F">
        <w:rPr>
          <w:rFonts w:ascii="Verdana" w:hAnsi="Verdana"/>
          <w:bCs/>
          <w:sz w:val="24"/>
          <w:szCs w:val="24"/>
        </w:rPr>
        <w:t xml:space="preserve">Universidad Tecnológica de Bolívar </w:t>
      </w:r>
      <w:r w:rsidRPr="00BC7F3F">
        <w:rPr>
          <w:rFonts w:ascii="Verdana" w:hAnsi="Verdana" w:cs="Arial"/>
          <w:sz w:val="24"/>
          <w:szCs w:val="24"/>
        </w:rPr>
        <w:t>por ejemplo se introdujeron cursos cobre Memoria Histórica y se están organizando foros y conversatorios sobre el tema.</w:t>
      </w:r>
    </w:p>
    <w:p w:rsidR="00C310DF" w:rsidRPr="00BC7F3F" w:rsidRDefault="00C310DF" w:rsidP="00C310DF">
      <w:pPr>
        <w:spacing w:after="0" w:line="240" w:lineRule="auto"/>
        <w:contextualSpacing/>
        <w:jc w:val="both"/>
        <w:rPr>
          <w:rFonts w:ascii="Verdana" w:hAnsi="Verdana"/>
          <w:b/>
          <w:bCs/>
          <w:sz w:val="24"/>
          <w:szCs w:val="24"/>
        </w:rPr>
      </w:pPr>
    </w:p>
    <w:p w:rsidR="00C310DF" w:rsidRPr="00BC7F3F" w:rsidRDefault="00C310DF" w:rsidP="00C310DF">
      <w:pPr>
        <w:shd w:val="clear" w:color="auto" w:fill="FFFFFF"/>
        <w:spacing w:after="0" w:line="240" w:lineRule="auto"/>
        <w:contextualSpacing/>
        <w:jc w:val="both"/>
        <w:rPr>
          <w:rFonts w:ascii="Verdana" w:hAnsi="Verdana"/>
          <w:bCs/>
          <w:sz w:val="24"/>
          <w:szCs w:val="24"/>
        </w:rPr>
      </w:pPr>
      <w:r w:rsidRPr="00BC7F3F">
        <w:rPr>
          <w:rFonts w:ascii="Verdana" w:hAnsi="Verdana"/>
          <w:bCs/>
          <w:sz w:val="24"/>
          <w:szCs w:val="24"/>
        </w:rPr>
        <w:t xml:space="preserve">Como resultado de las acciones de difusión y comunicación, el CNMH logró la participación 23.110 personas en los eventos mencionados. Y un amplio cubrimiento de los temas del CNMH en los medios de comunicación con un total de Durante el año 2014 se registraron un total de 1.573 noticias en prensa, radio, televisión e internet con mención del Centro de Memoria Histórica. La valoración total de las menciones detectadas durante el mes fue de $ 15.432.146.615. La </w:t>
      </w:r>
      <w:r w:rsidRPr="00BC7F3F">
        <w:rPr>
          <w:rFonts w:ascii="Verdana" w:hAnsi="Verdana"/>
          <w:bCs/>
          <w:sz w:val="24"/>
          <w:szCs w:val="24"/>
        </w:rPr>
        <w:lastRenderedPageBreak/>
        <w:t>ciudad con mayor incidencia fue Bogotá. El medio que tuvo mayor incidencia en el free press durante el año fue prensa, con un total de 581 impactos positivos y una participación del 37% del total. Televisión registró 71 noticias de 14 medios y alcanzó un 5% de las menciones totales. Radio participó con el 4% de los impactos totales, en este medio se presentaron 68 impactos.</w:t>
      </w:r>
    </w:p>
    <w:p w:rsidR="00C310DF" w:rsidRPr="00BC7F3F" w:rsidRDefault="00C310DF" w:rsidP="00C310DF">
      <w:pPr>
        <w:spacing w:after="0" w:line="240" w:lineRule="auto"/>
        <w:contextualSpacing/>
        <w:jc w:val="both"/>
        <w:rPr>
          <w:rFonts w:ascii="Verdana" w:hAnsi="Verdana"/>
          <w:sz w:val="24"/>
          <w:szCs w:val="24"/>
        </w:rPr>
      </w:pPr>
    </w:p>
    <w:p w:rsidR="00C310DF" w:rsidRPr="00BC7F3F" w:rsidRDefault="00C310DF" w:rsidP="00C310DF">
      <w:pPr>
        <w:shd w:val="clear" w:color="auto" w:fill="FFFFFF"/>
        <w:spacing w:after="0" w:line="240" w:lineRule="auto"/>
        <w:contextualSpacing/>
        <w:jc w:val="both"/>
        <w:rPr>
          <w:rFonts w:ascii="Verdana" w:eastAsia="Arial" w:hAnsi="Verdana"/>
          <w:sz w:val="24"/>
          <w:szCs w:val="24"/>
        </w:rPr>
      </w:pPr>
      <w:r w:rsidRPr="00BC7F3F">
        <w:rPr>
          <w:rFonts w:ascii="Verdana" w:eastAsia="Arial" w:hAnsi="Verdana"/>
          <w:sz w:val="24"/>
          <w:szCs w:val="24"/>
        </w:rPr>
        <w:t>El Museo contará con un edificio en Bogotá que se consolide como un espacio de reparación incluyente, abierto y público, donde se articulen las miradas y relatos de país, con contenidos pertinentes, ricos, flexibles y susceptibles de ser interpelados. Sin embargo, su proceso de construcción debe ser entendido en el sentido físico, tanto como en el de su construcción social. Por ello, el CNMH implementa una estrategia de participación en la que el trabajo de víctimas, organizaciones de víctimas, defensoras de derechos humanos y académicos en torno a la memoria, será la base para comenzar el diálogo y la construcción de los contenidos de un Museo que, como Colombia, debe ser diverso y plural. Esta estrategia permitirá constituir al MNM como una plataforma de reconocimiento, visibilización y apoyo a los procesos locales y regionales de memoria, y como un espacio de articulación e intercambio entre las distintas expresiones de la memoria histórica.</w:t>
      </w:r>
    </w:p>
    <w:p w:rsidR="00C310DF" w:rsidRPr="00BC7F3F" w:rsidRDefault="00C310DF" w:rsidP="00C310DF">
      <w:pPr>
        <w:spacing w:after="0" w:line="240" w:lineRule="auto"/>
        <w:contextualSpacing/>
        <w:jc w:val="both"/>
        <w:rPr>
          <w:rFonts w:ascii="Verdana" w:hAnsi="Verdana"/>
          <w:sz w:val="24"/>
          <w:szCs w:val="24"/>
        </w:rPr>
      </w:pPr>
    </w:p>
    <w:p w:rsidR="00C310DF" w:rsidRPr="00BC7F3F" w:rsidRDefault="00C310DF" w:rsidP="00C310DF">
      <w:pPr>
        <w:spacing w:after="0" w:line="240" w:lineRule="auto"/>
        <w:contextualSpacing/>
        <w:jc w:val="both"/>
        <w:rPr>
          <w:rFonts w:ascii="Verdana" w:hAnsi="Verdana"/>
          <w:sz w:val="24"/>
          <w:szCs w:val="24"/>
        </w:rPr>
      </w:pPr>
      <w:r w:rsidRPr="00BC7F3F">
        <w:rPr>
          <w:rFonts w:ascii="Verdana" w:hAnsi="Verdana"/>
          <w:sz w:val="24"/>
          <w:szCs w:val="24"/>
        </w:rPr>
        <w:t xml:space="preserve">A través del mecanismo no judicial de contribución a la verdad y la memoria histórica que se está implementando en Apartadó, Barranquilla, Bogotá, Bucaramanga, Caucasia, Valledupar, Montería, Equipo móvil, Santa Marta, Medellín, Villavicencio, Puerto Berrío, Tierralta, Turbo y Cali, se han realizado entrevistas que permiten recopilar información para el esclarecimiento histórico del fenómeno paramilitar, recogiendo relatos, principalmente, de las siguientes estructuras armadas paramilitares: Bloque Central Bolívar –Sur de Bolívar, Bloque Norte, Autodefensas Campesinas de Ortega, Frente Nordeste Antioqueño del BCB, Bloque Magdalena Medio, Héroes de Tolová, Bloque Mineros, Bloque Élmer Cárdenas, Bloque Libertadores del Sur, Bloque Puerto Boyacá, Autodefensas Campesinas del Magdalena Medio, Bloque_Calima, Bloque Vencedores de Arauca, Bloque Bananero, Bloque Cundinamarca, entre otras. Adicionalmente, con la certificación, 1.407 personas desmovilizadas obtienen los beneficios judiciales a los cuales hace referencia la </w:t>
      </w:r>
      <w:r w:rsidRPr="00BC7F3F">
        <w:rPr>
          <w:rFonts w:ascii="Verdana" w:eastAsia="Arial" w:hAnsi="Verdana"/>
          <w:sz w:val="24"/>
          <w:szCs w:val="24"/>
        </w:rPr>
        <w:t>Ley 1424 de 2010</w:t>
      </w:r>
      <w:r w:rsidRPr="00BC7F3F">
        <w:rPr>
          <w:rFonts w:ascii="Verdana" w:hAnsi="Verdana"/>
          <w:sz w:val="24"/>
          <w:szCs w:val="24"/>
        </w:rPr>
        <w:t>.</w:t>
      </w:r>
    </w:p>
    <w:p w:rsidR="00C310DF" w:rsidRDefault="00C310DF" w:rsidP="00C310DF">
      <w:pPr>
        <w:spacing w:after="0" w:line="240" w:lineRule="auto"/>
        <w:contextualSpacing/>
        <w:jc w:val="both"/>
        <w:rPr>
          <w:rFonts w:ascii="Verdana" w:hAnsi="Verdana"/>
          <w:sz w:val="24"/>
          <w:szCs w:val="24"/>
        </w:rPr>
      </w:pPr>
    </w:p>
    <w:p w:rsidR="00406876" w:rsidRDefault="00406876" w:rsidP="00C310DF">
      <w:pPr>
        <w:spacing w:after="0" w:line="240" w:lineRule="auto"/>
        <w:contextualSpacing/>
        <w:jc w:val="both"/>
        <w:rPr>
          <w:rFonts w:ascii="Verdana" w:hAnsi="Verdana"/>
          <w:sz w:val="24"/>
          <w:szCs w:val="24"/>
        </w:rPr>
      </w:pPr>
    </w:p>
    <w:p w:rsidR="00406876" w:rsidRPr="00BC7F3F" w:rsidRDefault="00406876" w:rsidP="00C310DF">
      <w:pPr>
        <w:spacing w:after="0" w:line="240" w:lineRule="auto"/>
        <w:contextualSpacing/>
        <w:jc w:val="both"/>
        <w:rPr>
          <w:rFonts w:ascii="Verdana" w:hAnsi="Verdana"/>
          <w:sz w:val="24"/>
          <w:szCs w:val="24"/>
        </w:rPr>
      </w:pPr>
    </w:p>
    <w:p w:rsidR="00C310DF" w:rsidRPr="00BC7F3F" w:rsidRDefault="00C310DF" w:rsidP="00C310DF">
      <w:pPr>
        <w:spacing w:after="0" w:line="240" w:lineRule="auto"/>
        <w:contextualSpacing/>
        <w:jc w:val="both"/>
        <w:rPr>
          <w:rFonts w:ascii="Verdana" w:hAnsi="Verdana"/>
          <w:sz w:val="24"/>
          <w:szCs w:val="24"/>
        </w:rPr>
      </w:pPr>
    </w:p>
    <w:p w:rsidR="00C310DF" w:rsidRPr="009D510B" w:rsidRDefault="009D510B" w:rsidP="00C310DF">
      <w:pPr>
        <w:spacing w:after="0" w:line="240" w:lineRule="auto"/>
        <w:jc w:val="both"/>
        <w:rPr>
          <w:rFonts w:ascii="Verdana" w:hAnsi="Verdana"/>
          <w:sz w:val="28"/>
          <w:szCs w:val="24"/>
        </w:rPr>
      </w:pPr>
      <w:r w:rsidRPr="009D510B">
        <w:rPr>
          <w:rFonts w:ascii="Verdana" w:hAnsi="Verdana"/>
          <w:b/>
          <w:noProof/>
          <w:color w:val="4F81BD" w:themeColor="accent1"/>
          <w:sz w:val="24"/>
          <w:szCs w:val="24"/>
          <w:lang w:eastAsia="es-CO"/>
        </w:rPr>
        <w:lastRenderedPageBreak/>
        <w:drawing>
          <wp:inline distT="0" distB="0" distL="0" distR="0">
            <wp:extent cx="216024" cy="216024"/>
            <wp:effectExtent l="19050" t="0" r="0" b="0"/>
            <wp:docPr id="83" name="Objet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8100392" y="4797152"/>
                      <a:chExt cx="216024" cy="216024"/>
                    </a:xfrm>
                  </a:grpSpPr>
                  <a:sp>
                    <a:nvSpPr>
                      <a:cNvPr id="41" name="40 Rectángulo redondeado"/>
                      <a:cNvSpPr/>
                    </a:nvSpPr>
                    <a:spPr>
                      <a:xfrm>
                        <a:off x="8100392" y="4797152"/>
                        <a:ext cx="216024" cy="216024"/>
                      </a:xfrm>
                      <a:prstGeom prst="roundRect">
                        <a:avLst/>
                      </a:prstGeom>
                      <a:gradFill flip="none" rotWithShape="1">
                        <a:gsLst>
                          <a:gs pos="0">
                            <a:schemeClr val="bg1">
                              <a:lumMod val="85000"/>
                              <a:shade val="30000"/>
                              <a:satMod val="115000"/>
                            </a:schemeClr>
                          </a:gs>
                          <a:gs pos="50000">
                            <a:schemeClr val="bg1">
                              <a:lumMod val="85000"/>
                              <a:shade val="67500"/>
                              <a:satMod val="115000"/>
                            </a:schemeClr>
                          </a:gs>
                          <a:gs pos="100000">
                            <a:schemeClr val="bg1">
                              <a:lumMod val="85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hAnsi="Verdana"/>
          <w:b/>
          <w:color w:val="4F81BD" w:themeColor="accent1"/>
          <w:sz w:val="24"/>
          <w:szCs w:val="24"/>
        </w:rPr>
        <w:t xml:space="preserve">   </w:t>
      </w:r>
      <w:r w:rsidR="00C310DF" w:rsidRPr="009D510B">
        <w:rPr>
          <w:rFonts w:ascii="Verdana" w:hAnsi="Verdana"/>
          <w:b/>
          <w:color w:val="4F81BD" w:themeColor="accent1"/>
          <w:sz w:val="28"/>
          <w:szCs w:val="24"/>
        </w:rPr>
        <w:t>ACCIONES DE MEJORAMIENTO DE LA ENTIDAD</w:t>
      </w:r>
      <w:r w:rsidR="00C310DF" w:rsidRPr="009D510B">
        <w:rPr>
          <w:rFonts w:ascii="Verdana" w:hAnsi="Verdana"/>
          <w:sz w:val="28"/>
          <w:szCs w:val="24"/>
        </w:rPr>
        <w:tab/>
      </w:r>
    </w:p>
    <w:p w:rsidR="00C310DF" w:rsidRPr="00BC7F3F" w:rsidRDefault="00C310DF" w:rsidP="00C310DF">
      <w:pPr>
        <w:spacing w:after="0" w:line="240" w:lineRule="auto"/>
        <w:jc w:val="both"/>
        <w:rPr>
          <w:rFonts w:ascii="Verdana" w:hAnsi="Verdana" w:cs="Arial"/>
          <w:color w:val="000000"/>
          <w:sz w:val="24"/>
          <w:szCs w:val="24"/>
          <w:shd w:val="clear" w:color="auto" w:fill="FFFFFF"/>
        </w:rPr>
      </w:pPr>
    </w:p>
    <w:p w:rsidR="00C310DF" w:rsidRPr="00BC7F3F" w:rsidRDefault="00C310DF" w:rsidP="00C310DF">
      <w:pPr>
        <w:spacing w:after="0" w:line="240" w:lineRule="auto"/>
        <w:jc w:val="both"/>
        <w:rPr>
          <w:rFonts w:ascii="Verdana" w:hAnsi="Verdana" w:cs="Arial"/>
          <w:color w:val="000000"/>
          <w:sz w:val="24"/>
          <w:szCs w:val="24"/>
          <w:shd w:val="clear" w:color="auto" w:fill="FFFFFF"/>
        </w:rPr>
      </w:pPr>
      <w:r w:rsidRPr="00BC7F3F">
        <w:rPr>
          <w:rFonts w:ascii="Verdana" w:hAnsi="Verdana" w:cs="Arial"/>
          <w:color w:val="000000"/>
          <w:sz w:val="24"/>
          <w:szCs w:val="24"/>
          <w:shd w:val="clear" w:color="auto" w:fill="FFFFFF"/>
        </w:rPr>
        <w:t xml:space="preserve">Actualmente el CNMH no ha suscrito ningún plan de mejoramiento con la Contraloría General de la República.  A nivel interno y como producto de una Auditoría que adelantó la Oficina de Control Interno al proceso de Comisiones de Servicio se generó un Plan de mejoramiento derivado de la necesidad de mejorar este proceso en la entidad. Se acordaron con los responsables cuatro (4) acciones relacionadas con. 1) Ajustes a la normatividad interna, 2) Fortalecimiento de la supervisión de contratos 3) Adecuación del manual de supervisión de la entidad y 4) Exigencias concretas a los contratistas en materia de oportunidad en la legalización de comisiones. Todos los compromisos se cumplieron en su totalidad. </w:t>
      </w:r>
    </w:p>
    <w:p w:rsidR="00C310DF" w:rsidRPr="00BC7F3F" w:rsidRDefault="00C310DF" w:rsidP="00C310DF">
      <w:pPr>
        <w:spacing w:after="0" w:line="240" w:lineRule="auto"/>
        <w:jc w:val="both"/>
        <w:rPr>
          <w:rFonts w:ascii="Verdana" w:hAnsi="Verdana" w:cs="Arial"/>
          <w:color w:val="000000"/>
          <w:sz w:val="24"/>
          <w:szCs w:val="24"/>
          <w:shd w:val="clear" w:color="auto" w:fill="FFFFFF"/>
        </w:rPr>
      </w:pPr>
    </w:p>
    <w:p w:rsidR="00C310DF" w:rsidRPr="00BC7F3F" w:rsidRDefault="00C310DF" w:rsidP="00C310DF">
      <w:pPr>
        <w:spacing w:after="0" w:line="240" w:lineRule="auto"/>
        <w:jc w:val="both"/>
        <w:rPr>
          <w:rFonts w:ascii="Verdana" w:hAnsi="Verdana" w:cs="Arial"/>
          <w:color w:val="000000"/>
          <w:sz w:val="24"/>
          <w:szCs w:val="24"/>
          <w:shd w:val="clear" w:color="auto" w:fill="FFFFFF"/>
        </w:rPr>
      </w:pPr>
      <w:r w:rsidRPr="00BC7F3F">
        <w:rPr>
          <w:rFonts w:ascii="Verdana" w:hAnsi="Verdana" w:cs="Arial"/>
          <w:color w:val="000000"/>
          <w:sz w:val="24"/>
          <w:szCs w:val="24"/>
          <w:shd w:val="clear" w:color="auto" w:fill="FFFFFF"/>
        </w:rPr>
        <w:t>Con respecto a vigencias anteriores continúa desarrollándose un plan de mejoramiento suscrito con el Archivo General de la Nación en el año 2013 el cual cuenta con 14 acciones de las cuales se encuentran nueve (9) cumplidas en el 100% y tienen que ver en su mayoría con la organización de la Tabla de Retención Documental de la Entidad, proceso que se adelantó en el año 2014. Las acciones restantes son producto de la puesta en marcha de la TRD la cual está en espera para ser aprobada por la AGN para así dar inicio a la puesta en marcha del programa de gestión documental del CNMH en el que se involucran aspectos como el manejo automatizado de las comunicaciones de la entidad y mantenimiento y conservación de archivos entre otros, estas tareas se encuentran en un nivel de ejecución del 50% y con fecha de terminación a diciembre de 2015.</w:t>
      </w:r>
    </w:p>
    <w:p w:rsidR="009D510B" w:rsidRDefault="009D510B" w:rsidP="00C310DF">
      <w:pPr>
        <w:spacing w:after="0" w:line="240" w:lineRule="auto"/>
        <w:rPr>
          <w:rFonts w:ascii="Verdana" w:hAnsi="Verdana"/>
          <w:b/>
          <w:color w:val="4F81BD" w:themeColor="accent1"/>
          <w:sz w:val="24"/>
          <w:szCs w:val="24"/>
        </w:rPr>
      </w:pPr>
    </w:p>
    <w:p w:rsidR="00C310DF" w:rsidRPr="00C310DF" w:rsidRDefault="009D510B" w:rsidP="00C310DF">
      <w:pPr>
        <w:spacing w:after="0" w:line="240" w:lineRule="auto"/>
        <w:rPr>
          <w:rFonts w:ascii="Verdana" w:hAnsi="Verdana"/>
          <w:b/>
          <w:color w:val="4F81BD" w:themeColor="accent1"/>
          <w:sz w:val="24"/>
          <w:szCs w:val="24"/>
        </w:rPr>
      </w:pPr>
      <w:r w:rsidRPr="009D510B">
        <w:rPr>
          <w:rFonts w:ascii="Verdana" w:hAnsi="Verdana"/>
          <w:b/>
          <w:noProof/>
          <w:color w:val="4F81BD" w:themeColor="accent1"/>
          <w:sz w:val="24"/>
          <w:szCs w:val="24"/>
          <w:lang w:eastAsia="es-CO"/>
        </w:rPr>
        <w:drawing>
          <wp:inline distT="0" distB="0" distL="0" distR="0">
            <wp:extent cx="216024" cy="216024"/>
            <wp:effectExtent l="19050" t="0" r="0" b="0"/>
            <wp:docPr id="92" name="Objet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8100392" y="4797152"/>
                      <a:chExt cx="216024" cy="216024"/>
                    </a:xfrm>
                  </a:grpSpPr>
                  <a:sp>
                    <a:nvSpPr>
                      <a:cNvPr id="41" name="40 Rectángulo redondeado"/>
                      <a:cNvSpPr/>
                    </a:nvSpPr>
                    <a:spPr>
                      <a:xfrm>
                        <a:off x="8100392" y="4797152"/>
                        <a:ext cx="216024" cy="216024"/>
                      </a:xfrm>
                      <a:prstGeom prst="roundRect">
                        <a:avLst/>
                      </a:prstGeom>
                      <a:gradFill flip="none" rotWithShape="1">
                        <a:gsLst>
                          <a:gs pos="0">
                            <a:schemeClr val="bg1">
                              <a:lumMod val="85000"/>
                              <a:shade val="30000"/>
                              <a:satMod val="115000"/>
                            </a:schemeClr>
                          </a:gs>
                          <a:gs pos="50000">
                            <a:schemeClr val="bg1">
                              <a:lumMod val="85000"/>
                              <a:shade val="67500"/>
                              <a:satMod val="115000"/>
                            </a:schemeClr>
                          </a:gs>
                          <a:gs pos="100000">
                            <a:schemeClr val="bg1">
                              <a:lumMod val="85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hAnsi="Verdana"/>
          <w:b/>
          <w:color w:val="4F81BD" w:themeColor="accent1"/>
          <w:sz w:val="24"/>
          <w:szCs w:val="24"/>
        </w:rPr>
        <w:t xml:space="preserve">  </w:t>
      </w:r>
      <w:r w:rsidR="00C310DF" w:rsidRPr="00C310DF">
        <w:rPr>
          <w:rFonts w:ascii="Verdana" w:hAnsi="Verdana"/>
          <w:b/>
          <w:color w:val="4F81BD" w:themeColor="accent1"/>
          <w:sz w:val="24"/>
          <w:szCs w:val="24"/>
        </w:rPr>
        <w:t>PQRS</w:t>
      </w:r>
    </w:p>
    <w:p w:rsidR="00C310DF" w:rsidRPr="00BC7F3F" w:rsidRDefault="00C310DF" w:rsidP="00C310DF">
      <w:pPr>
        <w:spacing w:after="0" w:line="240" w:lineRule="auto"/>
        <w:contextualSpacing/>
        <w:jc w:val="both"/>
        <w:rPr>
          <w:rFonts w:ascii="Verdana" w:hAnsi="Verdana"/>
          <w:sz w:val="24"/>
          <w:szCs w:val="24"/>
        </w:rPr>
      </w:pPr>
    </w:p>
    <w:p w:rsidR="00C310DF" w:rsidRPr="00BC7F3F" w:rsidRDefault="00C310DF" w:rsidP="00C310DF">
      <w:pPr>
        <w:spacing w:after="0" w:line="240" w:lineRule="auto"/>
        <w:contextualSpacing/>
        <w:jc w:val="both"/>
        <w:rPr>
          <w:rFonts w:ascii="Verdana" w:hAnsi="Verdana"/>
          <w:sz w:val="24"/>
          <w:szCs w:val="24"/>
          <w:lang w:val="es-MX"/>
        </w:rPr>
      </w:pPr>
      <w:r w:rsidRPr="00BC7F3F">
        <w:rPr>
          <w:rFonts w:ascii="Verdana" w:hAnsi="Verdana"/>
          <w:sz w:val="24"/>
          <w:szCs w:val="24"/>
          <w:lang w:val="es-MX"/>
        </w:rPr>
        <w:t>En el siguiente cuadro se presenta el resumen del trámite de las diferentes solicitudes radicadas en el CNMH:</w:t>
      </w:r>
    </w:p>
    <w:p w:rsidR="00C310DF" w:rsidRPr="00BC7F3F" w:rsidRDefault="00C310DF" w:rsidP="00C310DF">
      <w:pPr>
        <w:spacing w:after="0" w:line="240" w:lineRule="auto"/>
        <w:contextualSpacing/>
        <w:jc w:val="both"/>
        <w:rPr>
          <w:rFonts w:ascii="Verdana" w:hAnsi="Verdana"/>
          <w:sz w:val="24"/>
          <w:szCs w:val="24"/>
          <w:lang w:val="es-MX"/>
        </w:rPr>
      </w:pPr>
    </w:p>
    <w:tbl>
      <w:tblPr>
        <w:tblStyle w:val="Tabladecuadrcula4-nfasis11"/>
        <w:tblW w:w="5000" w:type="pct"/>
        <w:jc w:val="center"/>
        <w:tblLook w:val="04A0"/>
      </w:tblPr>
      <w:tblGrid>
        <w:gridCol w:w="5691"/>
        <w:gridCol w:w="1880"/>
        <w:gridCol w:w="2671"/>
      </w:tblGrid>
      <w:tr w:rsidR="00C310DF" w:rsidRPr="00BC7F3F" w:rsidTr="009D510B">
        <w:trPr>
          <w:cnfStyle w:val="100000000000"/>
          <w:trHeight w:val="315"/>
          <w:jc w:val="center"/>
        </w:trPr>
        <w:tc>
          <w:tcPr>
            <w:cnfStyle w:val="001000000000"/>
            <w:tcW w:w="2777" w:type="pct"/>
            <w:vAlign w:val="center"/>
            <w:hideMark/>
          </w:tcPr>
          <w:p w:rsidR="00C310DF" w:rsidRPr="00BC7F3F" w:rsidRDefault="00C310DF" w:rsidP="00C310DF">
            <w:pPr>
              <w:contextualSpacing/>
              <w:jc w:val="center"/>
              <w:rPr>
                <w:rFonts w:ascii="Verdana" w:hAnsi="Verdana"/>
                <w:bCs w:val="0"/>
                <w:sz w:val="24"/>
                <w:szCs w:val="24"/>
              </w:rPr>
            </w:pPr>
            <w:r w:rsidRPr="00BC7F3F">
              <w:rPr>
                <w:rFonts w:ascii="Verdana" w:hAnsi="Verdana"/>
                <w:bCs w:val="0"/>
                <w:sz w:val="24"/>
                <w:szCs w:val="24"/>
              </w:rPr>
              <w:t>PQRSD a 31 de diciembre de 2014</w:t>
            </w:r>
          </w:p>
        </w:tc>
        <w:tc>
          <w:tcPr>
            <w:tcW w:w="918" w:type="pct"/>
            <w:vAlign w:val="center"/>
            <w:hideMark/>
          </w:tcPr>
          <w:p w:rsidR="00C310DF" w:rsidRPr="00BC7F3F" w:rsidRDefault="00C310DF" w:rsidP="00C310DF">
            <w:pPr>
              <w:contextualSpacing/>
              <w:jc w:val="center"/>
              <w:cnfStyle w:val="100000000000"/>
              <w:rPr>
                <w:rFonts w:ascii="Verdana" w:hAnsi="Verdana"/>
                <w:bCs w:val="0"/>
                <w:sz w:val="24"/>
                <w:szCs w:val="24"/>
              </w:rPr>
            </w:pPr>
            <w:r w:rsidRPr="00BC7F3F">
              <w:rPr>
                <w:rFonts w:ascii="Verdana" w:hAnsi="Verdana"/>
                <w:bCs w:val="0"/>
                <w:sz w:val="24"/>
                <w:szCs w:val="24"/>
              </w:rPr>
              <w:t>No.</w:t>
            </w:r>
          </w:p>
        </w:tc>
        <w:tc>
          <w:tcPr>
            <w:tcW w:w="1304" w:type="pct"/>
            <w:vAlign w:val="center"/>
            <w:hideMark/>
          </w:tcPr>
          <w:p w:rsidR="00C310DF" w:rsidRPr="00BC7F3F" w:rsidRDefault="00C310DF" w:rsidP="00C310DF">
            <w:pPr>
              <w:contextualSpacing/>
              <w:jc w:val="center"/>
              <w:cnfStyle w:val="100000000000"/>
              <w:rPr>
                <w:rFonts w:ascii="Verdana" w:hAnsi="Verdana"/>
                <w:bCs w:val="0"/>
                <w:sz w:val="24"/>
                <w:szCs w:val="24"/>
              </w:rPr>
            </w:pPr>
            <w:r w:rsidRPr="00BC7F3F">
              <w:rPr>
                <w:rFonts w:ascii="Verdana" w:hAnsi="Verdana"/>
                <w:bCs w:val="0"/>
                <w:sz w:val="24"/>
                <w:szCs w:val="24"/>
              </w:rPr>
              <w:t>%</w:t>
            </w:r>
          </w:p>
        </w:tc>
      </w:tr>
      <w:tr w:rsidR="00C310DF" w:rsidRPr="00BC7F3F" w:rsidTr="009D510B">
        <w:trPr>
          <w:cnfStyle w:val="000000100000"/>
          <w:trHeight w:val="315"/>
          <w:jc w:val="center"/>
        </w:trPr>
        <w:tc>
          <w:tcPr>
            <w:cnfStyle w:val="001000000000"/>
            <w:tcW w:w="2777" w:type="pct"/>
            <w:vAlign w:val="center"/>
            <w:hideMark/>
          </w:tcPr>
          <w:p w:rsidR="00C310DF" w:rsidRPr="00BC7F3F" w:rsidRDefault="00C310DF" w:rsidP="00C310DF">
            <w:pPr>
              <w:contextualSpacing/>
              <w:rPr>
                <w:rFonts w:ascii="Verdana" w:hAnsi="Verdana"/>
                <w:b w:val="0"/>
                <w:color w:val="000000"/>
                <w:sz w:val="24"/>
                <w:szCs w:val="24"/>
              </w:rPr>
            </w:pPr>
            <w:r w:rsidRPr="00BC7F3F">
              <w:rPr>
                <w:rFonts w:ascii="Verdana" w:hAnsi="Verdana"/>
                <w:b w:val="0"/>
                <w:color w:val="000000"/>
                <w:sz w:val="24"/>
                <w:szCs w:val="24"/>
                <w:lang w:val="es-MX"/>
              </w:rPr>
              <w:t>Total tramitadas</w:t>
            </w:r>
          </w:p>
        </w:tc>
        <w:tc>
          <w:tcPr>
            <w:tcW w:w="918" w:type="pct"/>
            <w:vAlign w:val="center"/>
            <w:hideMark/>
          </w:tcPr>
          <w:p w:rsidR="00C310DF" w:rsidRPr="00BC7F3F" w:rsidRDefault="00C310DF" w:rsidP="00C310DF">
            <w:pPr>
              <w:contextualSpacing/>
              <w:jc w:val="center"/>
              <w:cnfStyle w:val="000000100000"/>
              <w:rPr>
                <w:rFonts w:ascii="Verdana" w:hAnsi="Verdana"/>
                <w:color w:val="000000"/>
                <w:sz w:val="24"/>
                <w:szCs w:val="24"/>
              </w:rPr>
            </w:pPr>
            <w:r w:rsidRPr="00BC7F3F">
              <w:rPr>
                <w:rFonts w:ascii="Verdana" w:hAnsi="Verdana"/>
                <w:color w:val="000000"/>
                <w:sz w:val="24"/>
                <w:szCs w:val="24"/>
                <w:lang w:val="es-MX"/>
              </w:rPr>
              <w:t>596</w:t>
            </w:r>
          </w:p>
        </w:tc>
        <w:tc>
          <w:tcPr>
            <w:tcW w:w="1304" w:type="pct"/>
            <w:vAlign w:val="center"/>
            <w:hideMark/>
          </w:tcPr>
          <w:p w:rsidR="00C310DF" w:rsidRPr="00BC7F3F" w:rsidRDefault="00C310DF" w:rsidP="00C310DF">
            <w:pPr>
              <w:contextualSpacing/>
              <w:jc w:val="center"/>
              <w:cnfStyle w:val="000000100000"/>
              <w:rPr>
                <w:rFonts w:ascii="Verdana" w:hAnsi="Verdana"/>
                <w:color w:val="000000"/>
                <w:sz w:val="24"/>
                <w:szCs w:val="24"/>
              </w:rPr>
            </w:pPr>
            <w:r w:rsidRPr="00BC7F3F">
              <w:rPr>
                <w:rFonts w:ascii="Verdana" w:hAnsi="Verdana"/>
                <w:color w:val="000000"/>
                <w:sz w:val="24"/>
                <w:szCs w:val="24"/>
                <w:lang w:val="es-MX"/>
              </w:rPr>
              <w:t>97%</w:t>
            </w:r>
          </w:p>
        </w:tc>
      </w:tr>
      <w:tr w:rsidR="00C310DF" w:rsidRPr="00BC7F3F" w:rsidTr="009D510B">
        <w:trPr>
          <w:trHeight w:val="315"/>
          <w:jc w:val="center"/>
        </w:trPr>
        <w:tc>
          <w:tcPr>
            <w:cnfStyle w:val="001000000000"/>
            <w:tcW w:w="2777" w:type="pct"/>
            <w:vAlign w:val="center"/>
            <w:hideMark/>
          </w:tcPr>
          <w:p w:rsidR="00C310DF" w:rsidRPr="00BC7F3F" w:rsidRDefault="00C310DF" w:rsidP="00C310DF">
            <w:pPr>
              <w:contextualSpacing/>
              <w:rPr>
                <w:rFonts w:ascii="Verdana" w:hAnsi="Verdana"/>
                <w:b w:val="0"/>
                <w:color w:val="000000"/>
                <w:sz w:val="24"/>
                <w:szCs w:val="24"/>
              </w:rPr>
            </w:pPr>
            <w:r w:rsidRPr="00BC7F3F">
              <w:rPr>
                <w:rFonts w:ascii="Verdana" w:hAnsi="Verdana"/>
                <w:b w:val="0"/>
                <w:color w:val="000000"/>
                <w:sz w:val="24"/>
                <w:szCs w:val="24"/>
                <w:lang w:val="es-MX"/>
              </w:rPr>
              <w:t>Pendientes de Respuesta</w:t>
            </w:r>
          </w:p>
        </w:tc>
        <w:tc>
          <w:tcPr>
            <w:tcW w:w="918" w:type="pct"/>
            <w:vAlign w:val="center"/>
            <w:hideMark/>
          </w:tcPr>
          <w:p w:rsidR="00C310DF" w:rsidRPr="00BC7F3F" w:rsidRDefault="00C310DF" w:rsidP="00C310DF">
            <w:pPr>
              <w:contextualSpacing/>
              <w:jc w:val="center"/>
              <w:cnfStyle w:val="000000000000"/>
              <w:rPr>
                <w:rFonts w:ascii="Verdana" w:hAnsi="Verdana"/>
                <w:color w:val="000000"/>
                <w:sz w:val="24"/>
                <w:szCs w:val="24"/>
              </w:rPr>
            </w:pPr>
            <w:r w:rsidRPr="00BC7F3F">
              <w:rPr>
                <w:rFonts w:ascii="Verdana" w:hAnsi="Verdana"/>
                <w:color w:val="000000"/>
                <w:sz w:val="24"/>
                <w:szCs w:val="24"/>
                <w:lang w:val="es-MX"/>
              </w:rPr>
              <w:t>12</w:t>
            </w:r>
          </w:p>
        </w:tc>
        <w:tc>
          <w:tcPr>
            <w:tcW w:w="1304" w:type="pct"/>
            <w:vAlign w:val="center"/>
            <w:hideMark/>
          </w:tcPr>
          <w:p w:rsidR="00C310DF" w:rsidRPr="00BC7F3F" w:rsidRDefault="00C310DF" w:rsidP="00C310DF">
            <w:pPr>
              <w:contextualSpacing/>
              <w:jc w:val="center"/>
              <w:cnfStyle w:val="000000000000"/>
              <w:rPr>
                <w:rFonts w:ascii="Verdana" w:hAnsi="Verdana"/>
                <w:color w:val="000000"/>
                <w:sz w:val="24"/>
                <w:szCs w:val="24"/>
              </w:rPr>
            </w:pPr>
            <w:r w:rsidRPr="00BC7F3F">
              <w:rPr>
                <w:rFonts w:ascii="Verdana" w:hAnsi="Verdana"/>
                <w:color w:val="000000"/>
                <w:sz w:val="24"/>
                <w:szCs w:val="24"/>
                <w:lang w:val="es-MX"/>
              </w:rPr>
              <w:t>2%</w:t>
            </w:r>
          </w:p>
        </w:tc>
      </w:tr>
      <w:tr w:rsidR="00C310DF" w:rsidRPr="00BC7F3F" w:rsidTr="009D510B">
        <w:trPr>
          <w:cnfStyle w:val="000000100000"/>
          <w:trHeight w:val="315"/>
          <w:jc w:val="center"/>
        </w:trPr>
        <w:tc>
          <w:tcPr>
            <w:cnfStyle w:val="001000000000"/>
            <w:tcW w:w="2777" w:type="pct"/>
            <w:vAlign w:val="center"/>
            <w:hideMark/>
          </w:tcPr>
          <w:p w:rsidR="00C310DF" w:rsidRPr="00BC7F3F" w:rsidRDefault="00C310DF" w:rsidP="00C310DF">
            <w:pPr>
              <w:contextualSpacing/>
              <w:rPr>
                <w:rFonts w:ascii="Verdana" w:hAnsi="Verdana"/>
                <w:b w:val="0"/>
                <w:color w:val="000000"/>
                <w:sz w:val="24"/>
                <w:szCs w:val="24"/>
              </w:rPr>
            </w:pPr>
            <w:r w:rsidRPr="00BC7F3F">
              <w:rPr>
                <w:rFonts w:ascii="Verdana" w:hAnsi="Verdana"/>
                <w:b w:val="0"/>
                <w:color w:val="000000"/>
                <w:sz w:val="24"/>
                <w:szCs w:val="24"/>
                <w:lang w:val="es-MX"/>
              </w:rPr>
              <w:t>No requieren respuesta</w:t>
            </w:r>
          </w:p>
        </w:tc>
        <w:tc>
          <w:tcPr>
            <w:tcW w:w="918" w:type="pct"/>
            <w:vAlign w:val="center"/>
            <w:hideMark/>
          </w:tcPr>
          <w:p w:rsidR="00C310DF" w:rsidRPr="00BC7F3F" w:rsidRDefault="00C310DF" w:rsidP="00C310DF">
            <w:pPr>
              <w:contextualSpacing/>
              <w:jc w:val="center"/>
              <w:cnfStyle w:val="000000100000"/>
              <w:rPr>
                <w:rFonts w:ascii="Verdana" w:hAnsi="Verdana"/>
                <w:color w:val="000000"/>
                <w:sz w:val="24"/>
                <w:szCs w:val="24"/>
              </w:rPr>
            </w:pPr>
            <w:r w:rsidRPr="00BC7F3F">
              <w:rPr>
                <w:rFonts w:ascii="Verdana" w:hAnsi="Verdana"/>
                <w:color w:val="000000"/>
                <w:sz w:val="24"/>
                <w:szCs w:val="24"/>
                <w:lang w:val="es-MX"/>
              </w:rPr>
              <w:t>4</w:t>
            </w:r>
          </w:p>
        </w:tc>
        <w:tc>
          <w:tcPr>
            <w:tcW w:w="1304" w:type="pct"/>
            <w:vAlign w:val="center"/>
            <w:hideMark/>
          </w:tcPr>
          <w:p w:rsidR="00C310DF" w:rsidRPr="00BC7F3F" w:rsidRDefault="00C310DF" w:rsidP="00C310DF">
            <w:pPr>
              <w:contextualSpacing/>
              <w:jc w:val="center"/>
              <w:cnfStyle w:val="000000100000"/>
              <w:rPr>
                <w:rFonts w:ascii="Verdana" w:hAnsi="Verdana"/>
                <w:color w:val="000000"/>
                <w:sz w:val="24"/>
                <w:szCs w:val="24"/>
              </w:rPr>
            </w:pPr>
            <w:r w:rsidRPr="00BC7F3F">
              <w:rPr>
                <w:rFonts w:ascii="Verdana" w:hAnsi="Verdana"/>
                <w:color w:val="000000"/>
                <w:sz w:val="24"/>
                <w:szCs w:val="24"/>
                <w:lang w:val="es-MX"/>
              </w:rPr>
              <w:t>1%</w:t>
            </w:r>
          </w:p>
        </w:tc>
      </w:tr>
      <w:tr w:rsidR="00C310DF" w:rsidRPr="00BC7F3F" w:rsidTr="009D510B">
        <w:trPr>
          <w:trHeight w:val="315"/>
          <w:jc w:val="center"/>
        </w:trPr>
        <w:tc>
          <w:tcPr>
            <w:cnfStyle w:val="001000000000"/>
            <w:tcW w:w="2777" w:type="pct"/>
            <w:vAlign w:val="center"/>
            <w:hideMark/>
          </w:tcPr>
          <w:p w:rsidR="00C310DF" w:rsidRPr="00BC7F3F" w:rsidRDefault="00C310DF" w:rsidP="00C310DF">
            <w:pPr>
              <w:contextualSpacing/>
              <w:rPr>
                <w:rFonts w:ascii="Verdana" w:hAnsi="Verdana"/>
                <w:b w:val="0"/>
                <w:bCs w:val="0"/>
                <w:color w:val="000000"/>
                <w:sz w:val="24"/>
                <w:szCs w:val="24"/>
              </w:rPr>
            </w:pPr>
            <w:r w:rsidRPr="00BC7F3F">
              <w:rPr>
                <w:rFonts w:ascii="Verdana" w:hAnsi="Verdana"/>
                <w:b w:val="0"/>
                <w:bCs w:val="0"/>
                <w:color w:val="000000"/>
                <w:sz w:val="24"/>
                <w:szCs w:val="24"/>
                <w:lang w:val="es-MX"/>
              </w:rPr>
              <w:t>Total recibidos PQRSD</w:t>
            </w:r>
          </w:p>
        </w:tc>
        <w:tc>
          <w:tcPr>
            <w:tcW w:w="918" w:type="pct"/>
            <w:vAlign w:val="center"/>
            <w:hideMark/>
          </w:tcPr>
          <w:p w:rsidR="00C310DF" w:rsidRPr="00BC7F3F" w:rsidRDefault="00C310DF" w:rsidP="00C310DF">
            <w:pPr>
              <w:contextualSpacing/>
              <w:jc w:val="center"/>
              <w:cnfStyle w:val="000000000000"/>
              <w:rPr>
                <w:rFonts w:ascii="Verdana" w:hAnsi="Verdana"/>
                <w:b/>
                <w:bCs/>
                <w:color w:val="000000"/>
                <w:sz w:val="24"/>
                <w:szCs w:val="24"/>
              </w:rPr>
            </w:pPr>
            <w:r w:rsidRPr="00BC7F3F">
              <w:rPr>
                <w:rFonts w:ascii="Verdana" w:hAnsi="Verdana"/>
                <w:b/>
                <w:bCs/>
                <w:color w:val="000000"/>
                <w:sz w:val="24"/>
                <w:szCs w:val="24"/>
                <w:lang w:val="es-MX"/>
              </w:rPr>
              <w:t>612</w:t>
            </w:r>
          </w:p>
        </w:tc>
        <w:tc>
          <w:tcPr>
            <w:tcW w:w="1304" w:type="pct"/>
            <w:vAlign w:val="center"/>
            <w:hideMark/>
          </w:tcPr>
          <w:p w:rsidR="00C310DF" w:rsidRPr="00BC7F3F" w:rsidRDefault="00C310DF" w:rsidP="00C310DF">
            <w:pPr>
              <w:contextualSpacing/>
              <w:jc w:val="center"/>
              <w:cnfStyle w:val="000000000000"/>
              <w:rPr>
                <w:rFonts w:ascii="Verdana" w:hAnsi="Verdana"/>
                <w:b/>
                <w:bCs/>
                <w:color w:val="000000"/>
                <w:sz w:val="24"/>
                <w:szCs w:val="24"/>
              </w:rPr>
            </w:pPr>
            <w:r w:rsidRPr="00BC7F3F">
              <w:rPr>
                <w:rFonts w:ascii="Verdana" w:hAnsi="Verdana"/>
                <w:b/>
                <w:bCs/>
                <w:color w:val="000000"/>
                <w:sz w:val="24"/>
                <w:szCs w:val="24"/>
                <w:lang w:val="es-MX"/>
              </w:rPr>
              <w:t>100%</w:t>
            </w:r>
          </w:p>
        </w:tc>
      </w:tr>
    </w:tbl>
    <w:p w:rsidR="00C310DF" w:rsidRPr="00BC7F3F" w:rsidRDefault="00C310DF" w:rsidP="00C310DF">
      <w:pPr>
        <w:spacing w:after="0" w:line="240" w:lineRule="auto"/>
        <w:contextualSpacing/>
        <w:jc w:val="both"/>
        <w:rPr>
          <w:rFonts w:ascii="Verdana" w:hAnsi="Verdana"/>
          <w:sz w:val="24"/>
          <w:szCs w:val="24"/>
          <w:lang w:val="es-MX"/>
        </w:rPr>
      </w:pPr>
    </w:p>
    <w:p w:rsidR="00C310DF" w:rsidRPr="00BC7F3F" w:rsidRDefault="00C310DF" w:rsidP="00C310DF">
      <w:pPr>
        <w:shd w:val="clear" w:color="auto" w:fill="FFFFFF"/>
        <w:spacing w:after="0" w:line="240" w:lineRule="auto"/>
        <w:contextualSpacing/>
        <w:jc w:val="both"/>
        <w:rPr>
          <w:rFonts w:ascii="Verdana" w:eastAsia="Arial" w:hAnsi="Verdana"/>
          <w:sz w:val="24"/>
          <w:szCs w:val="24"/>
        </w:rPr>
      </w:pPr>
      <w:r w:rsidRPr="00BC7F3F">
        <w:rPr>
          <w:rFonts w:ascii="Verdana" w:eastAsia="Arial" w:hAnsi="Verdana"/>
          <w:sz w:val="24"/>
          <w:szCs w:val="24"/>
        </w:rPr>
        <w:t xml:space="preserve">Los temas de mayor consulta en el Centro son: i) solicitud apoyo iniciativas de memoria; ii) de reconocimiento, recuperación, conformación y creación de </w:t>
      </w:r>
      <w:r w:rsidRPr="00BC7F3F">
        <w:rPr>
          <w:rFonts w:ascii="Verdana" w:eastAsia="Arial" w:hAnsi="Verdana"/>
          <w:sz w:val="24"/>
          <w:szCs w:val="24"/>
        </w:rPr>
        <w:lastRenderedPageBreak/>
        <w:t>memoria histórica; iii) museo de la Memoria; iv) solicitud de charlas a colegios y universidades de los informes; v) solicitud de visitas guiadas al CNMH (específicamente el Basta Ya) y vi) solicitud de avances de la Ley 1424 de 2010. En el Anexo 3 se presenta un informe mensualizado de las solicitudes recibidas y atendidas, además del listado de preguntas frecuentes identificadas y publicadas en página web.</w:t>
      </w:r>
    </w:p>
    <w:p w:rsidR="00E67EC2" w:rsidRDefault="00E67EC2" w:rsidP="00B46760">
      <w:pPr>
        <w:spacing w:after="0" w:line="240" w:lineRule="auto"/>
        <w:jc w:val="both"/>
        <w:rPr>
          <w:rFonts w:ascii="Verdana" w:hAnsi="Verdana"/>
          <w:sz w:val="24"/>
          <w:szCs w:val="24"/>
        </w:rPr>
      </w:pPr>
    </w:p>
    <w:p w:rsidR="00CE5E8F" w:rsidRDefault="00CE5E8F" w:rsidP="00CE5E8F">
      <w:pPr>
        <w:pStyle w:val="Prrafodelista"/>
        <w:spacing w:after="0" w:line="240" w:lineRule="auto"/>
        <w:ind w:left="1080"/>
        <w:rPr>
          <w:rFonts w:ascii="Verdana" w:hAnsi="Verdana"/>
          <w:b/>
          <w:color w:val="4F81BD" w:themeColor="accent1"/>
          <w:sz w:val="24"/>
          <w:szCs w:val="24"/>
        </w:rPr>
      </w:pPr>
    </w:p>
    <w:p w:rsidR="007D5E94" w:rsidRDefault="007D5E94" w:rsidP="004A4C17">
      <w:pPr>
        <w:spacing w:after="0" w:line="240" w:lineRule="auto"/>
        <w:jc w:val="both"/>
        <w:rPr>
          <w:rFonts w:ascii="Verdana" w:hAnsi="Verdana"/>
          <w:b/>
          <w:bCs/>
          <w:color w:val="548DD4" w:themeColor="text2" w:themeTint="99"/>
          <w:sz w:val="40"/>
          <w:szCs w:val="40"/>
        </w:rPr>
      </w:pPr>
    </w:p>
    <w:p w:rsidR="007D5E94" w:rsidRDefault="00406876" w:rsidP="004A4C17">
      <w:pPr>
        <w:spacing w:after="0" w:line="240" w:lineRule="auto"/>
        <w:jc w:val="both"/>
        <w:rPr>
          <w:rFonts w:ascii="Verdana" w:hAnsi="Verdana"/>
          <w:b/>
          <w:bCs/>
          <w:color w:val="548DD4" w:themeColor="text2" w:themeTint="99"/>
          <w:sz w:val="40"/>
          <w:szCs w:val="40"/>
        </w:rPr>
      </w:pPr>
      <w:r w:rsidRPr="00406876">
        <w:rPr>
          <w:rFonts w:ascii="Verdana" w:hAnsi="Verdana"/>
          <w:b/>
          <w:bCs/>
          <w:noProof/>
          <w:color w:val="548DD4" w:themeColor="text2" w:themeTint="99"/>
          <w:sz w:val="40"/>
          <w:szCs w:val="40"/>
          <w:lang w:eastAsia="es-CO"/>
        </w:rPr>
        <w:drawing>
          <wp:anchor distT="0" distB="0" distL="114300" distR="114300" simplePos="0" relativeHeight="251763712" behindDoc="0" locked="0" layoutInCell="1" allowOverlap="1">
            <wp:simplePos x="0" y="0"/>
            <wp:positionH relativeFrom="column">
              <wp:posOffset>6680835</wp:posOffset>
            </wp:positionH>
            <wp:positionV relativeFrom="paragraph">
              <wp:posOffset>5697220</wp:posOffset>
            </wp:positionV>
            <wp:extent cx="504825" cy="361950"/>
            <wp:effectExtent l="19050" t="0" r="0" b="0"/>
            <wp:wrapThrough wrapText="bothSides">
              <wp:wrapPolygon edited="0">
                <wp:start x="-816" y="0"/>
                <wp:lineTo x="-816" y="20718"/>
                <wp:lineTo x="21219" y="20718"/>
                <wp:lineTo x="21219" y="0"/>
                <wp:lineTo x="-816" y="0"/>
              </wp:wrapPolygon>
            </wp:wrapThrough>
            <wp:docPr id="93" name="Objeto 10">
              <a:hlinkClick xmlns:a="http://schemas.openxmlformats.org/drawingml/2006/main" r:id="rId62" tooltip="Ir a la pagina de CONTENIDO."/>
            </wp:docPr>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4056" cy="360040"/>
                      <a:chOff x="683568" y="5517232"/>
                      <a:chExt cx="504056" cy="360040"/>
                    </a:xfrm>
                  </a:grpSpPr>
                  <a:sp>
                    <a:nvSpPr>
                      <a:cNvPr id="36" name="35 Botón de acción: Inicio"/>
                      <a:cNvSpPr/>
                    </a:nvSpPr>
                    <a:spPr>
                      <a:xfrm>
                        <a:off x="683568" y="5517232"/>
                        <a:ext cx="504056" cy="360040"/>
                      </a:xfrm>
                      <a:prstGeom prst="actionButtonHome">
                        <a:avLst/>
                      </a:prstGeom>
                      <a:solidFill>
                        <a:schemeClr val="accent5">
                          <a:lumMod val="60000"/>
                          <a:lumOff val="40000"/>
                        </a:schemeClr>
                      </a:soli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7D5E94" w:rsidRDefault="007D5E94" w:rsidP="004A4C17">
      <w:pPr>
        <w:spacing w:after="0" w:line="240" w:lineRule="auto"/>
        <w:jc w:val="both"/>
        <w:rPr>
          <w:rFonts w:ascii="Verdana" w:hAnsi="Verdana"/>
          <w:b/>
          <w:bCs/>
          <w:color w:val="548DD4" w:themeColor="text2" w:themeTint="99"/>
          <w:sz w:val="40"/>
          <w:szCs w:val="40"/>
        </w:rPr>
      </w:pPr>
    </w:p>
    <w:p w:rsidR="007D5E94" w:rsidRDefault="007D5E94" w:rsidP="004A4C17">
      <w:pPr>
        <w:spacing w:after="0" w:line="240" w:lineRule="auto"/>
        <w:jc w:val="both"/>
        <w:rPr>
          <w:rFonts w:ascii="Verdana" w:hAnsi="Verdana"/>
          <w:b/>
          <w:bCs/>
          <w:color w:val="548DD4" w:themeColor="text2" w:themeTint="99"/>
          <w:sz w:val="40"/>
          <w:szCs w:val="40"/>
        </w:rPr>
      </w:pPr>
    </w:p>
    <w:p w:rsidR="007D5E94" w:rsidRDefault="007D5E94" w:rsidP="004A4C17">
      <w:pPr>
        <w:spacing w:after="0" w:line="240" w:lineRule="auto"/>
        <w:jc w:val="both"/>
        <w:rPr>
          <w:rFonts w:ascii="Verdana" w:hAnsi="Verdana"/>
          <w:b/>
          <w:bCs/>
          <w:color w:val="548DD4" w:themeColor="text2" w:themeTint="99"/>
          <w:sz w:val="40"/>
          <w:szCs w:val="40"/>
        </w:rPr>
      </w:pPr>
    </w:p>
    <w:p w:rsidR="007D5E94" w:rsidRPr="004A4C17" w:rsidRDefault="007D5E94" w:rsidP="004A4C17">
      <w:pPr>
        <w:spacing w:after="0" w:line="240" w:lineRule="auto"/>
        <w:jc w:val="both"/>
        <w:rPr>
          <w:rFonts w:ascii="Verdana" w:hAnsi="Verdana" w:cs="Futura Bk BT"/>
          <w:color w:val="548DD4" w:themeColor="text2" w:themeTint="99"/>
          <w:sz w:val="28"/>
        </w:rPr>
      </w:pPr>
    </w:p>
    <w:p w:rsidR="004A4C17" w:rsidRDefault="004A4C17" w:rsidP="004A4C17">
      <w:pPr>
        <w:pStyle w:val="Prrafodelista"/>
        <w:spacing w:after="0" w:line="240" w:lineRule="auto"/>
        <w:ind w:left="1710"/>
        <w:jc w:val="both"/>
        <w:rPr>
          <w:rFonts w:ascii="Verdana" w:hAnsi="Verdana" w:cs="Futura Bk BT"/>
          <w:color w:val="548DD4" w:themeColor="text2" w:themeTint="99"/>
          <w:sz w:val="28"/>
        </w:rPr>
      </w:pPr>
    </w:p>
    <w:p w:rsidR="007D5E94" w:rsidRDefault="007D5E94" w:rsidP="004A4C17">
      <w:pPr>
        <w:spacing w:after="0" w:line="240" w:lineRule="auto"/>
        <w:jc w:val="both"/>
        <w:rPr>
          <w:rFonts w:ascii="Verdana" w:hAnsi="Verdana"/>
          <w:b/>
          <w:bCs/>
          <w:color w:val="548DD4" w:themeColor="text2" w:themeTint="99"/>
          <w:sz w:val="40"/>
          <w:szCs w:val="40"/>
        </w:rPr>
      </w:pPr>
    </w:p>
    <w:p w:rsidR="00B410EA" w:rsidRDefault="00B410EA">
      <w:pPr>
        <w:rPr>
          <w:rFonts w:ascii="Verdana" w:hAnsi="Verdana"/>
          <w:b/>
          <w:bCs/>
          <w:color w:val="548DD4" w:themeColor="text2" w:themeTint="99"/>
          <w:sz w:val="40"/>
          <w:szCs w:val="40"/>
        </w:rPr>
      </w:pPr>
      <w:r>
        <w:rPr>
          <w:rFonts w:ascii="Verdana" w:hAnsi="Verdana"/>
          <w:b/>
          <w:bCs/>
          <w:color w:val="548DD4" w:themeColor="text2" w:themeTint="99"/>
          <w:sz w:val="40"/>
          <w:szCs w:val="40"/>
        </w:rPr>
        <w:br w:type="page"/>
      </w:r>
    </w:p>
    <w:p w:rsidR="007D5E94" w:rsidRDefault="007D5E94" w:rsidP="004A4C17">
      <w:pPr>
        <w:spacing w:after="0" w:line="240" w:lineRule="auto"/>
        <w:jc w:val="both"/>
        <w:rPr>
          <w:rFonts w:ascii="Verdana" w:hAnsi="Verdana"/>
          <w:b/>
          <w:bCs/>
          <w:color w:val="548DD4" w:themeColor="text2" w:themeTint="99"/>
          <w:sz w:val="40"/>
          <w:szCs w:val="40"/>
        </w:rPr>
      </w:pPr>
    </w:p>
    <w:p w:rsidR="00B410EA" w:rsidRDefault="00B410EA" w:rsidP="004A4C17">
      <w:pPr>
        <w:spacing w:after="0" w:line="240" w:lineRule="auto"/>
        <w:jc w:val="both"/>
        <w:rPr>
          <w:rFonts w:ascii="Verdana" w:hAnsi="Verdana"/>
          <w:b/>
          <w:bCs/>
          <w:color w:val="548DD4" w:themeColor="text2" w:themeTint="99"/>
          <w:sz w:val="40"/>
          <w:szCs w:val="40"/>
        </w:rPr>
      </w:pPr>
    </w:p>
    <w:p w:rsidR="00B410EA" w:rsidRDefault="00B410EA" w:rsidP="004A4C17">
      <w:pPr>
        <w:spacing w:after="0" w:line="240" w:lineRule="auto"/>
        <w:jc w:val="both"/>
        <w:rPr>
          <w:rFonts w:ascii="Verdana" w:hAnsi="Verdana"/>
          <w:b/>
          <w:bCs/>
          <w:color w:val="548DD4" w:themeColor="text2" w:themeTint="99"/>
          <w:sz w:val="40"/>
          <w:szCs w:val="40"/>
        </w:rPr>
      </w:pPr>
    </w:p>
    <w:p w:rsidR="00B410EA" w:rsidRDefault="00B410EA" w:rsidP="004A4C17">
      <w:pPr>
        <w:spacing w:after="0" w:line="240" w:lineRule="auto"/>
        <w:jc w:val="both"/>
        <w:rPr>
          <w:rFonts w:ascii="Verdana" w:hAnsi="Verdana"/>
          <w:b/>
          <w:bCs/>
          <w:color w:val="548DD4" w:themeColor="text2" w:themeTint="99"/>
          <w:sz w:val="40"/>
          <w:szCs w:val="40"/>
        </w:rPr>
      </w:pPr>
    </w:p>
    <w:p w:rsidR="00B410EA" w:rsidRDefault="00B410EA" w:rsidP="004A4C17">
      <w:pPr>
        <w:spacing w:after="0" w:line="240" w:lineRule="auto"/>
        <w:jc w:val="both"/>
        <w:rPr>
          <w:rFonts w:ascii="Verdana" w:hAnsi="Verdana"/>
          <w:b/>
          <w:bCs/>
          <w:color w:val="548DD4" w:themeColor="text2" w:themeTint="99"/>
          <w:sz w:val="40"/>
          <w:szCs w:val="40"/>
        </w:rPr>
      </w:pPr>
    </w:p>
    <w:p w:rsidR="00B410EA" w:rsidRDefault="00B410EA" w:rsidP="004A4C17">
      <w:pPr>
        <w:spacing w:after="0" w:line="240" w:lineRule="auto"/>
        <w:jc w:val="both"/>
        <w:rPr>
          <w:rFonts w:ascii="Verdana" w:hAnsi="Verdana"/>
          <w:b/>
          <w:bCs/>
          <w:color w:val="548DD4" w:themeColor="text2" w:themeTint="99"/>
          <w:sz w:val="40"/>
          <w:szCs w:val="40"/>
        </w:rPr>
      </w:pPr>
    </w:p>
    <w:p w:rsidR="00B410EA" w:rsidRDefault="00B410EA" w:rsidP="004A4C17">
      <w:pPr>
        <w:spacing w:after="0" w:line="240" w:lineRule="auto"/>
        <w:jc w:val="both"/>
        <w:rPr>
          <w:rFonts w:ascii="Verdana" w:hAnsi="Verdana"/>
          <w:b/>
          <w:bCs/>
          <w:color w:val="548DD4" w:themeColor="text2" w:themeTint="99"/>
          <w:sz w:val="40"/>
          <w:szCs w:val="40"/>
        </w:rPr>
      </w:pPr>
    </w:p>
    <w:p w:rsidR="00B410EA" w:rsidRDefault="00B410EA" w:rsidP="004A4C17">
      <w:pPr>
        <w:spacing w:after="0" w:line="240" w:lineRule="auto"/>
        <w:jc w:val="both"/>
        <w:rPr>
          <w:rFonts w:ascii="Verdana" w:hAnsi="Verdana"/>
          <w:b/>
          <w:bCs/>
          <w:color w:val="548DD4" w:themeColor="text2" w:themeTint="99"/>
          <w:sz w:val="40"/>
          <w:szCs w:val="40"/>
        </w:rPr>
      </w:pPr>
    </w:p>
    <w:p w:rsidR="00B410EA" w:rsidRDefault="00B410EA" w:rsidP="004A4C17">
      <w:pPr>
        <w:spacing w:after="0" w:line="240" w:lineRule="auto"/>
        <w:jc w:val="both"/>
        <w:rPr>
          <w:rFonts w:ascii="Verdana" w:hAnsi="Verdana"/>
          <w:b/>
          <w:bCs/>
          <w:color w:val="548DD4" w:themeColor="text2" w:themeTint="99"/>
          <w:sz w:val="40"/>
          <w:szCs w:val="40"/>
        </w:rPr>
      </w:pPr>
    </w:p>
    <w:p w:rsidR="004A4C17" w:rsidRPr="004A4C17" w:rsidRDefault="00126BC7" w:rsidP="004A4C17">
      <w:pPr>
        <w:spacing w:after="0" w:line="240" w:lineRule="auto"/>
        <w:jc w:val="both"/>
        <w:rPr>
          <w:rFonts w:ascii="Verdana" w:hAnsi="Verdana" w:cs="Futura Bk BT"/>
          <w:color w:val="548DD4" w:themeColor="text2" w:themeTint="99"/>
          <w:sz w:val="28"/>
        </w:rPr>
      </w:pPr>
      <w:r>
        <w:rPr>
          <w:rFonts w:ascii="Verdana" w:hAnsi="Verdana"/>
          <w:b/>
          <w:bCs/>
          <w:color w:val="548DD4" w:themeColor="text2" w:themeTint="99"/>
          <w:sz w:val="40"/>
          <w:szCs w:val="40"/>
        </w:rPr>
        <w:t>V</w:t>
      </w:r>
      <w:r w:rsidR="004A4C17" w:rsidRPr="004A4C17">
        <w:rPr>
          <w:rFonts w:ascii="Verdana" w:hAnsi="Verdana"/>
          <w:b/>
          <w:bCs/>
          <w:color w:val="548DD4" w:themeColor="text2" w:themeTint="99"/>
          <w:sz w:val="40"/>
          <w:szCs w:val="40"/>
        </w:rPr>
        <w:t xml:space="preserve">. </w:t>
      </w:r>
      <w:r>
        <w:rPr>
          <w:rFonts w:ascii="Verdana" w:hAnsi="Verdana"/>
          <w:b/>
          <w:bCs/>
          <w:color w:val="548DD4" w:themeColor="text2" w:themeTint="99"/>
          <w:sz w:val="40"/>
          <w:szCs w:val="40"/>
        </w:rPr>
        <w:t xml:space="preserve"> </w:t>
      </w:r>
      <w:bookmarkStart w:id="131" w:name="UACT"/>
      <w:r>
        <w:rPr>
          <w:rFonts w:ascii="Verdana" w:hAnsi="Verdana"/>
          <w:b/>
          <w:bCs/>
          <w:color w:val="548DD4" w:themeColor="text2" w:themeTint="99"/>
          <w:sz w:val="40"/>
          <w:szCs w:val="40"/>
        </w:rPr>
        <w:t xml:space="preserve">UNIDAD </w:t>
      </w:r>
      <w:r w:rsidR="007D5E94">
        <w:rPr>
          <w:rFonts w:ascii="Verdana" w:hAnsi="Verdana"/>
          <w:b/>
          <w:bCs/>
          <w:color w:val="548DD4" w:themeColor="text2" w:themeTint="99"/>
          <w:sz w:val="40"/>
          <w:szCs w:val="40"/>
        </w:rPr>
        <w:t>ADMINISTRATIVA ESPECIAL PARA LA CONSOLIDACION TERRITORIAL</w:t>
      </w:r>
      <w:r>
        <w:rPr>
          <w:rFonts w:ascii="Verdana" w:hAnsi="Verdana"/>
          <w:b/>
          <w:bCs/>
          <w:color w:val="548DD4" w:themeColor="text2" w:themeTint="99"/>
          <w:sz w:val="40"/>
          <w:szCs w:val="40"/>
        </w:rPr>
        <w:t xml:space="preserve">   - UACT</w:t>
      </w:r>
    </w:p>
    <w:bookmarkEnd w:id="131"/>
    <w:p w:rsidR="004A4C17" w:rsidRDefault="00C272DA" w:rsidP="004A4C17">
      <w:pPr>
        <w:pStyle w:val="Prrafodelista"/>
        <w:spacing w:after="0" w:line="240" w:lineRule="auto"/>
        <w:ind w:left="1710"/>
        <w:jc w:val="both"/>
        <w:rPr>
          <w:rFonts w:ascii="Verdana" w:hAnsi="Verdana" w:cs="Futura Bk BT"/>
          <w:color w:val="548DD4" w:themeColor="text2" w:themeTint="99"/>
          <w:sz w:val="28"/>
        </w:rPr>
      </w:pPr>
      <w:r>
        <w:rPr>
          <w:rFonts w:ascii="Verdana" w:hAnsi="Verdana" w:cs="Futura Bk BT"/>
          <w:noProof/>
          <w:color w:val="548DD4" w:themeColor="text2" w:themeTint="99"/>
          <w:sz w:val="28"/>
          <w:lang w:eastAsia="es-CO"/>
        </w:rPr>
        <w:drawing>
          <wp:anchor distT="0" distB="0" distL="114300" distR="114300" simplePos="0" relativeHeight="251709440" behindDoc="0" locked="0" layoutInCell="1" allowOverlap="1">
            <wp:simplePos x="0" y="0"/>
            <wp:positionH relativeFrom="column">
              <wp:posOffset>1987550</wp:posOffset>
            </wp:positionH>
            <wp:positionV relativeFrom="paragraph">
              <wp:posOffset>172720</wp:posOffset>
            </wp:positionV>
            <wp:extent cx="2355850" cy="1320800"/>
            <wp:effectExtent l="19050" t="0" r="6350" b="0"/>
            <wp:wrapThrough wrapText="bothSides">
              <wp:wrapPolygon edited="0">
                <wp:start x="-175" y="0"/>
                <wp:lineTo x="-175" y="21185"/>
                <wp:lineTo x="21658" y="21185"/>
                <wp:lineTo x="21658" y="0"/>
                <wp:lineTo x="-175" y="0"/>
              </wp:wrapPolygon>
            </wp:wrapThrough>
            <wp:docPr id="5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355850" cy="1320800"/>
                    </a:xfrm>
                    <a:prstGeom prst="rect">
                      <a:avLst/>
                    </a:prstGeom>
                    <a:noFill/>
                    <a:ln w="9525">
                      <a:noFill/>
                      <a:miter lim="800000"/>
                      <a:headEnd/>
                      <a:tailEnd/>
                    </a:ln>
                  </pic:spPr>
                </pic:pic>
              </a:graphicData>
            </a:graphic>
          </wp:anchor>
        </w:drawing>
      </w:r>
    </w:p>
    <w:p w:rsidR="007D5E94" w:rsidRDefault="007D5E94" w:rsidP="004A4C17">
      <w:pPr>
        <w:spacing w:after="0" w:line="240" w:lineRule="auto"/>
        <w:jc w:val="both"/>
        <w:rPr>
          <w:rFonts w:ascii="Verdana" w:hAnsi="Verdana"/>
          <w:b/>
          <w:bCs/>
          <w:color w:val="548DD4" w:themeColor="text2" w:themeTint="99"/>
          <w:sz w:val="40"/>
          <w:szCs w:val="40"/>
        </w:rPr>
      </w:pPr>
    </w:p>
    <w:p w:rsidR="007D5E94" w:rsidRDefault="007D5E94" w:rsidP="004A4C17">
      <w:pPr>
        <w:spacing w:after="0" w:line="240" w:lineRule="auto"/>
        <w:jc w:val="both"/>
        <w:rPr>
          <w:rFonts w:ascii="Verdana" w:hAnsi="Verdana"/>
          <w:b/>
          <w:bCs/>
          <w:color w:val="548DD4" w:themeColor="text2" w:themeTint="99"/>
          <w:sz w:val="40"/>
          <w:szCs w:val="40"/>
        </w:rPr>
      </w:pPr>
    </w:p>
    <w:p w:rsidR="007D5E94" w:rsidRDefault="007D5E94" w:rsidP="004A4C17">
      <w:pPr>
        <w:spacing w:after="0" w:line="240" w:lineRule="auto"/>
        <w:jc w:val="both"/>
        <w:rPr>
          <w:rFonts w:ascii="Verdana" w:hAnsi="Verdana"/>
          <w:b/>
          <w:bCs/>
          <w:color w:val="548DD4" w:themeColor="text2" w:themeTint="99"/>
          <w:sz w:val="40"/>
          <w:szCs w:val="40"/>
        </w:rPr>
      </w:pPr>
    </w:p>
    <w:p w:rsidR="007D5E94" w:rsidRDefault="007D5E94" w:rsidP="004A4C17">
      <w:pPr>
        <w:spacing w:after="0" w:line="240" w:lineRule="auto"/>
        <w:jc w:val="both"/>
        <w:rPr>
          <w:rFonts w:ascii="Verdana" w:hAnsi="Verdana"/>
          <w:b/>
          <w:bCs/>
          <w:color w:val="548DD4" w:themeColor="text2" w:themeTint="99"/>
          <w:sz w:val="40"/>
          <w:szCs w:val="40"/>
        </w:rPr>
      </w:pPr>
    </w:p>
    <w:p w:rsidR="007D5E94" w:rsidRDefault="005228F6" w:rsidP="004A4C17">
      <w:pPr>
        <w:spacing w:after="0" w:line="240" w:lineRule="auto"/>
        <w:jc w:val="both"/>
        <w:rPr>
          <w:rFonts w:ascii="Verdana" w:hAnsi="Verdana"/>
          <w:b/>
          <w:bCs/>
          <w:color w:val="548DD4" w:themeColor="text2" w:themeTint="99"/>
          <w:sz w:val="40"/>
          <w:szCs w:val="40"/>
        </w:rPr>
      </w:pPr>
      <w:r w:rsidRPr="005228F6">
        <w:rPr>
          <w:rFonts w:ascii="Verdana" w:hAnsi="Verdana"/>
          <w:b/>
          <w:bCs/>
          <w:noProof/>
          <w:color w:val="548DD4" w:themeColor="text2" w:themeTint="99"/>
          <w:sz w:val="40"/>
          <w:szCs w:val="40"/>
          <w:lang w:eastAsia="es-CO"/>
        </w:rPr>
        <w:drawing>
          <wp:anchor distT="0" distB="0" distL="114300" distR="114300" simplePos="0" relativeHeight="251740160" behindDoc="0" locked="0" layoutInCell="1" allowOverlap="1">
            <wp:simplePos x="0" y="0"/>
            <wp:positionH relativeFrom="column">
              <wp:posOffset>6609522</wp:posOffset>
            </wp:positionH>
            <wp:positionV relativeFrom="paragraph">
              <wp:posOffset>2178933</wp:posOffset>
            </wp:positionV>
            <wp:extent cx="504411" cy="357809"/>
            <wp:effectExtent l="19050" t="0" r="0" b="0"/>
            <wp:wrapThrough wrapText="bothSides">
              <wp:wrapPolygon edited="0">
                <wp:start x="-816" y="0"/>
                <wp:lineTo x="-816" y="20718"/>
                <wp:lineTo x="21219" y="20718"/>
                <wp:lineTo x="21219" y="0"/>
                <wp:lineTo x="-816" y="0"/>
              </wp:wrapPolygon>
            </wp:wrapThrough>
            <wp:docPr id="80" name="Objeto 10">
              <a:hlinkClick xmlns:a="http://schemas.openxmlformats.org/drawingml/2006/main" r:id="rId63" tooltip="Ir a la pagina de CONTENIDO."/>
            </wp:docPr>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4056" cy="360040"/>
                      <a:chOff x="683568" y="5517232"/>
                      <a:chExt cx="504056" cy="360040"/>
                    </a:xfrm>
                  </a:grpSpPr>
                  <a:sp>
                    <a:nvSpPr>
                      <a:cNvPr id="36" name="35 Botón de acción: Inicio"/>
                      <a:cNvSpPr/>
                    </a:nvSpPr>
                    <a:spPr>
                      <a:xfrm>
                        <a:off x="683568" y="5517232"/>
                        <a:ext cx="504056" cy="360040"/>
                      </a:xfrm>
                      <a:prstGeom prst="actionButtonHome">
                        <a:avLst/>
                      </a:prstGeom>
                      <a:solidFill>
                        <a:schemeClr val="accent5">
                          <a:lumMod val="60000"/>
                          <a:lumOff val="40000"/>
                        </a:schemeClr>
                      </a:soli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7D5E94" w:rsidRDefault="007D5E94" w:rsidP="004A4C17">
      <w:pPr>
        <w:spacing w:after="0" w:line="240" w:lineRule="auto"/>
        <w:jc w:val="both"/>
        <w:rPr>
          <w:rFonts w:ascii="Verdana" w:hAnsi="Verdana"/>
          <w:b/>
          <w:bCs/>
          <w:color w:val="548DD4" w:themeColor="text2" w:themeTint="99"/>
          <w:sz w:val="40"/>
          <w:szCs w:val="40"/>
        </w:rPr>
      </w:pPr>
    </w:p>
    <w:p w:rsidR="007D5E94" w:rsidRDefault="007D5E94" w:rsidP="004A4C17">
      <w:pPr>
        <w:spacing w:after="0" w:line="240" w:lineRule="auto"/>
        <w:jc w:val="both"/>
        <w:rPr>
          <w:rFonts w:ascii="Verdana" w:hAnsi="Verdana"/>
          <w:b/>
          <w:bCs/>
          <w:color w:val="548DD4" w:themeColor="text2" w:themeTint="99"/>
          <w:sz w:val="40"/>
          <w:szCs w:val="40"/>
        </w:rPr>
      </w:pPr>
    </w:p>
    <w:p w:rsidR="00B722F2" w:rsidRDefault="00B722F2" w:rsidP="004A4C17">
      <w:pPr>
        <w:spacing w:after="0" w:line="240" w:lineRule="auto"/>
        <w:jc w:val="both"/>
        <w:rPr>
          <w:rFonts w:ascii="Verdana" w:hAnsi="Verdana"/>
          <w:b/>
          <w:bCs/>
          <w:color w:val="548DD4" w:themeColor="text2" w:themeTint="99"/>
          <w:sz w:val="40"/>
          <w:szCs w:val="40"/>
        </w:rPr>
      </w:pPr>
    </w:p>
    <w:p w:rsidR="00B722F2" w:rsidRDefault="00B722F2" w:rsidP="004A4C17">
      <w:pPr>
        <w:spacing w:after="0" w:line="240" w:lineRule="auto"/>
        <w:jc w:val="both"/>
        <w:rPr>
          <w:rFonts w:ascii="Verdana" w:hAnsi="Verdana"/>
          <w:b/>
          <w:bCs/>
          <w:color w:val="548DD4" w:themeColor="text2" w:themeTint="99"/>
          <w:sz w:val="40"/>
          <w:szCs w:val="40"/>
        </w:rPr>
      </w:pPr>
    </w:p>
    <w:p w:rsidR="00B722F2" w:rsidRDefault="00B722F2" w:rsidP="004A4C17">
      <w:pPr>
        <w:spacing w:after="0" w:line="240" w:lineRule="auto"/>
        <w:jc w:val="both"/>
        <w:rPr>
          <w:rFonts w:ascii="Verdana" w:hAnsi="Verdana"/>
          <w:b/>
          <w:bCs/>
          <w:color w:val="548DD4" w:themeColor="text2" w:themeTint="99"/>
          <w:sz w:val="40"/>
          <w:szCs w:val="40"/>
        </w:rPr>
      </w:pPr>
    </w:p>
    <w:p w:rsidR="00035BCC" w:rsidRDefault="00035BCC" w:rsidP="004A4C17">
      <w:pPr>
        <w:spacing w:after="0" w:line="240" w:lineRule="auto"/>
        <w:jc w:val="both"/>
        <w:rPr>
          <w:rFonts w:ascii="Verdana" w:hAnsi="Verdana"/>
          <w:b/>
          <w:bCs/>
          <w:color w:val="548DD4" w:themeColor="text2" w:themeTint="99"/>
          <w:sz w:val="32"/>
          <w:szCs w:val="40"/>
        </w:rPr>
      </w:pPr>
    </w:p>
    <w:p w:rsidR="00035BCC" w:rsidRDefault="00035BCC" w:rsidP="004A4C17">
      <w:pPr>
        <w:spacing w:after="0" w:line="240" w:lineRule="auto"/>
        <w:jc w:val="both"/>
        <w:rPr>
          <w:rFonts w:ascii="Verdana" w:hAnsi="Verdana"/>
          <w:b/>
          <w:bCs/>
          <w:color w:val="548DD4" w:themeColor="text2" w:themeTint="99"/>
          <w:sz w:val="32"/>
          <w:szCs w:val="40"/>
        </w:rPr>
      </w:pPr>
    </w:p>
    <w:p w:rsidR="00B410EA" w:rsidRDefault="00B410EA" w:rsidP="004A4C17">
      <w:pPr>
        <w:spacing w:after="0" w:line="240" w:lineRule="auto"/>
        <w:jc w:val="both"/>
        <w:rPr>
          <w:rFonts w:ascii="Verdana" w:hAnsi="Verdana"/>
          <w:b/>
          <w:bCs/>
          <w:color w:val="548DD4" w:themeColor="text2" w:themeTint="99"/>
          <w:sz w:val="28"/>
          <w:szCs w:val="40"/>
        </w:rPr>
      </w:pPr>
    </w:p>
    <w:p w:rsidR="00B410EA" w:rsidRDefault="006F3FAA" w:rsidP="004A4C17">
      <w:pPr>
        <w:spacing w:after="0" w:line="240" w:lineRule="auto"/>
        <w:jc w:val="both"/>
        <w:rPr>
          <w:rFonts w:ascii="Verdana" w:hAnsi="Verdana"/>
          <w:b/>
          <w:bCs/>
          <w:color w:val="548DD4" w:themeColor="text2" w:themeTint="99"/>
          <w:sz w:val="28"/>
          <w:szCs w:val="40"/>
        </w:rPr>
      </w:pPr>
      <w:r>
        <w:rPr>
          <w:rFonts w:ascii="Arial" w:hAnsi="Arial" w:cs="Arial"/>
          <w:noProof/>
          <w:color w:val="333333"/>
          <w:sz w:val="19"/>
          <w:szCs w:val="19"/>
          <w:lang w:eastAsia="es-CO"/>
        </w:rPr>
        <w:drawing>
          <wp:inline distT="0" distB="0" distL="0" distR="0">
            <wp:extent cx="6591300" cy="6400800"/>
            <wp:effectExtent l="19050" t="0" r="0" b="0"/>
            <wp:docPr id="460" name="Imagen 9" descr="http://consolidacion.gov.co/themes/danland/images/noticias/errad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onsolidacion.gov.co/themes/danland/images/noticias/erradicacion.jpg"/>
                    <pic:cNvPicPr>
                      <a:picLocks noChangeAspect="1" noChangeArrowheads="1"/>
                    </pic:cNvPicPr>
                  </pic:nvPicPr>
                  <pic:blipFill>
                    <a:blip r:embed="rId64" cstate="print"/>
                    <a:srcRect/>
                    <a:stretch>
                      <a:fillRect/>
                    </a:stretch>
                  </pic:blipFill>
                  <pic:spPr bwMode="auto">
                    <a:xfrm>
                      <a:off x="0" y="0"/>
                      <a:ext cx="6591300" cy="6400800"/>
                    </a:xfrm>
                    <a:prstGeom prst="rect">
                      <a:avLst/>
                    </a:prstGeom>
                    <a:noFill/>
                    <a:ln w="9525">
                      <a:noFill/>
                      <a:miter lim="800000"/>
                      <a:headEnd/>
                      <a:tailEnd/>
                    </a:ln>
                  </pic:spPr>
                </pic:pic>
              </a:graphicData>
            </a:graphic>
          </wp:inline>
        </w:drawing>
      </w:r>
    </w:p>
    <w:p w:rsidR="00B410EA" w:rsidRDefault="00B410EA" w:rsidP="004A4C17">
      <w:pPr>
        <w:spacing w:after="0" w:line="240" w:lineRule="auto"/>
        <w:jc w:val="both"/>
        <w:rPr>
          <w:rFonts w:ascii="Verdana" w:hAnsi="Verdana"/>
          <w:b/>
          <w:bCs/>
          <w:color w:val="548DD4" w:themeColor="text2" w:themeTint="99"/>
          <w:sz w:val="28"/>
          <w:szCs w:val="40"/>
        </w:rPr>
      </w:pPr>
    </w:p>
    <w:p w:rsidR="00B722F2" w:rsidRPr="00260446" w:rsidRDefault="00581D8C" w:rsidP="004A4C17">
      <w:pPr>
        <w:spacing w:after="0" w:line="240" w:lineRule="auto"/>
        <w:jc w:val="both"/>
        <w:rPr>
          <w:rFonts w:ascii="Verdana" w:hAnsi="Verdana"/>
          <w:b/>
          <w:bCs/>
          <w:color w:val="548DD4" w:themeColor="text2" w:themeTint="99"/>
          <w:sz w:val="28"/>
          <w:szCs w:val="40"/>
        </w:rPr>
      </w:pPr>
      <w:r w:rsidRPr="00581D8C">
        <w:rPr>
          <w:rFonts w:ascii="Verdana" w:hAnsi="Verdana"/>
          <w:b/>
          <w:bCs/>
          <w:noProof/>
          <w:color w:val="548DD4" w:themeColor="text2" w:themeTint="99"/>
          <w:sz w:val="28"/>
          <w:szCs w:val="40"/>
          <w:lang w:eastAsia="es-CO"/>
        </w:rPr>
        <w:drawing>
          <wp:inline distT="0" distB="0" distL="0" distR="0">
            <wp:extent cx="216024" cy="216024"/>
            <wp:effectExtent l="19050" t="0" r="0" b="0"/>
            <wp:docPr id="480" name="Objet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6300192" y="4869160"/>
                      <a:chExt cx="216024" cy="216024"/>
                    </a:xfrm>
                  </a:grpSpPr>
                  <a:sp>
                    <a:nvSpPr>
                      <a:cNvPr id="42" name="41 Rectángulo redondeado"/>
                      <a:cNvSpPr/>
                    </a:nvSpPr>
                    <a:spPr>
                      <a:xfrm>
                        <a:off x="6300192" y="4869160"/>
                        <a:ext cx="216024" cy="216024"/>
                      </a:xfrm>
                      <a:prstGeom prst="roundRect">
                        <a:avLst/>
                      </a:prstGeom>
                      <a:gradFill flip="none" rotWithShape="1">
                        <a:gsLst>
                          <a:gs pos="0">
                            <a:schemeClr val="bg1">
                              <a:lumMod val="65000"/>
                              <a:shade val="30000"/>
                              <a:satMod val="115000"/>
                            </a:schemeClr>
                          </a:gs>
                          <a:gs pos="50000">
                            <a:schemeClr val="bg1">
                              <a:lumMod val="65000"/>
                              <a:shade val="67500"/>
                              <a:satMod val="115000"/>
                            </a:schemeClr>
                          </a:gs>
                          <a:gs pos="100000">
                            <a:schemeClr val="bg1">
                              <a:lumMod val="65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260446">
        <w:rPr>
          <w:rFonts w:ascii="Verdana" w:hAnsi="Verdana"/>
          <w:b/>
          <w:bCs/>
          <w:color w:val="548DD4" w:themeColor="text2" w:themeTint="99"/>
          <w:sz w:val="28"/>
          <w:szCs w:val="40"/>
        </w:rPr>
        <w:t xml:space="preserve"> </w:t>
      </w:r>
      <w:r w:rsidR="000451EF" w:rsidRPr="00260446">
        <w:rPr>
          <w:rFonts w:ascii="Verdana" w:hAnsi="Verdana"/>
          <w:b/>
          <w:bCs/>
          <w:color w:val="548DD4" w:themeColor="text2" w:themeTint="99"/>
          <w:sz w:val="28"/>
          <w:szCs w:val="40"/>
        </w:rPr>
        <w:t>PRESUPUESTO</w:t>
      </w:r>
    </w:p>
    <w:p w:rsidR="00C55AA5" w:rsidRPr="00C55AA5" w:rsidRDefault="00035BCC" w:rsidP="004A4C17">
      <w:pPr>
        <w:spacing w:after="0" w:line="240" w:lineRule="auto"/>
        <w:jc w:val="both"/>
        <w:rPr>
          <w:rFonts w:ascii="Verdana" w:hAnsi="Verdana"/>
          <w:b/>
          <w:bCs/>
          <w:color w:val="548DD4" w:themeColor="text2" w:themeTint="99"/>
          <w:sz w:val="28"/>
          <w:szCs w:val="40"/>
        </w:rPr>
      </w:pPr>
      <w:r>
        <w:rPr>
          <w:rFonts w:ascii="Verdana" w:hAnsi="Verdana"/>
          <w:b/>
          <w:bCs/>
          <w:noProof/>
          <w:color w:val="548DD4" w:themeColor="text2" w:themeTint="99"/>
          <w:sz w:val="28"/>
          <w:szCs w:val="40"/>
          <w:lang w:eastAsia="es-CO"/>
        </w:rPr>
        <w:drawing>
          <wp:anchor distT="0" distB="0" distL="114300" distR="114300" simplePos="0" relativeHeight="251716608" behindDoc="0" locked="0" layoutInCell="1" allowOverlap="1">
            <wp:simplePos x="0" y="0"/>
            <wp:positionH relativeFrom="column">
              <wp:posOffset>147955</wp:posOffset>
            </wp:positionH>
            <wp:positionV relativeFrom="paragraph">
              <wp:posOffset>30480</wp:posOffset>
            </wp:positionV>
            <wp:extent cx="6010275" cy="3511550"/>
            <wp:effectExtent l="19050" t="0" r="9525" b="0"/>
            <wp:wrapTopAndBottom/>
            <wp:docPr id="38" name="Imagen 5"/>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65" cstate="print"/>
                    <a:srcRect t="14485" b="10212"/>
                    <a:stretch>
                      <a:fillRect/>
                    </a:stretch>
                  </pic:blipFill>
                  <pic:spPr bwMode="auto">
                    <a:xfrm>
                      <a:off x="0" y="0"/>
                      <a:ext cx="6010275" cy="3511550"/>
                    </a:xfrm>
                    <a:prstGeom prst="rect">
                      <a:avLst/>
                    </a:prstGeom>
                    <a:noFill/>
                    <a:ln w="9525">
                      <a:noFill/>
                      <a:miter lim="800000"/>
                      <a:headEnd/>
                      <a:tailEnd/>
                    </a:ln>
                  </pic:spPr>
                </pic:pic>
              </a:graphicData>
            </a:graphic>
          </wp:anchor>
        </w:drawing>
      </w:r>
    </w:p>
    <w:p w:rsidR="00B722F2" w:rsidRPr="00C55AA5" w:rsidRDefault="00B722F2" w:rsidP="00B722F2">
      <w:pPr>
        <w:spacing w:after="0" w:line="240" w:lineRule="auto"/>
        <w:jc w:val="both"/>
        <w:rPr>
          <w:rFonts w:ascii="Verdana" w:hAnsi="Verdana"/>
          <w:b/>
          <w:color w:val="4F81BD" w:themeColor="accent1"/>
          <w:sz w:val="24"/>
          <w:szCs w:val="24"/>
        </w:rPr>
      </w:pPr>
      <w:r w:rsidRPr="00C55AA5">
        <w:rPr>
          <w:rFonts w:ascii="Verdana" w:hAnsi="Verdana"/>
          <w:b/>
          <w:color w:val="4F81BD" w:themeColor="accent1"/>
          <w:sz w:val="24"/>
          <w:szCs w:val="24"/>
        </w:rPr>
        <w:t>PRESUPUESTO DE INGRESOS Y GASTOS VIGENCIA 2014</w:t>
      </w:r>
    </w:p>
    <w:p w:rsidR="00B722F2" w:rsidRPr="00B57E80" w:rsidRDefault="00B722F2" w:rsidP="00B722F2">
      <w:pPr>
        <w:spacing w:after="0" w:line="240" w:lineRule="auto"/>
        <w:jc w:val="both"/>
        <w:rPr>
          <w:rFonts w:ascii="Verdana" w:hAnsi="Verdana"/>
          <w:b/>
          <w:sz w:val="24"/>
          <w:szCs w:val="24"/>
        </w:rPr>
      </w:pPr>
    </w:p>
    <w:p w:rsidR="00B722F2" w:rsidRPr="00C644B9" w:rsidRDefault="00B722F2" w:rsidP="00B722F2">
      <w:pPr>
        <w:spacing w:after="0" w:line="240" w:lineRule="auto"/>
        <w:jc w:val="both"/>
        <w:rPr>
          <w:rFonts w:ascii="Verdana" w:hAnsi="Verdana"/>
          <w:b/>
          <w:color w:val="1F497D" w:themeColor="text2"/>
          <w:sz w:val="24"/>
          <w:szCs w:val="24"/>
        </w:rPr>
      </w:pPr>
      <w:r w:rsidRPr="00C644B9">
        <w:rPr>
          <w:rFonts w:ascii="Verdana" w:hAnsi="Verdana"/>
          <w:b/>
          <w:color w:val="1F497D" w:themeColor="text2"/>
          <w:sz w:val="24"/>
          <w:szCs w:val="24"/>
        </w:rPr>
        <w:t>EJECUCIÓN PRESUPUESTAL VIGENCIA 2014</w:t>
      </w:r>
    </w:p>
    <w:p w:rsidR="00B722F2" w:rsidRPr="00B57E80" w:rsidRDefault="00B722F2" w:rsidP="00B722F2">
      <w:pPr>
        <w:spacing w:after="0" w:line="240" w:lineRule="auto"/>
        <w:jc w:val="both"/>
        <w:rPr>
          <w:rFonts w:ascii="Verdana" w:hAnsi="Verdana"/>
          <w:b/>
          <w:sz w:val="24"/>
          <w:szCs w:val="24"/>
        </w:rPr>
      </w:pPr>
    </w:p>
    <w:p w:rsidR="00B722F2" w:rsidRDefault="00B722F2" w:rsidP="00B722F2">
      <w:pPr>
        <w:spacing w:after="0"/>
        <w:rPr>
          <w:rFonts w:ascii="Verdana" w:hAnsi="Verdana" w:cs="Arial"/>
          <w:color w:val="4F81BD" w:themeColor="accent1"/>
          <w:sz w:val="24"/>
          <w:szCs w:val="24"/>
        </w:rPr>
      </w:pPr>
      <w:r w:rsidRPr="00C644B9">
        <w:rPr>
          <w:rFonts w:ascii="Verdana" w:hAnsi="Verdana" w:cs="Arial"/>
          <w:color w:val="4F81BD" w:themeColor="accent1"/>
          <w:sz w:val="24"/>
          <w:szCs w:val="24"/>
        </w:rPr>
        <w:t>Detalle de Apropiaciones Iniciales y Finales</w:t>
      </w:r>
    </w:p>
    <w:tbl>
      <w:tblPr>
        <w:tblW w:w="5000" w:type="pct"/>
        <w:tblCellMar>
          <w:left w:w="70" w:type="dxa"/>
          <w:right w:w="70" w:type="dxa"/>
        </w:tblCellMar>
        <w:tblLook w:val="0420"/>
      </w:tblPr>
      <w:tblGrid>
        <w:gridCol w:w="3800"/>
        <w:gridCol w:w="2568"/>
        <w:gridCol w:w="1389"/>
        <w:gridCol w:w="2409"/>
      </w:tblGrid>
      <w:tr w:rsidR="00B722F2" w:rsidRPr="00B57E80" w:rsidTr="00035BCC">
        <w:trPr>
          <w:trHeight w:val="315"/>
        </w:trPr>
        <w:tc>
          <w:tcPr>
            <w:tcW w:w="1869" w:type="pct"/>
            <w:tcBorders>
              <w:top w:val="nil"/>
              <w:left w:val="nil"/>
              <w:bottom w:val="single" w:sz="12" w:space="0" w:color="FFFFFF"/>
              <w:right w:val="single" w:sz="4" w:space="0" w:color="FFFFFF"/>
            </w:tcBorders>
            <w:shd w:val="clear" w:color="4F81BD" w:fill="4F81BD"/>
            <w:noWrap/>
            <w:vAlign w:val="bottom"/>
            <w:hideMark/>
          </w:tcPr>
          <w:p w:rsidR="00B722F2" w:rsidRPr="00B57E80" w:rsidRDefault="00B722F2" w:rsidP="00B722F2">
            <w:pPr>
              <w:spacing w:after="0" w:line="240" w:lineRule="auto"/>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Concepto</w:t>
            </w:r>
          </w:p>
        </w:tc>
        <w:tc>
          <w:tcPr>
            <w:tcW w:w="1263" w:type="pct"/>
            <w:tcBorders>
              <w:top w:val="nil"/>
              <w:left w:val="nil"/>
              <w:bottom w:val="single" w:sz="12" w:space="0" w:color="FFFFFF"/>
              <w:right w:val="single" w:sz="4" w:space="0" w:color="FFFFFF"/>
            </w:tcBorders>
            <w:shd w:val="clear" w:color="4F81BD" w:fill="4F81BD"/>
            <w:noWrap/>
            <w:vAlign w:val="bottom"/>
            <w:hideMark/>
          </w:tcPr>
          <w:p w:rsidR="00B722F2" w:rsidRPr="00B57E80" w:rsidRDefault="00B722F2" w:rsidP="00B722F2">
            <w:pPr>
              <w:spacing w:after="0" w:line="240" w:lineRule="auto"/>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Apropiación Inicial</w:t>
            </w:r>
          </w:p>
        </w:tc>
        <w:tc>
          <w:tcPr>
            <w:tcW w:w="683" w:type="pct"/>
            <w:tcBorders>
              <w:top w:val="nil"/>
              <w:left w:val="nil"/>
              <w:bottom w:val="single" w:sz="12" w:space="0" w:color="FFFFFF"/>
              <w:right w:val="single" w:sz="4" w:space="0" w:color="FFFFFF"/>
            </w:tcBorders>
            <w:shd w:val="clear" w:color="4F81BD" w:fill="4F81BD"/>
            <w:noWrap/>
            <w:vAlign w:val="bottom"/>
            <w:hideMark/>
          </w:tcPr>
          <w:p w:rsidR="00B722F2" w:rsidRPr="00B57E80" w:rsidRDefault="00B722F2" w:rsidP="00B722F2">
            <w:pPr>
              <w:spacing w:after="0" w:line="240" w:lineRule="auto"/>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Adiciones</w:t>
            </w:r>
          </w:p>
        </w:tc>
        <w:tc>
          <w:tcPr>
            <w:tcW w:w="1185" w:type="pct"/>
            <w:tcBorders>
              <w:top w:val="nil"/>
              <w:left w:val="nil"/>
              <w:bottom w:val="single" w:sz="12" w:space="0" w:color="FFFFFF"/>
              <w:right w:val="single" w:sz="4" w:space="0" w:color="FFFFFF"/>
            </w:tcBorders>
            <w:shd w:val="clear" w:color="4F81BD" w:fill="4F81BD"/>
            <w:noWrap/>
            <w:vAlign w:val="bottom"/>
            <w:hideMark/>
          </w:tcPr>
          <w:p w:rsidR="00B722F2" w:rsidRPr="00B57E80" w:rsidRDefault="00B722F2" w:rsidP="00B722F2">
            <w:pPr>
              <w:spacing w:after="0" w:line="240" w:lineRule="auto"/>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Apropiación Final</w:t>
            </w:r>
          </w:p>
        </w:tc>
      </w:tr>
      <w:tr w:rsidR="00B722F2" w:rsidRPr="00B57E80" w:rsidTr="00035BCC">
        <w:trPr>
          <w:trHeight w:val="315"/>
        </w:trPr>
        <w:tc>
          <w:tcPr>
            <w:tcW w:w="1869" w:type="pct"/>
            <w:tcBorders>
              <w:top w:val="single" w:sz="4" w:space="0" w:color="FFFFFF"/>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Total Ingresos</w:t>
            </w:r>
          </w:p>
        </w:tc>
        <w:tc>
          <w:tcPr>
            <w:tcW w:w="1263" w:type="pct"/>
            <w:tcBorders>
              <w:top w:val="single" w:sz="4" w:space="0" w:color="FFFFFF"/>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0</w:t>
            </w:r>
          </w:p>
        </w:tc>
        <w:tc>
          <w:tcPr>
            <w:tcW w:w="683" w:type="pct"/>
            <w:tcBorders>
              <w:top w:val="single" w:sz="4" w:space="0" w:color="FFFFFF"/>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0</w:t>
            </w:r>
          </w:p>
        </w:tc>
        <w:tc>
          <w:tcPr>
            <w:tcW w:w="1185" w:type="pct"/>
            <w:tcBorders>
              <w:top w:val="single" w:sz="4" w:space="0" w:color="FFFFFF"/>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0</w:t>
            </w:r>
          </w:p>
        </w:tc>
      </w:tr>
      <w:tr w:rsidR="00B722F2" w:rsidRPr="00B57E80" w:rsidTr="00035BCC">
        <w:trPr>
          <w:trHeight w:val="300"/>
        </w:trPr>
        <w:tc>
          <w:tcPr>
            <w:tcW w:w="1869"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Total Gastos</w:t>
            </w:r>
          </w:p>
        </w:tc>
        <w:tc>
          <w:tcPr>
            <w:tcW w:w="1263"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185,746</w:t>
            </w:r>
          </w:p>
        </w:tc>
        <w:tc>
          <w:tcPr>
            <w:tcW w:w="683"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25</w:t>
            </w:r>
          </w:p>
        </w:tc>
        <w:tc>
          <w:tcPr>
            <w:tcW w:w="1185"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210,746</w:t>
            </w:r>
          </w:p>
        </w:tc>
      </w:tr>
      <w:tr w:rsidR="00B722F2" w:rsidRPr="00B57E80" w:rsidTr="00035BCC">
        <w:trPr>
          <w:trHeight w:val="300"/>
        </w:trPr>
        <w:tc>
          <w:tcPr>
            <w:tcW w:w="1869"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Personal</w:t>
            </w:r>
          </w:p>
        </w:tc>
        <w:tc>
          <w:tcPr>
            <w:tcW w:w="1263"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28,575</w:t>
            </w:r>
          </w:p>
        </w:tc>
        <w:tc>
          <w:tcPr>
            <w:tcW w:w="683"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w:t>
            </w:r>
          </w:p>
        </w:tc>
        <w:tc>
          <w:tcPr>
            <w:tcW w:w="1185"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27,575</w:t>
            </w:r>
          </w:p>
        </w:tc>
      </w:tr>
      <w:tr w:rsidR="00B722F2" w:rsidRPr="00B57E80" w:rsidTr="00035BCC">
        <w:trPr>
          <w:trHeight w:val="300"/>
        </w:trPr>
        <w:tc>
          <w:tcPr>
            <w:tcW w:w="1869"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Bienes y Servicios</w:t>
            </w:r>
          </w:p>
        </w:tc>
        <w:tc>
          <w:tcPr>
            <w:tcW w:w="1263"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6,856</w:t>
            </w:r>
          </w:p>
        </w:tc>
        <w:tc>
          <w:tcPr>
            <w:tcW w:w="683"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887</w:t>
            </w:r>
          </w:p>
        </w:tc>
        <w:tc>
          <w:tcPr>
            <w:tcW w:w="1185"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7,743</w:t>
            </w:r>
          </w:p>
        </w:tc>
      </w:tr>
      <w:tr w:rsidR="00B722F2" w:rsidRPr="00B57E80" w:rsidTr="00035BCC">
        <w:trPr>
          <w:trHeight w:val="300"/>
        </w:trPr>
        <w:tc>
          <w:tcPr>
            <w:tcW w:w="1869"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Transferencias</w:t>
            </w:r>
          </w:p>
        </w:tc>
        <w:tc>
          <w:tcPr>
            <w:tcW w:w="1263"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315</w:t>
            </w:r>
          </w:p>
        </w:tc>
        <w:tc>
          <w:tcPr>
            <w:tcW w:w="683"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113</w:t>
            </w:r>
          </w:p>
        </w:tc>
        <w:tc>
          <w:tcPr>
            <w:tcW w:w="1185"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428</w:t>
            </w:r>
          </w:p>
        </w:tc>
      </w:tr>
      <w:tr w:rsidR="00B722F2" w:rsidRPr="00B57E80" w:rsidTr="00035BCC">
        <w:trPr>
          <w:trHeight w:val="300"/>
        </w:trPr>
        <w:tc>
          <w:tcPr>
            <w:tcW w:w="1869"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Inversión</w:t>
            </w:r>
          </w:p>
        </w:tc>
        <w:tc>
          <w:tcPr>
            <w:tcW w:w="1263"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150</w:t>
            </w:r>
          </w:p>
        </w:tc>
        <w:tc>
          <w:tcPr>
            <w:tcW w:w="683"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25</w:t>
            </w:r>
          </w:p>
        </w:tc>
        <w:tc>
          <w:tcPr>
            <w:tcW w:w="1185"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175</w:t>
            </w:r>
          </w:p>
        </w:tc>
      </w:tr>
      <w:tr w:rsidR="00B722F2" w:rsidRPr="00B57E80" w:rsidTr="00035BCC">
        <w:trPr>
          <w:trHeight w:val="300"/>
        </w:trPr>
        <w:tc>
          <w:tcPr>
            <w:tcW w:w="1869"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Total Rezago Presupuestal 2013</w:t>
            </w:r>
          </w:p>
        </w:tc>
        <w:tc>
          <w:tcPr>
            <w:tcW w:w="1263"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17,673</w:t>
            </w:r>
          </w:p>
        </w:tc>
        <w:tc>
          <w:tcPr>
            <w:tcW w:w="683"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-185</w:t>
            </w:r>
          </w:p>
        </w:tc>
        <w:tc>
          <w:tcPr>
            <w:tcW w:w="1185"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17,488</w:t>
            </w:r>
          </w:p>
        </w:tc>
      </w:tr>
      <w:tr w:rsidR="00B722F2" w:rsidRPr="00B57E80" w:rsidTr="00035BCC">
        <w:trPr>
          <w:trHeight w:val="300"/>
        </w:trPr>
        <w:tc>
          <w:tcPr>
            <w:tcW w:w="1869" w:type="pct"/>
            <w:tcBorders>
              <w:top w:val="nil"/>
              <w:left w:val="nil"/>
              <w:bottom w:val="nil"/>
              <w:right w:val="nil"/>
            </w:tcBorders>
            <w:shd w:val="clear" w:color="auto" w:fill="auto"/>
            <w:noWrap/>
            <w:vAlign w:val="center"/>
            <w:hideMark/>
          </w:tcPr>
          <w:p w:rsidR="00B722F2" w:rsidRPr="00035BCC" w:rsidRDefault="00B722F2" w:rsidP="00C644B9">
            <w:pPr>
              <w:spacing w:after="0" w:line="240" w:lineRule="auto"/>
              <w:jc w:val="right"/>
              <w:rPr>
                <w:rFonts w:ascii="Verdana" w:eastAsia="Times New Roman" w:hAnsi="Verdana" w:cs="Times New Roman"/>
                <w:color w:val="000000"/>
                <w:sz w:val="12"/>
                <w:szCs w:val="20"/>
                <w:lang w:eastAsia="es-CO"/>
              </w:rPr>
            </w:pPr>
          </w:p>
        </w:tc>
        <w:tc>
          <w:tcPr>
            <w:tcW w:w="1263" w:type="pct"/>
            <w:tcBorders>
              <w:top w:val="nil"/>
              <w:left w:val="nil"/>
              <w:bottom w:val="nil"/>
              <w:right w:val="nil"/>
            </w:tcBorders>
            <w:shd w:val="clear" w:color="auto" w:fill="auto"/>
            <w:noWrap/>
            <w:vAlign w:val="bottom"/>
            <w:hideMark/>
          </w:tcPr>
          <w:p w:rsidR="00B722F2" w:rsidRPr="00B57E80" w:rsidRDefault="00B722F2" w:rsidP="00B722F2">
            <w:pPr>
              <w:spacing w:after="0" w:line="240" w:lineRule="auto"/>
              <w:rPr>
                <w:rFonts w:ascii="Verdana" w:eastAsia="Times New Roman" w:hAnsi="Verdana" w:cs="Times New Roman"/>
                <w:color w:val="000000"/>
                <w:sz w:val="20"/>
                <w:szCs w:val="20"/>
                <w:lang w:eastAsia="es-CO"/>
              </w:rPr>
            </w:pPr>
          </w:p>
        </w:tc>
        <w:tc>
          <w:tcPr>
            <w:tcW w:w="683" w:type="pct"/>
            <w:tcBorders>
              <w:top w:val="nil"/>
              <w:left w:val="nil"/>
              <w:bottom w:val="nil"/>
              <w:right w:val="nil"/>
            </w:tcBorders>
            <w:shd w:val="clear" w:color="auto" w:fill="auto"/>
            <w:noWrap/>
            <w:vAlign w:val="bottom"/>
            <w:hideMark/>
          </w:tcPr>
          <w:p w:rsidR="00B722F2" w:rsidRPr="00B57E80" w:rsidRDefault="00B722F2" w:rsidP="00B722F2">
            <w:pPr>
              <w:spacing w:after="0" w:line="240" w:lineRule="auto"/>
              <w:rPr>
                <w:rFonts w:ascii="Verdana" w:eastAsia="Times New Roman" w:hAnsi="Verdana" w:cs="Times New Roman"/>
                <w:sz w:val="20"/>
                <w:szCs w:val="20"/>
                <w:lang w:eastAsia="es-CO"/>
              </w:rPr>
            </w:pPr>
          </w:p>
        </w:tc>
        <w:tc>
          <w:tcPr>
            <w:tcW w:w="1185" w:type="pct"/>
            <w:tcBorders>
              <w:top w:val="nil"/>
              <w:left w:val="nil"/>
              <w:bottom w:val="nil"/>
              <w:right w:val="nil"/>
            </w:tcBorders>
            <w:shd w:val="clear" w:color="auto" w:fill="auto"/>
            <w:noWrap/>
            <w:vAlign w:val="bottom"/>
            <w:hideMark/>
          </w:tcPr>
          <w:p w:rsidR="00B722F2" w:rsidRPr="00B57E80" w:rsidRDefault="00C644B9" w:rsidP="00C644B9">
            <w:pPr>
              <w:spacing w:after="0" w:line="240" w:lineRule="auto"/>
              <w:jc w:val="right"/>
              <w:rPr>
                <w:rFonts w:ascii="Verdana" w:eastAsia="Times New Roman" w:hAnsi="Verdana" w:cs="Times New Roman"/>
                <w:sz w:val="20"/>
                <w:szCs w:val="20"/>
                <w:lang w:eastAsia="es-CO"/>
              </w:rPr>
            </w:pPr>
            <w:r w:rsidRPr="00B57E80">
              <w:rPr>
                <w:rFonts w:ascii="Verdana" w:eastAsia="Times New Roman" w:hAnsi="Verdana" w:cs="Times New Roman"/>
                <w:color w:val="000000"/>
                <w:sz w:val="16"/>
                <w:szCs w:val="20"/>
                <w:lang w:eastAsia="es-CO"/>
              </w:rPr>
              <w:t>Fuente: SIIF Nación</w:t>
            </w:r>
          </w:p>
        </w:tc>
      </w:tr>
    </w:tbl>
    <w:p w:rsidR="00B722F2" w:rsidRPr="00035BCC" w:rsidRDefault="00B722F2" w:rsidP="00B722F2">
      <w:pPr>
        <w:spacing w:after="0"/>
        <w:rPr>
          <w:rFonts w:ascii="Verdana" w:hAnsi="Verdana" w:cs="Arial"/>
          <w:color w:val="4F81BD" w:themeColor="accent1"/>
          <w:sz w:val="24"/>
          <w:szCs w:val="24"/>
        </w:rPr>
      </w:pPr>
      <w:r w:rsidRPr="00035BCC">
        <w:rPr>
          <w:rFonts w:ascii="Verdana" w:hAnsi="Verdana" w:cs="Arial"/>
          <w:color w:val="4F81BD" w:themeColor="accent1"/>
          <w:sz w:val="24"/>
          <w:szCs w:val="24"/>
        </w:rPr>
        <w:t>Detalle de Ejecución</w:t>
      </w:r>
    </w:p>
    <w:tbl>
      <w:tblPr>
        <w:tblW w:w="5000" w:type="pct"/>
        <w:tblCellMar>
          <w:left w:w="70" w:type="dxa"/>
          <w:right w:w="70" w:type="dxa"/>
        </w:tblCellMar>
        <w:tblLook w:val="0420"/>
      </w:tblPr>
      <w:tblGrid>
        <w:gridCol w:w="3500"/>
        <w:gridCol w:w="2004"/>
        <w:gridCol w:w="1015"/>
        <w:gridCol w:w="539"/>
        <w:gridCol w:w="1015"/>
        <w:gridCol w:w="539"/>
        <w:gridCol w:w="1015"/>
        <w:gridCol w:w="539"/>
      </w:tblGrid>
      <w:tr w:rsidR="00B722F2" w:rsidRPr="00B57E80" w:rsidTr="00F02FE0">
        <w:trPr>
          <w:trHeight w:val="315"/>
        </w:trPr>
        <w:tc>
          <w:tcPr>
            <w:tcW w:w="1722" w:type="pct"/>
            <w:tcBorders>
              <w:top w:val="nil"/>
              <w:left w:val="nil"/>
              <w:bottom w:val="single" w:sz="12" w:space="0" w:color="FFFFFF"/>
              <w:right w:val="single" w:sz="4" w:space="0" w:color="FFFFFF"/>
            </w:tcBorders>
            <w:shd w:val="clear" w:color="4F81BD" w:fill="4F81BD"/>
            <w:noWrap/>
            <w:vAlign w:val="bottom"/>
            <w:hideMark/>
          </w:tcPr>
          <w:p w:rsidR="00B722F2" w:rsidRPr="00B57E80" w:rsidRDefault="00B722F2" w:rsidP="00B722F2">
            <w:pPr>
              <w:spacing w:after="0" w:line="240" w:lineRule="auto"/>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lastRenderedPageBreak/>
              <w:t>Concepto</w:t>
            </w:r>
          </w:p>
        </w:tc>
        <w:tc>
          <w:tcPr>
            <w:tcW w:w="986" w:type="pct"/>
            <w:tcBorders>
              <w:top w:val="nil"/>
              <w:left w:val="nil"/>
              <w:bottom w:val="single" w:sz="12" w:space="0" w:color="FFFFFF"/>
              <w:right w:val="single" w:sz="4" w:space="0" w:color="FFFFFF"/>
            </w:tcBorders>
            <w:shd w:val="clear" w:color="4F81BD" w:fill="4F81BD"/>
            <w:noWrap/>
            <w:vAlign w:val="bottom"/>
            <w:hideMark/>
          </w:tcPr>
          <w:p w:rsidR="00B722F2" w:rsidRPr="00B57E80" w:rsidRDefault="00B722F2" w:rsidP="00B722F2">
            <w:pPr>
              <w:spacing w:after="0" w:line="240" w:lineRule="auto"/>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Total Apropiado</w:t>
            </w:r>
          </w:p>
        </w:tc>
        <w:tc>
          <w:tcPr>
            <w:tcW w:w="499" w:type="pct"/>
            <w:tcBorders>
              <w:top w:val="nil"/>
              <w:left w:val="nil"/>
              <w:bottom w:val="single" w:sz="12" w:space="0" w:color="FFFFFF"/>
              <w:right w:val="single" w:sz="4" w:space="0" w:color="FFFFFF"/>
            </w:tcBorders>
            <w:shd w:val="clear" w:color="4F81BD" w:fill="4F81BD"/>
            <w:noWrap/>
            <w:vAlign w:val="bottom"/>
            <w:hideMark/>
          </w:tcPr>
          <w:p w:rsidR="00B722F2" w:rsidRPr="00B57E80" w:rsidRDefault="00B722F2" w:rsidP="00B722F2">
            <w:pPr>
              <w:spacing w:after="0" w:line="240" w:lineRule="auto"/>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RPS</w:t>
            </w:r>
          </w:p>
        </w:tc>
        <w:tc>
          <w:tcPr>
            <w:tcW w:w="265" w:type="pct"/>
            <w:tcBorders>
              <w:top w:val="nil"/>
              <w:left w:val="nil"/>
              <w:bottom w:val="single" w:sz="12" w:space="0" w:color="FFFFFF"/>
              <w:right w:val="single" w:sz="4" w:space="0" w:color="FFFFFF"/>
            </w:tcBorders>
            <w:shd w:val="clear" w:color="4F81BD" w:fill="4F81BD"/>
            <w:noWrap/>
            <w:vAlign w:val="bottom"/>
            <w:hideMark/>
          </w:tcPr>
          <w:p w:rsidR="00B722F2" w:rsidRPr="00B57E80" w:rsidRDefault="00B722F2" w:rsidP="00B722F2">
            <w:pPr>
              <w:spacing w:after="0" w:line="240" w:lineRule="auto"/>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w:t>
            </w:r>
          </w:p>
        </w:tc>
        <w:tc>
          <w:tcPr>
            <w:tcW w:w="499" w:type="pct"/>
            <w:tcBorders>
              <w:top w:val="nil"/>
              <w:left w:val="nil"/>
              <w:bottom w:val="single" w:sz="12" w:space="0" w:color="FFFFFF"/>
              <w:right w:val="single" w:sz="4" w:space="0" w:color="FFFFFF"/>
            </w:tcBorders>
            <w:shd w:val="clear" w:color="4F81BD" w:fill="4F81BD"/>
            <w:noWrap/>
            <w:vAlign w:val="bottom"/>
            <w:hideMark/>
          </w:tcPr>
          <w:p w:rsidR="00B722F2" w:rsidRPr="00B57E80" w:rsidRDefault="00B722F2" w:rsidP="00B722F2">
            <w:pPr>
              <w:spacing w:after="0" w:line="240" w:lineRule="auto"/>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OBL</w:t>
            </w:r>
          </w:p>
        </w:tc>
        <w:tc>
          <w:tcPr>
            <w:tcW w:w="265" w:type="pct"/>
            <w:tcBorders>
              <w:top w:val="nil"/>
              <w:left w:val="nil"/>
              <w:bottom w:val="single" w:sz="12" w:space="0" w:color="FFFFFF"/>
              <w:right w:val="single" w:sz="4" w:space="0" w:color="FFFFFF"/>
            </w:tcBorders>
            <w:shd w:val="clear" w:color="4F81BD" w:fill="4F81BD"/>
            <w:noWrap/>
            <w:vAlign w:val="bottom"/>
            <w:hideMark/>
          </w:tcPr>
          <w:p w:rsidR="00B722F2" w:rsidRPr="00B57E80" w:rsidRDefault="00B722F2" w:rsidP="00B722F2">
            <w:pPr>
              <w:spacing w:after="0" w:line="240" w:lineRule="auto"/>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w:t>
            </w:r>
          </w:p>
        </w:tc>
        <w:tc>
          <w:tcPr>
            <w:tcW w:w="499" w:type="pct"/>
            <w:tcBorders>
              <w:top w:val="nil"/>
              <w:left w:val="nil"/>
              <w:bottom w:val="single" w:sz="12" w:space="0" w:color="FFFFFF"/>
              <w:right w:val="single" w:sz="4" w:space="0" w:color="FFFFFF"/>
            </w:tcBorders>
            <w:shd w:val="clear" w:color="4F81BD" w:fill="4F81BD"/>
            <w:noWrap/>
            <w:vAlign w:val="bottom"/>
            <w:hideMark/>
          </w:tcPr>
          <w:p w:rsidR="00B722F2" w:rsidRPr="00B57E80" w:rsidRDefault="00B722F2" w:rsidP="00B722F2">
            <w:pPr>
              <w:spacing w:after="0" w:line="240" w:lineRule="auto"/>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Pagos</w:t>
            </w:r>
          </w:p>
        </w:tc>
        <w:tc>
          <w:tcPr>
            <w:tcW w:w="265" w:type="pct"/>
            <w:tcBorders>
              <w:top w:val="nil"/>
              <w:left w:val="nil"/>
              <w:bottom w:val="single" w:sz="12" w:space="0" w:color="FFFFFF"/>
              <w:right w:val="single" w:sz="4" w:space="0" w:color="FFFFFF"/>
            </w:tcBorders>
            <w:shd w:val="clear" w:color="4F81BD" w:fill="4F81BD"/>
            <w:noWrap/>
            <w:vAlign w:val="bottom"/>
            <w:hideMark/>
          </w:tcPr>
          <w:p w:rsidR="00B722F2" w:rsidRPr="00B57E80" w:rsidRDefault="00B722F2" w:rsidP="00B722F2">
            <w:pPr>
              <w:spacing w:after="0" w:line="240" w:lineRule="auto"/>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w:t>
            </w:r>
          </w:p>
        </w:tc>
      </w:tr>
      <w:tr w:rsidR="00B722F2" w:rsidRPr="00B57E80" w:rsidTr="00F02FE0">
        <w:trPr>
          <w:trHeight w:val="315"/>
        </w:trPr>
        <w:tc>
          <w:tcPr>
            <w:tcW w:w="1722" w:type="pct"/>
            <w:tcBorders>
              <w:top w:val="single" w:sz="4" w:space="0" w:color="FFFFFF"/>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Total Ingresos</w:t>
            </w:r>
          </w:p>
        </w:tc>
        <w:tc>
          <w:tcPr>
            <w:tcW w:w="986" w:type="pct"/>
            <w:tcBorders>
              <w:top w:val="single" w:sz="4" w:space="0" w:color="FFFFFF"/>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0</w:t>
            </w:r>
          </w:p>
        </w:tc>
        <w:tc>
          <w:tcPr>
            <w:tcW w:w="499" w:type="pct"/>
            <w:tcBorders>
              <w:top w:val="single" w:sz="4" w:space="0" w:color="FFFFFF"/>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w:t>
            </w:r>
          </w:p>
        </w:tc>
        <w:tc>
          <w:tcPr>
            <w:tcW w:w="265" w:type="pct"/>
            <w:tcBorders>
              <w:top w:val="single" w:sz="4" w:space="0" w:color="FFFFFF"/>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w:t>
            </w:r>
          </w:p>
        </w:tc>
        <w:tc>
          <w:tcPr>
            <w:tcW w:w="499" w:type="pct"/>
            <w:tcBorders>
              <w:top w:val="single" w:sz="4" w:space="0" w:color="FFFFFF"/>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w:t>
            </w:r>
          </w:p>
        </w:tc>
        <w:tc>
          <w:tcPr>
            <w:tcW w:w="265" w:type="pct"/>
            <w:tcBorders>
              <w:top w:val="single" w:sz="4" w:space="0" w:color="FFFFFF"/>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w:t>
            </w:r>
          </w:p>
        </w:tc>
        <w:tc>
          <w:tcPr>
            <w:tcW w:w="499" w:type="pct"/>
            <w:tcBorders>
              <w:top w:val="single" w:sz="4" w:space="0" w:color="FFFFFF"/>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472</w:t>
            </w:r>
          </w:p>
        </w:tc>
        <w:tc>
          <w:tcPr>
            <w:tcW w:w="265" w:type="pct"/>
            <w:tcBorders>
              <w:top w:val="single" w:sz="4" w:space="0" w:color="FFFFFF"/>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100</w:t>
            </w:r>
          </w:p>
        </w:tc>
      </w:tr>
      <w:tr w:rsidR="00B722F2" w:rsidRPr="00B57E80" w:rsidTr="00F02FE0">
        <w:trPr>
          <w:trHeight w:val="300"/>
        </w:trPr>
        <w:tc>
          <w:tcPr>
            <w:tcW w:w="1722"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Total Gastos</w:t>
            </w:r>
          </w:p>
        </w:tc>
        <w:tc>
          <w:tcPr>
            <w:tcW w:w="986"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210,746</w:t>
            </w:r>
          </w:p>
        </w:tc>
        <w:tc>
          <w:tcPr>
            <w:tcW w:w="499"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206,478</w:t>
            </w:r>
          </w:p>
        </w:tc>
        <w:tc>
          <w:tcPr>
            <w:tcW w:w="265"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98</w:t>
            </w:r>
          </w:p>
        </w:tc>
        <w:tc>
          <w:tcPr>
            <w:tcW w:w="499"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197,565</w:t>
            </w:r>
          </w:p>
        </w:tc>
        <w:tc>
          <w:tcPr>
            <w:tcW w:w="265"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96</w:t>
            </w:r>
          </w:p>
        </w:tc>
        <w:tc>
          <w:tcPr>
            <w:tcW w:w="499"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175,299</w:t>
            </w:r>
          </w:p>
        </w:tc>
        <w:tc>
          <w:tcPr>
            <w:tcW w:w="265"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85</w:t>
            </w:r>
          </w:p>
        </w:tc>
      </w:tr>
      <w:tr w:rsidR="00B722F2" w:rsidRPr="00B57E80" w:rsidTr="00F02FE0">
        <w:trPr>
          <w:trHeight w:val="300"/>
        </w:trPr>
        <w:tc>
          <w:tcPr>
            <w:tcW w:w="1722"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Personal</w:t>
            </w:r>
          </w:p>
        </w:tc>
        <w:tc>
          <w:tcPr>
            <w:tcW w:w="986"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27,575</w:t>
            </w:r>
          </w:p>
        </w:tc>
        <w:tc>
          <w:tcPr>
            <w:tcW w:w="499"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26,4</w:t>
            </w:r>
          </w:p>
        </w:tc>
        <w:tc>
          <w:tcPr>
            <w:tcW w:w="265"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96</w:t>
            </w:r>
          </w:p>
        </w:tc>
        <w:tc>
          <w:tcPr>
            <w:tcW w:w="499"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26,4</w:t>
            </w:r>
          </w:p>
        </w:tc>
        <w:tc>
          <w:tcPr>
            <w:tcW w:w="265"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100</w:t>
            </w:r>
          </w:p>
        </w:tc>
        <w:tc>
          <w:tcPr>
            <w:tcW w:w="499"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26,4</w:t>
            </w:r>
          </w:p>
        </w:tc>
        <w:tc>
          <w:tcPr>
            <w:tcW w:w="265"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100</w:t>
            </w:r>
          </w:p>
        </w:tc>
      </w:tr>
      <w:tr w:rsidR="00B722F2" w:rsidRPr="00B57E80" w:rsidTr="00F02FE0">
        <w:trPr>
          <w:trHeight w:val="300"/>
        </w:trPr>
        <w:tc>
          <w:tcPr>
            <w:tcW w:w="1722"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Bienes y Servicios</w:t>
            </w:r>
          </w:p>
        </w:tc>
        <w:tc>
          <w:tcPr>
            <w:tcW w:w="986"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7,743</w:t>
            </w:r>
          </w:p>
        </w:tc>
        <w:tc>
          <w:tcPr>
            <w:tcW w:w="499"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7,441</w:t>
            </w:r>
          </w:p>
        </w:tc>
        <w:tc>
          <w:tcPr>
            <w:tcW w:w="265"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96</w:t>
            </w:r>
          </w:p>
        </w:tc>
        <w:tc>
          <w:tcPr>
            <w:tcW w:w="499"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7,057</w:t>
            </w:r>
          </w:p>
        </w:tc>
        <w:tc>
          <w:tcPr>
            <w:tcW w:w="265"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95</w:t>
            </w:r>
          </w:p>
        </w:tc>
        <w:tc>
          <w:tcPr>
            <w:tcW w:w="499"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5,652</w:t>
            </w:r>
          </w:p>
        </w:tc>
        <w:tc>
          <w:tcPr>
            <w:tcW w:w="265"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76</w:t>
            </w:r>
          </w:p>
        </w:tc>
      </w:tr>
      <w:tr w:rsidR="00B722F2" w:rsidRPr="00B57E80" w:rsidTr="00F02FE0">
        <w:trPr>
          <w:trHeight w:val="300"/>
        </w:trPr>
        <w:tc>
          <w:tcPr>
            <w:tcW w:w="1722"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Transferencias</w:t>
            </w:r>
          </w:p>
        </w:tc>
        <w:tc>
          <w:tcPr>
            <w:tcW w:w="986"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428</w:t>
            </w:r>
          </w:p>
        </w:tc>
        <w:tc>
          <w:tcPr>
            <w:tcW w:w="499"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376</w:t>
            </w:r>
          </w:p>
        </w:tc>
        <w:tc>
          <w:tcPr>
            <w:tcW w:w="265"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88</w:t>
            </w:r>
          </w:p>
        </w:tc>
        <w:tc>
          <w:tcPr>
            <w:tcW w:w="499"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376</w:t>
            </w:r>
          </w:p>
        </w:tc>
        <w:tc>
          <w:tcPr>
            <w:tcW w:w="265"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100</w:t>
            </w:r>
          </w:p>
        </w:tc>
        <w:tc>
          <w:tcPr>
            <w:tcW w:w="499"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376</w:t>
            </w:r>
          </w:p>
        </w:tc>
        <w:tc>
          <w:tcPr>
            <w:tcW w:w="265"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100</w:t>
            </w:r>
          </w:p>
        </w:tc>
      </w:tr>
      <w:tr w:rsidR="00B722F2" w:rsidRPr="00B57E80" w:rsidTr="00F02FE0">
        <w:trPr>
          <w:trHeight w:val="300"/>
        </w:trPr>
        <w:tc>
          <w:tcPr>
            <w:tcW w:w="1722"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Inversión</w:t>
            </w:r>
          </w:p>
        </w:tc>
        <w:tc>
          <w:tcPr>
            <w:tcW w:w="986"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175</w:t>
            </w:r>
          </w:p>
        </w:tc>
        <w:tc>
          <w:tcPr>
            <w:tcW w:w="499"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172,26</w:t>
            </w:r>
          </w:p>
        </w:tc>
        <w:tc>
          <w:tcPr>
            <w:tcW w:w="265"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98</w:t>
            </w:r>
          </w:p>
        </w:tc>
        <w:tc>
          <w:tcPr>
            <w:tcW w:w="499"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163,732</w:t>
            </w:r>
          </w:p>
        </w:tc>
        <w:tc>
          <w:tcPr>
            <w:tcW w:w="265"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95</w:t>
            </w:r>
          </w:p>
        </w:tc>
        <w:tc>
          <w:tcPr>
            <w:tcW w:w="499"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142,871</w:t>
            </w:r>
          </w:p>
        </w:tc>
        <w:tc>
          <w:tcPr>
            <w:tcW w:w="265" w:type="pct"/>
            <w:tcBorders>
              <w:top w:val="nil"/>
              <w:left w:val="nil"/>
              <w:bottom w:val="single" w:sz="4" w:space="0" w:color="FFFFFF"/>
              <w:right w:val="single" w:sz="4" w:space="0" w:color="FFFFFF"/>
            </w:tcBorders>
            <w:shd w:val="clear" w:color="DCE6F1" w:fill="DCE6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83</w:t>
            </w:r>
          </w:p>
        </w:tc>
      </w:tr>
      <w:tr w:rsidR="00B722F2" w:rsidRPr="00B57E80" w:rsidTr="00F02FE0">
        <w:trPr>
          <w:trHeight w:val="300"/>
        </w:trPr>
        <w:tc>
          <w:tcPr>
            <w:tcW w:w="1722"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Total Rezago Presupuestal 2013</w:t>
            </w:r>
          </w:p>
        </w:tc>
        <w:tc>
          <w:tcPr>
            <w:tcW w:w="986"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17,488</w:t>
            </w:r>
          </w:p>
        </w:tc>
        <w:tc>
          <w:tcPr>
            <w:tcW w:w="499"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17,488</w:t>
            </w:r>
          </w:p>
        </w:tc>
        <w:tc>
          <w:tcPr>
            <w:tcW w:w="265"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100</w:t>
            </w:r>
          </w:p>
        </w:tc>
        <w:tc>
          <w:tcPr>
            <w:tcW w:w="499"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17,488</w:t>
            </w:r>
          </w:p>
        </w:tc>
        <w:tc>
          <w:tcPr>
            <w:tcW w:w="265"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100</w:t>
            </w:r>
          </w:p>
        </w:tc>
        <w:tc>
          <w:tcPr>
            <w:tcW w:w="499"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17,488</w:t>
            </w:r>
          </w:p>
        </w:tc>
        <w:tc>
          <w:tcPr>
            <w:tcW w:w="265" w:type="pct"/>
            <w:tcBorders>
              <w:top w:val="nil"/>
              <w:left w:val="nil"/>
              <w:bottom w:val="single" w:sz="4" w:space="0" w:color="FFFFFF"/>
              <w:right w:val="single" w:sz="4" w:space="0" w:color="FFFFFF"/>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100</w:t>
            </w:r>
          </w:p>
        </w:tc>
      </w:tr>
      <w:tr w:rsidR="00B722F2" w:rsidRPr="00B57E80" w:rsidTr="00F02FE0">
        <w:trPr>
          <w:trHeight w:val="300"/>
        </w:trPr>
        <w:tc>
          <w:tcPr>
            <w:tcW w:w="1722" w:type="pct"/>
            <w:tcBorders>
              <w:top w:val="nil"/>
              <w:left w:val="nil"/>
              <w:bottom w:val="nil"/>
              <w:right w:val="nil"/>
            </w:tcBorders>
            <w:shd w:val="clear" w:color="auto" w:fill="auto"/>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Fuente: SIIF Nación.</w:t>
            </w:r>
          </w:p>
        </w:tc>
        <w:tc>
          <w:tcPr>
            <w:tcW w:w="986" w:type="pct"/>
            <w:tcBorders>
              <w:top w:val="nil"/>
              <w:left w:val="nil"/>
              <w:bottom w:val="nil"/>
              <w:right w:val="nil"/>
            </w:tcBorders>
            <w:shd w:val="clear" w:color="auto" w:fill="auto"/>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p>
        </w:tc>
        <w:tc>
          <w:tcPr>
            <w:tcW w:w="499" w:type="pct"/>
            <w:tcBorders>
              <w:top w:val="nil"/>
              <w:left w:val="nil"/>
              <w:bottom w:val="nil"/>
              <w:right w:val="nil"/>
            </w:tcBorders>
            <w:shd w:val="clear" w:color="auto" w:fill="auto"/>
            <w:noWrap/>
            <w:vAlign w:val="bottom"/>
            <w:hideMark/>
          </w:tcPr>
          <w:p w:rsidR="00B722F2" w:rsidRPr="00B57E80" w:rsidRDefault="00B722F2" w:rsidP="00B722F2">
            <w:pPr>
              <w:spacing w:after="0" w:line="240" w:lineRule="auto"/>
              <w:rPr>
                <w:rFonts w:ascii="Verdana" w:eastAsia="Times New Roman" w:hAnsi="Verdana" w:cs="Times New Roman"/>
                <w:sz w:val="20"/>
                <w:szCs w:val="20"/>
                <w:lang w:eastAsia="es-CO"/>
              </w:rPr>
            </w:pPr>
          </w:p>
        </w:tc>
        <w:tc>
          <w:tcPr>
            <w:tcW w:w="265" w:type="pct"/>
            <w:tcBorders>
              <w:top w:val="nil"/>
              <w:left w:val="nil"/>
              <w:bottom w:val="nil"/>
              <w:right w:val="nil"/>
            </w:tcBorders>
            <w:shd w:val="clear" w:color="auto" w:fill="auto"/>
            <w:noWrap/>
            <w:vAlign w:val="bottom"/>
            <w:hideMark/>
          </w:tcPr>
          <w:p w:rsidR="00B722F2" w:rsidRPr="00B57E80" w:rsidRDefault="00B722F2" w:rsidP="00B722F2">
            <w:pPr>
              <w:spacing w:after="0" w:line="240" w:lineRule="auto"/>
              <w:rPr>
                <w:rFonts w:ascii="Verdana" w:eastAsia="Times New Roman" w:hAnsi="Verdana" w:cs="Times New Roman"/>
                <w:sz w:val="20"/>
                <w:szCs w:val="20"/>
                <w:lang w:eastAsia="es-CO"/>
              </w:rPr>
            </w:pPr>
          </w:p>
        </w:tc>
        <w:tc>
          <w:tcPr>
            <w:tcW w:w="499" w:type="pct"/>
            <w:tcBorders>
              <w:top w:val="nil"/>
              <w:left w:val="nil"/>
              <w:bottom w:val="nil"/>
              <w:right w:val="nil"/>
            </w:tcBorders>
            <w:shd w:val="clear" w:color="auto" w:fill="auto"/>
            <w:noWrap/>
            <w:vAlign w:val="bottom"/>
            <w:hideMark/>
          </w:tcPr>
          <w:p w:rsidR="00B722F2" w:rsidRPr="00B57E80" w:rsidRDefault="00B722F2" w:rsidP="00B722F2">
            <w:pPr>
              <w:spacing w:after="0" w:line="240" w:lineRule="auto"/>
              <w:rPr>
                <w:rFonts w:ascii="Verdana" w:eastAsia="Times New Roman" w:hAnsi="Verdana" w:cs="Times New Roman"/>
                <w:sz w:val="20"/>
                <w:szCs w:val="20"/>
                <w:lang w:eastAsia="es-CO"/>
              </w:rPr>
            </w:pPr>
          </w:p>
        </w:tc>
        <w:tc>
          <w:tcPr>
            <w:tcW w:w="265" w:type="pct"/>
            <w:tcBorders>
              <w:top w:val="nil"/>
              <w:left w:val="nil"/>
              <w:bottom w:val="nil"/>
              <w:right w:val="nil"/>
            </w:tcBorders>
            <w:shd w:val="clear" w:color="auto" w:fill="auto"/>
            <w:noWrap/>
            <w:vAlign w:val="bottom"/>
            <w:hideMark/>
          </w:tcPr>
          <w:p w:rsidR="00B722F2" w:rsidRPr="00B57E80" w:rsidRDefault="00B722F2" w:rsidP="00B722F2">
            <w:pPr>
              <w:spacing w:after="0" w:line="240" w:lineRule="auto"/>
              <w:rPr>
                <w:rFonts w:ascii="Verdana" w:eastAsia="Times New Roman" w:hAnsi="Verdana" w:cs="Times New Roman"/>
                <w:sz w:val="20"/>
                <w:szCs w:val="20"/>
                <w:lang w:eastAsia="es-CO"/>
              </w:rPr>
            </w:pPr>
          </w:p>
        </w:tc>
        <w:tc>
          <w:tcPr>
            <w:tcW w:w="499" w:type="pct"/>
            <w:tcBorders>
              <w:top w:val="nil"/>
              <w:left w:val="nil"/>
              <w:bottom w:val="nil"/>
              <w:right w:val="nil"/>
            </w:tcBorders>
            <w:shd w:val="clear" w:color="auto" w:fill="auto"/>
            <w:noWrap/>
            <w:vAlign w:val="bottom"/>
            <w:hideMark/>
          </w:tcPr>
          <w:p w:rsidR="00B722F2" w:rsidRPr="00B57E80" w:rsidRDefault="00B722F2" w:rsidP="00B722F2">
            <w:pPr>
              <w:spacing w:after="0" w:line="240" w:lineRule="auto"/>
              <w:rPr>
                <w:rFonts w:ascii="Verdana" w:eastAsia="Times New Roman" w:hAnsi="Verdana" w:cs="Times New Roman"/>
                <w:sz w:val="20"/>
                <w:szCs w:val="20"/>
                <w:lang w:eastAsia="es-CO"/>
              </w:rPr>
            </w:pPr>
          </w:p>
        </w:tc>
        <w:tc>
          <w:tcPr>
            <w:tcW w:w="265" w:type="pct"/>
            <w:tcBorders>
              <w:top w:val="nil"/>
              <w:left w:val="nil"/>
              <w:bottom w:val="nil"/>
              <w:right w:val="nil"/>
            </w:tcBorders>
            <w:shd w:val="clear" w:color="auto" w:fill="auto"/>
            <w:noWrap/>
            <w:vAlign w:val="bottom"/>
            <w:hideMark/>
          </w:tcPr>
          <w:p w:rsidR="00B722F2" w:rsidRPr="00B57E80" w:rsidRDefault="00B722F2" w:rsidP="00B722F2">
            <w:pPr>
              <w:spacing w:after="0" w:line="240" w:lineRule="auto"/>
              <w:rPr>
                <w:rFonts w:ascii="Verdana" w:eastAsia="Times New Roman" w:hAnsi="Verdana" w:cs="Times New Roman"/>
                <w:sz w:val="20"/>
                <w:szCs w:val="20"/>
                <w:lang w:eastAsia="es-CO"/>
              </w:rPr>
            </w:pPr>
          </w:p>
        </w:tc>
      </w:tr>
    </w:tbl>
    <w:p w:rsidR="00B722F2" w:rsidRPr="00B57E80" w:rsidRDefault="00B722F2" w:rsidP="00B722F2">
      <w:pPr>
        <w:spacing w:after="0"/>
        <w:rPr>
          <w:rFonts w:ascii="Verdana" w:hAnsi="Verdana" w:cs="Arial"/>
          <w:color w:val="C0504D" w:themeColor="accent2"/>
          <w:sz w:val="24"/>
          <w:szCs w:val="24"/>
        </w:rPr>
      </w:pPr>
    </w:p>
    <w:p w:rsidR="00B722F2" w:rsidRPr="00035BCC" w:rsidRDefault="00B722F2" w:rsidP="00B722F2">
      <w:pPr>
        <w:spacing w:after="0"/>
        <w:rPr>
          <w:rFonts w:ascii="Verdana" w:hAnsi="Verdana" w:cs="Arial"/>
          <w:color w:val="4F81BD" w:themeColor="accent1"/>
          <w:sz w:val="24"/>
          <w:szCs w:val="24"/>
        </w:rPr>
      </w:pPr>
      <w:r w:rsidRPr="00035BCC">
        <w:rPr>
          <w:rFonts w:ascii="Verdana" w:hAnsi="Verdana" w:cs="Arial"/>
          <w:color w:val="4F81BD" w:themeColor="accent1"/>
          <w:sz w:val="24"/>
          <w:szCs w:val="24"/>
        </w:rPr>
        <w:t xml:space="preserve">Detalle del Rezago Presupuestal. Vigencia 2014 para </w:t>
      </w:r>
      <w:r w:rsidR="00035BCC">
        <w:rPr>
          <w:rFonts w:ascii="Verdana" w:hAnsi="Verdana" w:cs="Arial"/>
          <w:color w:val="4F81BD" w:themeColor="accent1"/>
          <w:sz w:val="24"/>
          <w:szCs w:val="24"/>
        </w:rPr>
        <w:t>Ejecución en 2015</w:t>
      </w:r>
    </w:p>
    <w:tbl>
      <w:tblPr>
        <w:tblW w:w="5000" w:type="pct"/>
        <w:tblCellMar>
          <w:left w:w="70" w:type="dxa"/>
          <w:right w:w="70" w:type="dxa"/>
        </w:tblCellMar>
        <w:tblLook w:val="0420"/>
      </w:tblPr>
      <w:tblGrid>
        <w:gridCol w:w="2235"/>
        <w:gridCol w:w="1911"/>
        <w:gridCol w:w="1982"/>
        <w:gridCol w:w="396"/>
        <w:gridCol w:w="1773"/>
        <w:gridCol w:w="1869"/>
      </w:tblGrid>
      <w:tr w:rsidR="00B722F2" w:rsidRPr="00B57E80" w:rsidTr="00F02FE0">
        <w:trPr>
          <w:trHeight w:val="435"/>
        </w:trPr>
        <w:tc>
          <w:tcPr>
            <w:tcW w:w="1099" w:type="pct"/>
            <w:tcBorders>
              <w:top w:val="nil"/>
              <w:left w:val="nil"/>
              <w:bottom w:val="single" w:sz="12" w:space="0" w:color="FFFFFF"/>
              <w:right w:val="single" w:sz="4" w:space="0" w:color="FFFFFF"/>
            </w:tcBorders>
            <w:shd w:val="clear" w:color="4F81BD" w:fill="4F81BD"/>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Concepto</w:t>
            </w:r>
          </w:p>
        </w:tc>
        <w:tc>
          <w:tcPr>
            <w:tcW w:w="940" w:type="pct"/>
            <w:tcBorders>
              <w:top w:val="nil"/>
              <w:left w:val="nil"/>
              <w:bottom w:val="single" w:sz="12" w:space="0" w:color="FFFFFF"/>
              <w:right w:val="single" w:sz="4" w:space="0" w:color="FFFFFF"/>
            </w:tcBorders>
            <w:shd w:val="clear" w:color="4F81BD" w:fill="4F81BD"/>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Total Apropiado</w:t>
            </w:r>
          </w:p>
        </w:tc>
        <w:tc>
          <w:tcPr>
            <w:tcW w:w="975" w:type="pct"/>
            <w:tcBorders>
              <w:top w:val="nil"/>
              <w:left w:val="nil"/>
              <w:bottom w:val="single" w:sz="12" w:space="0" w:color="FFFFFF"/>
              <w:right w:val="single" w:sz="4" w:space="0" w:color="FFFFFF"/>
            </w:tcBorders>
            <w:shd w:val="clear" w:color="4F81BD" w:fill="4F81BD"/>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Reserva Presupuestal</w:t>
            </w:r>
          </w:p>
        </w:tc>
        <w:tc>
          <w:tcPr>
            <w:tcW w:w="195" w:type="pct"/>
            <w:tcBorders>
              <w:top w:val="nil"/>
              <w:left w:val="nil"/>
              <w:bottom w:val="single" w:sz="12" w:space="0" w:color="FFFFFF"/>
              <w:right w:val="single" w:sz="4" w:space="0" w:color="FFFFFF"/>
            </w:tcBorders>
            <w:shd w:val="clear" w:color="4F81BD" w:fill="4F81BD"/>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w:t>
            </w:r>
          </w:p>
        </w:tc>
        <w:tc>
          <w:tcPr>
            <w:tcW w:w="872" w:type="pct"/>
            <w:tcBorders>
              <w:top w:val="nil"/>
              <w:left w:val="nil"/>
              <w:bottom w:val="single" w:sz="12" w:space="0" w:color="FFFFFF"/>
              <w:right w:val="single" w:sz="4" w:space="0" w:color="FFFFFF"/>
            </w:tcBorders>
            <w:shd w:val="clear" w:color="4F81BD" w:fill="4F81BD"/>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Cuentas por Pagar</w:t>
            </w:r>
          </w:p>
        </w:tc>
        <w:tc>
          <w:tcPr>
            <w:tcW w:w="919" w:type="pct"/>
            <w:tcBorders>
              <w:top w:val="nil"/>
              <w:left w:val="nil"/>
              <w:bottom w:val="single" w:sz="12" w:space="0" w:color="FFFFFF"/>
              <w:right w:val="single" w:sz="4" w:space="0" w:color="FFFFFF"/>
            </w:tcBorders>
            <w:shd w:val="clear" w:color="4F81BD" w:fill="4F81BD"/>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Total Rezago Presupuestal</w:t>
            </w:r>
          </w:p>
        </w:tc>
      </w:tr>
      <w:tr w:rsidR="00B722F2" w:rsidRPr="00B57E80" w:rsidTr="00F02FE0">
        <w:trPr>
          <w:trHeight w:val="315"/>
        </w:trPr>
        <w:tc>
          <w:tcPr>
            <w:tcW w:w="1099" w:type="pct"/>
            <w:tcBorders>
              <w:top w:val="single" w:sz="4" w:space="0" w:color="FFFFFF"/>
              <w:left w:val="nil"/>
              <w:bottom w:val="single" w:sz="4" w:space="0" w:color="FFFFFF"/>
              <w:right w:val="single" w:sz="4" w:space="0" w:color="FFFFFF"/>
            </w:tcBorders>
            <w:shd w:val="clear" w:color="B8CCE4" w:fill="B8CCE4"/>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Total Gastos</w:t>
            </w:r>
          </w:p>
        </w:tc>
        <w:tc>
          <w:tcPr>
            <w:tcW w:w="940" w:type="pct"/>
            <w:tcBorders>
              <w:top w:val="single" w:sz="4" w:space="0" w:color="FFFFFF"/>
              <w:left w:val="nil"/>
              <w:bottom w:val="single" w:sz="4" w:space="0" w:color="FFFFFF"/>
              <w:right w:val="single" w:sz="4" w:space="0" w:color="FFFFFF"/>
            </w:tcBorders>
            <w:shd w:val="clear" w:color="B8CCE4" w:fill="B8CCE4"/>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210,746</w:t>
            </w:r>
          </w:p>
        </w:tc>
        <w:tc>
          <w:tcPr>
            <w:tcW w:w="975" w:type="pct"/>
            <w:tcBorders>
              <w:top w:val="single" w:sz="4" w:space="0" w:color="FFFFFF"/>
              <w:left w:val="nil"/>
              <w:bottom w:val="single" w:sz="4" w:space="0" w:color="FFFFFF"/>
              <w:right w:val="single" w:sz="4" w:space="0" w:color="FFFFFF"/>
            </w:tcBorders>
            <w:shd w:val="clear" w:color="B8CCE4" w:fill="B8CCE4"/>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8,913</w:t>
            </w:r>
          </w:p>
        </w:tc>
        <w:tc>
          <w:tcPr>
            <w:tcW w:w="195" w:type="pct"/>
            <w:tcBorders>
              <w:top w:val="single" w:sz="4" w:space="0" w:color="FFFFFF"/>
              <w:left w:val="nil"/>
              <w:bottom w:val="single" w:sz="4" w:space="0" w:color="FFFFFF"/>
              <w:right w:val="single" w:sz="4" w:space="0" w:color="FFFFFF"/>
            </w:tcBorders>
            <w:shd w:val="clear" w:color="B8CCE4" w:fill="B8CCE4"/>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4</w:t>
            </w:r>
          </w:p>
        </w:tc>
        <w:tc>
          <w:tcPr>
            <w:tcW w:w="872" w:type="pct"/>
            <w:tcBorders>
              <w:top w:val="single" w:sz="4" w:space="0" w:color="FFFFFF"/>
              <w:left w:val="nil"/>
              <w:bottom w:val="single" w:sz="4" w:space="0" w:color="FFFFFF"/>
              <w:right w:val="single" w:sz="4" w:space="0" w:color="FFFFFF"/>
            </w:tcBorders>
            <w:shd w:val="clear" w:color="B8CCE4" w:fill="B8CCE4"/>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22,266</w:t>
            </w:r>
          </w:p>
        </w:tc>
        <w:tc>
          <w:tcPr>
            <w:tcW w:w="919" w:type="pct"/>
            <w:tcBorders>
              <w:top w:val="single" w:sz="4" w:space="0" w:color="FFFFFF"/>
              <w:left w:val="nil"/>
              <w:bottom w:val="single" w:sz="4" w:space="0" w:color="FFFFFF"/>
              <w:right w:val="single" w:sz="4" w:space="0" w:color="FFFFFF"/>
            </w:tcBorders>
            <w:shd w:val="clear" w:color="B8CCE4" w:fill="B8CCE4"/>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31,179</w:t>
            </w:r>
          </w:p>
        </w:tc>
      </w:tr>
      <w:tr w:rsidR="00B722F2" w:rsidRPr="00B57E80" w:rsidTr="00F02FE0">
        <w:trPr>
          <w:trHeight w:val="300"/>
        </w:trPr>
        <w:tc>
          <w:tcPr>
            <w:tcW w:w="1099" w:type="pct"/>
            <w:tcBorders>
              <w:top w:val="nil"/>
              <w:left w:val="nil"/>
              <w:bottom w:val="single" w:sz="4" w:space="0" w:color="FFFFFF"/>
              <w:right w:val="single" w:sz="4" w:space="0" w:color="FFFFFF"/>
            </w:tcBorders>
            <w:shd w:val="clear" w:color="DCE6F1" w:fill="DCE6F1"/>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Total Inversión</w:t>
            </w:r>
          </w:p>
        </w:tc>
        <w:tc>
          <w:tcPr>
            <w:tcW w:w="940" w:type="pct"/>
            <w:tcBorders>
              <w:top w:val="nil"/>
              <w:left w:val="nil"/>
              <w:bottom w:val="single" w:sz="4" w:space="0" w:color="FFFFFF"/>
              <w:right w:val="single" w:sz="4" w:space="0" w:color="FFFFFF"/>
            </w:tcBorders>
            <w:shd w:val="clear" w:color="DCE6F1" w:fill="DCE6F1"/>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175</w:t>
            </w:r>
          </w:p>
        </w:tc>
        <w:tc>
          <w:tcPr>
            <w:tcW w:w="975" w:type="pct"/>
            <w:tcBorders>
              <w:top w:val="nil"/>
              <w:left w:val="nil"/>
              <w:bottom w:val="single" w:sz="4" w:space="0" w:color="FFFFFF"/>
              <w:right w:val="single" w:sz="4" w:space="0" w:color="FFFFFF"/>
            </w:tcBorders>
            <w:shd w:val="clear" w:color="DCE6F1" w:fill="DCE6F1"/>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8,528</w:t>
            </w:r>
          </w:p>
        </w:tc>
        <w:tc>
          <w:tcPr>
            <w:tcW w:w="195" w:type="pct"/>
            <w:tcBorders>
              <w:top w:val="nil"/>
              <w:left w:val="nil"/>
              <w:bottom w:val="single" w:sz="4" w:space="0" w:color="FFFFFF"/>
              <w:right w:val="single" w:sz="4" w:space="0" w:color="FFFFFF"/>
            </w:tcBorders>
            <w:shd w:val="clear" w:color="DCE6F1" w:fill="DCE6F1"/>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5</w:t>
            </w:r>
          </w:p>
        </w:tc>
        <w:tc>
          <w:tcPr>
            <w:tcW w:w="872" w:type="pct"/>
            <w:tcBorders>
              <w:top w:val="nil"/>
              <w:left w:val="nil"/>
              <w:bottom w:val="single" w:sz="4" w:space="0" w:color="FFFFFF"/>
              <w:right w:val="single" w:sz="4" w:space="0" w:color="FFFFFF"/>
            </w:tcBorders>
            <w:shd w:val="clear" w:color="DCE6F1" w:fill="DCE6F1"/>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20,861</w:t>
            </w:r>
          </w:p>
        </w:tc>
        <w:tc>
          <w:tcPr>
            <w:tcW w:w="919" w:type="pct"/>
            <w:tcBorders>
              <w:top w:val="nil"/>
              <w:left w:val="nil"/>
              <w:bottom w:val="single" w:sz="4" w:space="0" w:color="FFFFFF"/>
              <w:right w:val="single" w:sz="4" w:space="0" w:color="FFFFFF"/>
            </w:tcBorders>
            <w:shd w:val="clear" w:color="DCE6F1" w:fill="DCE6F1"/>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29,389</w:t>
            </w:r>
          </w:p>
        </w:tc>
      </w:tr>
      <w:tr w:rsidR="00B722F2" w:rsidRPr="00B57E80" w:rsidTr="00F02FE0">
        <w:trPr>
          <w:trHeight w:val="300"/>
        </w:trPr>
        <w:tc>
          <w:tcPr>
            <w:tcW w:w="1099" w:type="pct"/>
            <w:tcBorders>
              <w:top w:val="nil"/>
              <w:left w:val="nil"/>
              <w:bottom w:val="single" w:sz="4" w:space="0" w:color="FFFFFF"/>
              <w:right w:val="single" w:sz="4" w:space="0" w:color="FFFFFF"/>
            </w:tcBorders>
            <w:shd w:val="clear" w:color="B8CCE4" w:fill="B8CCE4"/>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Total Funcionamiento</w:t>
            </w:r>
          </w:p>
        </w:tc>
        <w:tc>
          <w:tcPr>
            <w:tcW w:w="940" w:type="pct"/>
            <w:tcBorders>
              <w:top w:val="nil"/>
              <w:left w:val="nil"/>
              <w:bottom w:val="single" w:sz="4" w:space="0" w:color="FFFFFF"/>
              <w:right w:val="single" w:sz="4" w:space="0" w:color="FFFFFF"/>
            </w:tcBorders>
            <w:shd w:val="clear" w:color="B8CCE4" w:fill="B8CCE4"/>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27,575</w:t>
            </w:r>
          </w:p>
        </w:tc>
        <w:tc>
          <w:tcPr>
            <w:tcW w:w="975" w:type="pct"/>
            <w:tcBorders>
              <w:top w:val="nil"/>
              <w:left w:val="nil"/>
              <w:bottom w:val="single" w:sz="4" w:space="0" w:color="FFFFFF"/>
              <w:right w:val="single" w:sz="4" w:space="0" w:color="FFFFFF"/>
            </w:tcBorders>
            <w:shd w:val="clear" w:color="B8CCE4" w:fill="B8CCE4"/>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385</w:t>
            </w:r>
          </w:p>
        </w:tc>
        <w:tc>
          <w:tcPr>
            <w:tcW w:w="195" w:type="pct"/>
            <w:tcBorders>
              <w:top w:val="nil"/>
              <w:left w:val="nil"/>
              <w:bottom w:val="single" w:sz="4" w:space="0" w:color="FFFFFF"/>
              <w:right w:val="single" w:sz="4" w:space="0" w:color="FFFFFF"/>
            </w:tcBorders>
            <w:shd w:val="clear" w:color="B8CCE4" w:fill="B8CCE4"/>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w:t>
            </w:r>
          </w:p>
        </w:tc>
        <w:tc>
          <w:tcPr>
            <w:tcW w:w="872" w:type="pct"/>
            <w:tcBorders>
              <w:top w:val="nil"/>
              <w:left w:val="nil"/>
              <w:bottom w:val="single" w:sz="4" w:space="0" w:color="FFFFFF"/>
              <w:right w:val="single" w:sz="4" w:space="0" w:color="FFFFFF"/>
            </w:tcBorders>
            <w:shd w:val="clear" w:color="B8CCE4" w:fill="B8CCE4"/>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1,405</w:t>
            </w:r>
          </w:p>
        </w:tc>
        <w:tc>
          <w:tcPr>
            <w:tcW w:w="919" w:type="pct"/>
            <w:tcBorders>
              <w:top w:val="nil"/>
              <w:left w:val="nil"/>
              <w:bottom w:val="single" w:sz="4" w:space="0" w:color="FFFFFF"/>
              <w:right w:val="single" w:sz="4" w:space="0" w:color="FFFFFF"/>
            </w:tcBorders>
            <w:shd w:val="clear" w:color="B8CCE4" w:fill="B8CCE4"/>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1,79</w:t>
            </w:r>
          </w:p>
        </w:tc>
      </w:tr>
      <w:tr w:rsidR="00B722F2" w:rsidRPr="00B57E80" w:rsidTr="00F02FE0">
        <w:trPr>
          <w:trHeight w:val="300"/>
        </w:trPr>
        <w:tc>
          <w:tcPr>
            <w:tcW w:w="1099" w:type="pct"/>
            <w:tcBorders>
              <w:top w:val="nil"/>
              <w:left w:val="nil"/>
              <w:bottom w:val="single" w:sz="4" w:space="0" w:color="FFFFFF"/>
              <w:right w:val="single" w:sz="4" w:space="0" w:color="FFFFFF"/>
            </w:tcBorders>
            <w:shd w:val="clear" w:color="DCE6F1" w:fill="DCE6F1"/>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Personal</w:t>
            </w:r>
          </w:p>
        </w:tc>
        <w:tc>
          <w:tcPr>
            <w:tcW w:w="940" w:type="pct"/>
            <w:tcBorders>
              <w:top w:val="nil"/>
              <w:left w:val="nil"/>
              <w:bottom w:val="single" w:sz="4" w:space="0" w:color="FFFFFF"/>
              <w:right w:val="single" w:sz="4" w:space="0" w:color="FFFFFF"/>
            </w:tcBorders>
            <w:shd w:val="clear" w:color="DCE6F1" w:fill="DCE6F1"/>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27,575</w:t>
            </w:r>
          </w:p>
        </w:tc>
        <w:tc>
          <w:tcPr>
            <w:tcW w:w="975" w:type="pct"/>
            <w:tcBorders>
              <w:top w:val="nil"/>
              <w:left w:val="nil"/>
              <w:bottom w:val="single" w:sz="4" w:space="0" w:color="FFFFFF"/>
              <w:right w:val="single" w:sz="4" w:space="0" w:color="FFFFFF"/>
            </w:tcBorders>
            <w:shd w:val="clear" w:color="DCE6F1" w:fill="DCE6F1"/>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0</w:t>
            </w:r>
          </w:p>
        </w:tc>
        <w:tc>
          <w:tcPr>
            <w:tcW w:w="195" w:type="pct"/>
            <w:tcBorders>
              <w:top w:val="nil"/>
              <w:left w:val="nil"/>
              <w:bottom w:val="single" w:sz="4" w:space="0" w:color="FFFFFF"/>
              <w:right w:val="single" w:sz="4" w:space="0" w:color="FFFFFF"/>
            </w:tcBorders>
            <w:shd w:val="clear" w:color="DCE6F1" w:fill="DCE6F1"/>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w:t>
            </w:r>
          </w:p>
        </w:tc>
        <w:tc>
          <w:tcPr>
            <w:tcW w:w="872" w:type="pct"/>
            <w:tcBorders>
              <w:top w:val="nil"/>
              <w:left w:val="nil"/>
              <w:bottom w:val="single" w:sz="4" w:space="0" w:color="FFFFFF"/>
              <w:right w:val="single" w:sz="4" w:space="0" w:color="FFFFFF"/>
            </w:tcBorders>
            <w:shd w:val="clear" w:color="DCE6F1" w:fill="DCE6F1"/>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0</w:t>
            </w:r>
          </w:p>
        </w:tc>
        <w:tc>
          <w:tcPr>
            <w:tcW w:w="919" w:type="pct"/>
            <w:tcBorders>
              <w:top w:val="nil"/>
              <w:left w:val="nil"/>
              <w:bottom w:val="single" w:sz="4" w:space="0" w:color="FFFFFF"/>
              <w:right w:val="single" w:sz="4" w:space="0" w:color="FFFFFF"/>
            </w:tcBorders>
            <w:shd w:val="clear" w:color="DCE6F1" w:fill="DCE6F1"/>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0</w:t>
            </w:r>
          </w:p>
        </w:tc>
      </w:tr>
      <w:tr w:rsidR="00B722F2" w:rsidRPr="00B57E80" w:rsidTr="00F02FE0">
        <w:trPr>
          <w:trHeight w:val="300"/>
        </w:trPr>
        <w:tc>
          <w:tcPr>
            <w:tcW w:w="1099" w:type="pct"/>
            <w:tcBorders>
              <w:top w:val="nil"/>
              <w:left w:val="nil"/>
              <w:bottom w:val="single" w:sz="4" w:space="0" w:color="FFFFFF"/>
              <w:right w:val="single" w:sz="4" w:space="0" w:color="FFFFFF"/>
            </w:tcBorders>
            <w:shd w:val="clear" w:color="B8CCE4" w:fill="B8CCE4"/>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Bienes y Servicios</w:t>
            </w:r>
          </w:p>
        </w:tc>
        <w:tc>
          <w:tcPr>
            <w:tcW w:w="940" w:type="pct"/>
            <w:tcBorders>
              <w:top w:val="nil"/>
              <w:left w:val="nil"/>
              <w:bottom w:val="single" w:sz="4" w:space="0" w:color="FFFFFF"/>
              <w:right w:val="single" w:sz="4" w:space="0" w:color="FFFFFF"/>
            </w:tcBorders>
            <w:shd w:val="clear" w:color="B8CCE4" w:fill="B8CCE4"/>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7,743</w:t>
            </w:r>
          </w:p>
        </w:tc>
        <w:tc>
          <w:tcPr>
            <w:tcW w:w="975" w:type="pct"/>
            <w:tcBorders>
              <w:top w:val="nil"/>
              <w:left w:val="nil"/>
              <w:bottom w:val="single" w:sz="4" w:space="0" w:color="FFFFFF"/>
              <w:right w:val="single" w:sz="4" w:space="0" w:color="FFFFFF"/>
            </w:tcBorders>
            <w:shd w:val="clear" w:color="B8CCE4" w:fill="B8CCE4"/>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385</w:t>
            </w:r>
          </w:p>
        </w:tc>
        <w:tc>
          <w:tcPr>
            <w:tcW w:w="195" w:type="pct"/>
            <w:tcBorders>
              <w:top w:val="nil"/>
              <w:left w:val="nil"/>
              <w:bottom w:val="single" w:sz="4" w:space="0" w:color="FFFFFF"/>
              <w:right w:val="single" w:sz="4" w:space="0" w:color="FFFFFF"/>
            </w:tcBorders>
            <w:shd w:val="clear" w:color="B8CCE4" w:fill="B8CCE4"/>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w:t>
            </w:r>
          </w:p>
        </w:tc>
        <w:tc>
          <w:tcPr>
            <w:tcW w:w="872" w:type="pct"/>
            <w:tcBorders>
              <w:top w:val="nil"/>
              <w:left w:val="nil"/>
              <w:bottom w:val="single" w:sz="4" w:space="0" w:color="FFFFFF"/>
              <w:right w:val="single" w:sz="4" w:space="0" w:color="FFFFFF"/>
            </w:tcBorders>
            <w:shd w:val="clear" w:color="B8CCE4" w:fill="B8CCE4"/>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1,405</w:t>
            </w:r>
          </w:p>
        </w:tc>
        <w:tc>
          <w:tcPr>
            <w:tcW w:w="919" w:type="pct"/>
            <w:tcBorders>
              <w:top w:val="nil"/>
              <w:left w:val="nil"/>
              <w:bottom w:val="single" w:sz="4" w:space="0" w:color="FFFFFF"/>
              <w:right w:val="single" w:sz="4" w:space="0" w:color="FFFFFF"/>
            </w:tcBorders>
            <w:shd w:val="clear" w:color="B8CCE4" w:fill="B8CCE4"/>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1,79</w:t>
            </w:r>
          </w:p>
        </w:tc>
      </w:tr>
      <w:tr w:rsidR="00B722F2" w:rsidRPr="00B57E80" w:rsidTr="00F02FE0">
        <w:trPr>
          <w:trHeight w:val="300"/>
        </w:trPr>
        <w:tc>
          <w:tcPr>
            <w:tcW w:w="1099" w:type="pct"/>
            <w:tcBorders>
              <w:top w:val="nil"/>
              <w:left w:val="nil"/>
              <w:bottom w:val="single" w:sz="4" w:space="0" w:color="FFFFFF"/>
              <w:right w:val="single" w:sz="4" w:space="0" w:color="FFFFFF"/>
            </w:tcBorders>
            <w:shd w:val="clear" w:color="DCE6F1" w:fill="DCE6F1"/>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Transferencias</w:t>
            </w:r>
          </w:p>
        </w:tc>
        <w:tc>
          <w:tcPr>
            <w:tcW w:w="940" w:type="pct"/>
            <w:tcBorders>
              <w:top w:val="nil"/>
              <w:left w:val="nil"/>
              <w:bottom w:val="single" w:sz="4" w:space="0" w:color="FFFFFF"/>
              <w:right w:val="single" w:sz="4" w:space="0" w:color="FFFFFF"/>
            </w:tcBorders>
            <w:shd w:val="clear" w:color="DCE6F1" w:fill="DCE6F1"/>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428</w:t>
            </w:r>
          </w:p>
        </w:tc>
        <w:tc>
          <w:tcPr>
            <w:tcW w:w="975" w:type="pct"/>
            <w:tcBorders>
              <w:top w:val="nil"/>
              <w:left w:val="nil"/>
              <w:bottom w:val="single" w:sz="4" w:space="0" w:color="FFFFFF"/>
              <w:right w:val="single" w:sz="4" w:space="0" w:color="FFFFFF"/>
            </w:tcBorders>
            <w:shd w:val="clear" w:color="DCE6F1" w:fill="DCE6F1"/>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0</w:t>
            </w:r>
          </w:p>
        </w:tc>
        <w:tc>
          <w:tcPr>
            <w:tcW w:w="195" w:type="pct"/>
            <w:tcBorders>
              <w:top w:val="nil"/>
              <w:left w:val="nil"/>
              <w:bottom w:val="single" w:sz="4" w:space="0" w:color="FFFFFF"/>
              <w:right w:val="single" w:sz="4" w:space="0" w:color="FFFFFF"/>
            </w:tcBorders>
            <w:shd w:val="clear" w:color="DCE6F1" w:fill="DCE6F1"/>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w:t>
            </w:r>
          </w:p>
        </w:tc>
        <w:tc>
          <w:tcPr>
            <w:tcW w:w="872" w:type="pct"/>
            <w:tcBorders>
              <w:top w:val="nil"/>
              <w:left w:val="nil"/>
              <w:bottom w:val="single" w:sz="4" w:space="0" w:color="FFFFFF"/>
              <w:right w:val="single" w:sz="4" w:space="0" w:color="FFFFFF"/>
            </w:tcBorders>
            <w:shd w:val="clear" w:color="DCE6F1" w:fill="DCE6F1"/>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0</w:t>
            </w:r>
          </w:p>
        </w:tc>
        <w:tc>
          <w:tcPr>
            <w:tcW w:w="919" w:type="pct"/>
            <w:tcBorders>
              <w:top w:val="nil"/>
              <w:left w:val="nil"/>
              <w:bottom w:val="single" w:sz="4" w:space="0" w:color="FFFFFF"/>
              <w:right w:val="single" w:sz="4" w:space="0" w:color="FFFFFF"/>
            </w:tcBorders>
            <w:shd w:val="clear" w:color="DCE6F1" w:fill="DCE6F1"/>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0</w:t>
            </w:r>
          </w:p>
        </w:tc>
      </w:tr>
      <w:tr w:rsidR="00B722F2" w:rsidRPr="00B57E80" w:rsidTr="00F02FE0">
        <w:trPr>
          <w:trHeight w:val="300"/>
        </w:trPr>
        <w:tc>
          <w:tcPr>
            <w:tcW w:w="1099" w:type="pct"/>
            <w:tcBorders>
              <w:top w:val="nil"/>
              <w:left w:val="nil"/>
              <w:bottom w:val="nil"/>
              <w:right w:val="nil"/>
            </w:tcBorders>
            <w:shd w:val="clear" w:color="auto" w:fill="auto"/>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Fuente: SIIF Nación.</w:t>
            </w:r>
          </w:p>
        </w:tc>
        <w:tc>
          <w:tcPr>
            <w:tcW w:w="940" w:type="pct"/>
            <w:tcBorders>
              <w:top w:val="nil"/>
              <w:left w:val="nil"/>
              <w:bottom w:val="nil"/>
              <w:right w:val="nil"/>
            </w:tcBorders>
            <w:shd w:val="clear" w:color="auto" w:fill="auto"/>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p>
        </w:tc>
        <w:tc>
          <w:tcPr>
            <w:tcW w:w="975" w:type="pct"/>
            <w:tcBorders>
              <w:top w:val="nil"/>
              <w:left w:val="nil"/>
              <w:bottom w:val="nil"/>
              <w:right w:val="nil"/>
            </w:tcBorders>
            <w:shd w:val="clear" w:color="auto" w:fill="auto"/>
            <w:vAlign w:val="center"/>
            <w:hideMark/>
          </w:tcPr>
          <w:p w:rsidR="00B722F2" w:rsidRPr="00B57E80" w:rsidRDefault="00B722F2" w:rsidP="00B722F2">
            <w:pPr>
              <w:spacing w:after="0" w:line="240" w:lineRule="auto"/>
              <w:rPr>
                <w:rFonts w:ascii="Verdana" w:eastAsia="Times New Roman" w:hAnsi="Verdana" w:cs="Times New Roman"/>
                <w:sz w:val="20"/>
                <w:szCs w:val="20"/>
                <w:lang w:eastAsia="es-CO"/>
              </w:rPr>
            </w:pPr>
          </w:p>
        </w:tc>
        <w:tc>
          <w:tcPr>
            <w:tcW w:w="195" w:type="pct"/>
            <w:tcBorders>
              <w:top w:val="nil"/>
              <w:left w:val="nil"/>
              <w:bottom w:val="nil"/>
              <w:right w:val="nil"/>
            </w:tcBorders>
            <w:shd w:val="clear" w:color="auto" w:fill="auto"/>
            <w:vAlign w:val="center"/>
            <w:hideMark/>
          </w:tcPr>
          <w:p w:rsidR="00B722F2" w:rsidRPr="00B57E80" w:rsidRDefault="00B722F2" w:rsidP="00B722F2">
            <w:pPr>
              <w:spacing w:after="0" w:line="240" w:lineRule="auto"/>
              <w:rPr>
                <w:rFonts w:ascii="Verdana" w:eastAsia="Times New Roman" w:hAnsi="Verdana" w:cs="Times New Roman"/>
                <w:sz w:val="20"/>
                <w:szCs w:val="20"/>
                <w:lang w:eastAsia="es-CO"/>
              </w:rPr>
            </w:pPr>
          </w:p>
        </w:tc>
        <w:tc>
          <w:tcPr>
            <w:tcW w:w="872" w:type="pct"/>
            <w:tcBorders>
              <w:top w:val="nil"/>
              <w:left w:val="nil"/>
              <w:bottom w:val="nil"/>
              <w:right w:val="nil"/>
            </w:tcBorders>
            <w:shd w:val="clear" w:color="auto" w:fill="auto"/>
            <w:vAlign w:val="center"/>
            <w:hideMark/>
          </w:tcPr>
          <w:p w:rsidR="00B722F2" w:rsidRPr="00B57E80" w:rsidRDefault="00B722F2" w:rsidP="00B722F2">
            <w:pPr>
              <w:spacing w:after="0" w:line="240" w:lineRule="auto"/>
              <w:rPr>
                <w:rFonts w:ascii="Verdana" w:eastAsia="Times New Roman" w:hAnsi="Verdana" w:cs="Times New Roman"/>
                <w:sz w:val="20"/>
                <w:szCs w:val="20"/>
                <w:lang w:eastAsia="es-CO"/>
              </w:rPr>
            </w:pPr>
          </w:p>
        </w:tc>
        <w:tc>
          <w:tcPr>
            <w:tcW w:w="919" w:type="pct"/>
            <w:tcBorders>
              <w:top w:val="nil"/>
              <w:left w:val="nil"/>
              <w:bottom w:val="nil"/>
              <w:right w:val="nil"/>
            </w:tcBorders>
            <w:shd w:val="clear" w:color="auto" w:fill="auto"/>
            <w:vAlign w:val="center"/>
            <w:hideMark/>
          </w:tcPr>
          <w:p w:rsidR="00B722F2" w:rsidRPr="00B57E80" w:rsidRDefault="00B722F2" w:rsidP="00B722F2">
            <w:pPr>
              <w:spacing w:after="0" w:line="240" w:lineRule="auto"/>
              <w:rPr>
                <w:rFonts w:ascii="Verdana" w:eastAsia="Times New Roman" w:hAnsi="Verdana" w:cs="Times New Roman"/>
                <w:sz w:val="20"/>
                <w:szCs w:val="20"/>
                <w:lang w:eastAsia="es-CO"/>
              </w:rPr>
            </w:pPr>
          </w:p>
        </w:tc>
      </w:tr>
    </w:tbl>
    <w:p w:rsidR="00B722F2" w:rsidRPr="00B57E80" w:rsidRDefault="00B722F2" w:rsidP="00B722F2">
      <w:pPr>
        <w:spacing w:after="0"/>
        <w:rPr>
          <w:rFonts w:ascii="Verdana" w:hAnsi="Verdana" w:cs="Arial"/>
          <w:color w:val="C0504D" w:themeColor="accent2"/>
          <w:sz w:val="24"/>
          <w:szCs w:val="24"/>
        </w:rPr>
      </w:pPr>
    </w:p>
    <w:p w:rsidR="00B722F2" w:rsidRPr="00035BCC" w:rsidRDefault="00B722F2" w:rsidP="00B722F2">
      <w:pPr>
        <w:spacing w:after="0"/>
        <w:rPr>
          <w:rFonts w:ascii="Verdana" w:hAnsi="Verdana" w:cs="Arial"/>
          <w:b/>
          <w:color w:val="4F81BD" w:themeColor="accent1"/>
          <w:sz w:val="24"/>
          <w:szCs w:val="24"/>
        </w:rPr>
      </w:pPr>
      <w:r w:rsidRPr="00035BCC">
        <w:rPr>
          <w:rFonts w:ascii="Verdana" w:hAnsi="Verdana" w:cs="Arial"/>
          <w:b/>
          <w:color w:val="4F81BD" w:themeColor="accent1"/>
          <w:sz w:val="24"/>
          <w:szCs w:val="24"/>
        </w:rPr>
        <w:t>Comentarios</w:t>
      </w:r>
    </w:p>
    <w:p w:rsidR="00B722F2" w:rsidRPr="00B57E80" w:rsidRDefault="00B722F2" w:rsidP="00B722F2">
      <w:pPr>
        <w:spacing w:after="0"/>
        <w:rPr>
          <w:rFonts w:ascii="Verdana" w:hAnsi="Verdana" w:cs="Arial"/>
          <w:color w:val="C0504D" w:themeColor="accent2"/>
          <w:sz w:val="24"/>
          <w:szCs w:val="24"/>
        </w:rPr>
      </w:pPr>
    </w:p>
    <w:p w:rsidR="00B722F2" w:rsidRPr="00035BCC" w:rsidRDefault="00B722F2" w:rsidP="00B722F2">
      <w:pPr>
        <w:spacing w:after="0"/>
        <w:rPr>
          <w:rFonts w:ascii="Verdana" w:hAnsi="Verdana" w:cs="Arial"/>
          <w:color w:val="4F81BD" w:themeColor="accent1"/>
          <w:sz w:val="24"/>
          <w:szCs w:val="24"/>
        </w:rPr>
      </w:pPr>
      <w:r w:rsidRPr="00035BCC">
        <w:rPr>
          <w:rFonts w:ascii="Verdana" w:hAnsi="Verdana" w:cs="Arial"/>
          <w:bCs/>
          <w:color w:val="4F81BD" w:themeColor="accent1"/>
          <w:sz w:val="24"/>
          <w:szCs w:val="24"/>
        </w:rPr>
        <w:t>Sobre las apropiaciones iniciales y finales</w:t>
      </w:r>
    </w:p>
    <w:p w:rsidR="00B722F2" w:rsidRPr="00B57E80" w:rsidRDefault="00B722F2" w:rsidP="00905C49">
      <w:pPr>
        <w:numPr>
          <w:ilvl w:val="0"/>
          <w:numId w:val="92"/>
        </w:numPr>
        <w:spacing w:after="0"/>
        <w:jc w:val="both"/>
        <w:rPr>
          <w:rFonts w:ascii="Verdana" w:hAnsi="Verdana" w:cs="Arial"/>
          <w:sz w:val="24"/>
          <w:szCs w:val="24"/>
        </w:rPr>
      </w:pPr>
      <w:r w:rsidRPr="00B57E80">
        <w:rPr>
          <w:rFonts w:ascii="Verdana" w:hAnsi="Verdana" w:cs="Arial"/>
          <w:sz w:val="24"/>
          <w:szCs w:val="24"/>
        </w:rPr>
        <w:t>Se adicionaron $25,000 millones en el proyecto de Inversión de pequeñas obras de infraestructura, producto de una redistribución de apropiaciones por parte del Ministerio de Hacienda y Crédito Público –MHCP. Resolución 114 del MHCP.</w:t>
      </w:r>
    </w:p>
    <w:p w:rsidR="00B722F2" w:rsidRPr="00B57E80" w:rsidRDefault="00B722F2" w:rsidP="00905C49">
      <w:pPr>
        <w:numPr>
          <w:ilvl w:val="0"/>
          <w:numId w:val="92"/>
        </w:numPr>
        <w:spacing w:after="0"/>
        <w:jc w:val="both"/>
        <w:rPr>
          <w:rFonts w:ascii="Verdana" w:hAnsi="Verdana" w:cs="Arial"/>
          <w:sz w:val="24"/>
          <w:szCs w:val="24"/>
        </w:rPr>
      </w:pPr>
      <w:r w:rsidRPr="00B57E80">
        <w:rPr>
          <w:rFonts w:ascii="Verdana" w:hAnsi="Verdana" w:cs="Arial"/>
          <w:sz w:val="24"/>
          <w:szCs w:val="24"/>
        </w:rPr>
        <w:t>Se tramitaron ante el órgano rector dos traslados a nivel de decreto, con el fin de financiar de una parte el rubro de Sentencias y Conciliaciones (Transferencias Corrientes) por valor de $113 millones; y otro por $1,000 millones para atender un primer pago del proceso concurso de méritos.</w:t>
      </w:r>
    </w:p>
    <w:p w:rsidR="00B722F2" w:rsidRPr="00B57E80" w:rsidRDefault="00B722F2" w:rsidP="00905C49">
      <w:pPr>
        <w:numPr>
          <w:ilvl w:val="0"/>
          <w:numId w:val="92"/>
        </w:numPr>
        <w:spacing w:after="0"/>
        <w:jc w:val="both"/>
        <w:rPr>
          <w:rFonts w:ascii="Verdana" w:hAnsi="Verdana" w:cs="Arial"/>
          <w:sz w:val="24"/>
          <w:szCs w:val="24"/>
        </w:rPr>
      </w:pPr>
      <w:r w:rsidRPr="00B57E80">
        <w:rPr>
          <w:rFonts w:ascii="Verdana" w:hAnsi="Verdana" w:cs="Arial"/>
          <w:sz w:val="24"/>
          <w:szCs w:val="24"/>
        </w:rPr>
        <w:t>La Reserva Presupuestal del 2013 para ejecución en el 2014, fue reducida en 185 millones, como resultado de las actas de liquidación de los contratos que las originaron.</w:t>
      </w:r>
    </w:p>
    <w:p w:rsidR="00B722F2" w:rsidRPr="00B57E80" w:rsidRDefault="00B722F2" w:rsidP="00B722F2">
      <w:pPr>
        <w:spacing w:after="0"/>
        <w:rPr>
          <w:rFonts w:ascii="Verdana" w:hAnsi="Verdana" w:cs="Arial"/>
          <w:color w:val="C0504D" w:themeColor="accent2"/>
          <w:sz w:val="24"/>
          <w:szCs w:val="24"/>
        </w:rPr>
      </w:pPr>
    </w:p>
    <w:p w:rsidR="00B722F2" w:rsidRPr="00035BCC" w:rsidRDefault="00035BCC" w:rsidP="00B722F2">
      <w:pPr>
        <w:spacing w:after="0"/>
        <w:jc w:val="both"/>
        <w:rPr>
          <w:rFonts w:ascii="Verdana" w:hAnsi="Verdana" w:cs="Arial"/>
          <w:color w:val="4F81BD" w:themeColor="accent1"/>
          <w:sz w:val="24"/>
          <w:szCs w:val="24"/>
        </w:rPr>
      </w:pPr>
      <w:r>
        <w:rPr>
          <w:rFonts w:ascii="Verdana" w:hAnsi="Verdana" w:cs="Arial"/>
          <w:bCs/>
          <w:color w:val="4F81BD" w:themeColor="accent1"/>
          <w:sz w:val="24"/>
          <w:szCs w:val="24"/>
        </w:rPr>
        <w:t>Sobre la Ejecución Presupuestal</w:t>
      </w:r>
    </w:p>
    <w:p w:rsidR="00B722F2" w:rsidRPr="00B57E80" w:rsidRDefault="00B722F2" w:rsidP="00905C49">
      <w:pPr>
        <w:numPr>
          <w:ilvl w:val="0"/>
          <w:numId w:val="93"/>
        </w:numPr>
        <w:spacing w:after="0"/>
        <w:jc w:val="both"/>
        <w:rPr>
          <w:rFonts w:ascii="Verdana" w:hAnsi="Verdana" w:cs="Arial"/>
          <w:sz w:val="24"/>
          <w:szCs w:val="24"/>
        </w:rPr>
      </w:pPr>
      <w:r w:rsidRPr="00B57E80">
        <w:rPr>
          <w:rFonts w:ascii="Verdana" w:hAnsi="Verdana" w:cs="Arial"/>
          <w:sz w:val="24"/>
          <w:szCs w:val="24"/>
        </w:rPr>
        <w:t>Los ingresos recibidos durante la vigencia, corresponden de una parte a recaudos por reintegros de vigencias anteriores, y de otra por rendimientos sobre depósitos en administración.</w:t>
      </w:r>
    </w:p>
    <w:p w:rsidR="00B722F2" w:rsidRPr="00B57E80" w:rsidRDefault="00B722F2" w:rsidP="00905C49">
      <w:pPr>
        <w:numPr>
          <w:ilvl w:val="0"/>
          <w:numId w:val="93"/>
        </w:numPr>
        <w:spacing w:after="0"/>
        <w:jc w:val="both"/>
        <w:rPr>
          <w:rFonts w:ascii="Verdana" w:hAnsi="Verdana" w:cs="Arial"/>
          <w:sz w:val="24"/>
          <w:szCs w:val="24"/>
        </w:rPr>
      </w:pPr>
      <w:r w:rsidRPr="00B57E80">
        <w:rPr>
          <w:rFonts w:ascii="Verdana" w:hAnsi="Verdana" w:cs="Arial"/>
          <w:sz w:val="24"/>
          <w:szCs w:val="24"/>
        </w:rPr>
        <w:t>Se tramitaron ante el órgano rector dos traslados a nivel de decreto, con el fin de financiar de una parte el rubro de Sentencias y Conciliaciones (Transferencias Corrientes) por valor de $113 millones; y otro por $1,000 millones para atender un primer pago del proceso concurso de méritos.</w:t>
      </w:r>
    </w:p>
    <w:p w:rsidR="00B722F2" w:rsidRPr="00B57E80" w:rsidRDefault="00B722F2" w:rsidP="00905C49">
      <w:pPr>
        <w:numPr>
          <w:ilvl w:val="0"/>
          <w:numId w:val="93"/>
        </w:numPr>
        <w:spacing w:after="0"/>
        <w:jc w:val="both"/>
        <w:rPr>
          <w:rFonts w:ascii="Verdana" w:hAnsi="Verdana" w:cs="Arial"/>
          <w:sz w:val="24"/>
          <w:szCs w:val="24"/>
        </w:rPr>
      </w:pPr>
      <w:r w:rsidRPr="00B57E80">
        <w:rPr>
          <w:rFonts w:ascii="Verdana" w:hAnsi="Verdana" w:cs="Arial"/>
          <w:sz w:val="24"/>
          <w:szCs w:val="24"/>
        </w:rPr>
        <w:t>Los índices de ejecución de las obligaciones y pagos de la vigencia 2014, están expresados como porcentajes de los compromisos presupuestales de la vigencia.</w:t>
      </w:r>
    </w:p>
    <w:p w:rsidR="00B722F2" w:rsidRPr="00B57E80" w:rsidRDefault="00B722F2" w:rsidP="00905C49">
      <w:pPr>
        <w:numPr>
          <w:ilvl w:val="0"/>
          <w:numId w:val="93"/>
        </w:numPr>
        <w:spacing w:after="0"/>
        <w:jc w:val="both"/>
        <w:rPr>
          <w:rFonts w:ascii="Verdana" w:hAnsi="Verdana" w:cs="Arial"/>
          <w:sz w:val="24"/>
          <w:szCs w:val="24"/>
        </w:rPr>
      </w:pPr>
      <w:r w:rsidRPr="00B57E80">
        <w:rPr>
          <w:rFonts w:ascii="Verdana" w:hAnsi="Verdana" w:cs="Arial"/>
          <w:sz w:val="24"/>
          <w:szCs w:val="24"/>
        </w:rPr>
        <w:t>El rezago Presupuestal 2014 para ejecución en el 2015 aumentó significativamente en las cuentas por pagar, producto de una directriz de la Dirección del Tesoro Nacional en ajustar para el 2015 un cronograma de pagos.</w:t>
      </w:r>
    </w:p>
    <w:p w:rsidR="00B722F2" w:rsidRPr="00B57E80" w:rsidRDefault="00B722F2" w:rsidP="00B722F2">
      <w:pPr>
        <w:spacing w:after="0"/>
        <w:rPr>
          <w:rFonts w:ascii="Verdana" w:hAnsi="Verdana" w:cs="Arial"/>
          <w:color w:val="C0504D" w:themeColor="accent2"/>
          <w:sz w:val="24"/>
          <w:szCs w:val="24"/>
        </w:rPr>
      </w:pPr>
    </w:p>
    <w:p w:rsidR="00B722F2" w:rsidRPr="00F02FE0" w:rsidRDefault="00F02FE0" w:rsidP="00B722F2">
      <w:pPr>
        <w:spacing w:after="0"/>
        <w:rPr>
          <w:rFonts w:ascii="Verdana" w:hAnsi="Verdana" w:cs="Arial"/>
          <w:color w:val="4F81BD" w:themeColor="accent1"/>
          <w:sz w:val="28"/>
          <w:szCs w:val="24"/>
        </w:rPr>
      </w:pPr>
      <w:r w:rsidRPr="00F02FE0">
        <w:rPr>
          <w:rFonts w:ascii="Verdana" w:hAnsi="Verdana" w:cs="Arial"/>
          <w:color w:val="4F81BD" w:themeColor="accent1"/>
          <w:sz w:val="28"/>
          <w:szCs w:val="24"/>
        </w:rPr>
        <w:t>Comparativos</w:t>
      </w:r>
    </w:p>
    <w:p w:rsidR="00B722F2" w:rsidRPr="00B57E80" w:rsidRDefault="00035BCC" w:rsidP="00B722F2">
      <w:pPr>
        <w:spacing w:after="0"/>
        <w:rPr>
          <w:rFonts w:ascii="Verdana" w:hAnsi="Verdana" w:cs="Arial"/>
          <w:sz w:val="24"/>
          <w:szCs w:val="24"/>
        </w:rPr>
      </w:pPr>
      <w:r>
        <w:rPr>
          <w:rFonts w:ascii="Verdana" w:hAnsi="Verdana" w:cs="Arial"/>
          <w:noProof/>
          <w:sz w:val="24"/>
          <w:szCs w:val="24"/>
          <w:lang w:eastAsia="es-CO"/>
        </w:rPr>
        <w:drawing>
          <wp:anchor distT="0" distB="0" distL="114300" distR="114300" simplePos="0" relativeHeight="251717632" behindDoc="0" locked="0" layoutInCell="1" allowOverlap="1">
            <wp:simplePos x="0" y="0"/>
            <wp:positionH relativeFrom="column">
              <wp:posOffset>765175</wp:posOffset>
            </wp:positionH>
            <wp:positionV relativeFrom="paragraph">
              <wp:posOffset>353695</wp:posOffset>
            </wp:positionV>
            <wp:extent cx="4638040" cy="2277110"/>
            <wp:effectExtent l="0" t="0" r="0" b="0"/>
            <wp:wrapTopAndBottom/>
            <wp:docPr id="1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8040" cy="2277110"/>
                    </a:xfrm>
                    <a:prstGeom prst="rect">
                      <a:avLst/>
                    </a:prstGeom>
                    <a:noFill/>
                    <a:ln>
                      <a:noFill/>
                    </a:ln>
                  </pic:spPr>
                </pic:pic>
              </a:graphicData>
            </a:graphic>
          </wp:anchor>
        </w:drawing>
      </w:r>
      <w:r w:rsidR="00B722F2" w:rsidRPr="00B57E80">
        <w:rPr>
          <w:rFonts w:ascii="Verdana" w:hAnsi="Verdana" w:cs="Arial"/>
          <w:sz w:val="24"/>
          <w:szCs w:val="24"/>
        </w:rPr>
        <w:t>Ejecución por Compromisos vigencias 2012, 2013 y 2014.</w:t>
      </w:r>
    </w:p>
    <w:p w:rsidR="00B722F2" w:rsidRPr="00B57E80" w:rsidRDefault="00B722F2" w:rsidP="00B722F2">
      <w:pPr>
        <w:spacing w:after="0"/>
        <w:rPr>
          <w:rFonts w:ascii="Verdana" w:hAnsi="Verdana" w:cs="Arial"/>
          <w:color w:val="C0504D" w:themeColor="accent2"/>
          <w:sz w:val="24"/>
          <w:szCs w:val="24"/>
        </w:rPr>
      </w:pPr>
    </w:p>
    <w:p w:rsidR="00B722F2" w:rsidRDefault="00B722F2" w:rsidP="00B722F2">
      <w:pPr>
        <w:spacing w:after="0"/>
        <w:jc w:val="center"/>
        <w:rPr>
          <w:rFonts w:ascii="Verdana" w:hAnsi="Verdana" w:cs="Arial"/>
          <w:color w:val="C0504D" w:themeColor="accent2"/>
          <w:sz w:val="24"/>
          <w:szCs w:val="24"/>
        </w:rPr>
      </w:pPr>
    </w:p>
    <w:p w:rsidR="00F02FE0" w:rsidRPr="00B57E80" w:rsidRDefault="00F02FE0" w:rsidP="00B722F2">
      <w:pPr>
        <w:spacing w:after="0"/>
        <w:jc w:val="center"/>
        <w:rPr>
          <w:rFonts w:ascii="Verdana" w:hAnsi="Verdana" w:cs="Arial"/>
          <w:color w:val="C0504D" w:themeColor="accent2"/>
          <w:sz w:val="24"/>
          <w:szCs w:val="24"/>
        </w:rPr>
      </w:pPr>
    </w:p>
    <w:p w:rsidR="00B722F2" w:rsidRPr="00035BCC" w:rsidRDefault="00035BCC" w:rsidP="00B722F2">
      <w:pPr>
        <w:spacing w:after="0"/>
        <w:rPr>
          <w:rFonts w:ascii="Verdana" w:hAnsi="Verdana" w:cs="Arial"/>
          <w:color w:val="4F81BD" w:themeColor="accent1"/>
          <w:sz w:val="24"/>
          <w:szCs w:val="24"/>
        </w:rPr>
      </w:pPr>
      <w:r>
        <w:rPr>
          <w:rFonts w:ascii="Verdana" w:hAnsi="Verdana" w:cs="Arial"/>
          <w:color w:val="4F81BD" w:themeColor="accent1"/>
          <w:sz w:val="24"/>
          <w:szCs w:val="24"/>
        </w:rPr>
        <w:lastRenderedPageBreak/>
        <w:t>Indicadores de Gestión</w:t>
      </w:r>
    </w:p>
    <w:p w:rsidR="00F02FE0" w:rsidRDefault="00F02FE0" w:rsidP="00B722F2">
      <w:pPr>
        <w:spacing w:after="0"/>
        <w:rPr>
          <w:rFonts w:ascii="Verdana" w:hAnsi="Verdana" w:cs="Arial"/>
          <w:sz w:val="24"/>
          <w:szCs w:val="24"/>
        </w:rPr>
      </w:pPr>
    </w:p>
    <w:p w:rsidR="00B722F2" w:rsidRPr="00B57E80" w:rsidRDefault="00B722F2" w:rsidP="00B722F2">
      <w:pPr>
        <w:spacing w:after="0"/>
        <w:rPr>
          <w:rFonts w:ascii="Verdana" w:hAnsi="Verdana" w:cs="Arial"/>
          <w:sz w:val="24"/>
          <w:szCs w:val="24"/>
        </w:rPr>
      </w:pPr>
      <w:r w:rsidRPr="00B57E80">
        <w:rPr>
          <w:rFonts w:ascii="Verdana" w:hAnsi="Verdana" w:cs="Arial"/>
          <w:sz w:val="24"/>
          <w:szCs w:val="24"/>
        </w:rPr>
        <w:t>Porcentajes de ejecución vigencias 2012, 2013 y 2014</w:t>
      </w:r>
    </w:p>
    <w:p w:rsidR="00B722F2" w:rsidRPr="00B57E80" w:rsidRDefault="00B722F2" w:rsidP="00B722F2">
      <w:pPr>
        <w:spacing w:after="0" w:line="240" w:lineRule="auto"/>
        <w:jc w:val="both"/>
        <w:rPr>
          <w:rFonts w:ascii="Verdana" w:hAnsi="Verdana"/>
          <w:b/>
          <w:sz w:val="24"/>
          <w:szCs w:val="24"/>
        </w:rPr>
      </w:pPr>
    </w:p>
    <w:p w:rsidR="00B722F2" w:rsidRPr="00B57E80" w:rsidRDefault="00B722F2" w:rsidP="00B722F2">
      <w:pPr>
        <w:spacing w:after="0" w:line="240" w:lineRule="auto"/>
        <w:jc w:val="both"/>
        <w:rPr>
          <w:rFonts w:ascii="Verdana" w:hAnsi="Verdana"/>
          <w:b/>
          <w:sz w:val="24"/>
          <w:szCs w:val="24"/>
        </w:rPr>
      </w:pPr>
      <w:r w:rsidRPr="00B57E80">
        <w:rPr>
          <w:rFonts w:ascii="Verdana" w:hAnsi="Verdana"/>
          <w:noProof/>
          <w:lang w:eastAsia="es-CO"/>
        </w:rPr>
        <w:drawing>
          <wp:inline distT="0" distB="0" distL="0" distR="0">
            <wp:extent cx="5400675" cy="2467344"/>
            <wp:effectExtent l="0" t="0" r="0" b="0"/>
            <wp:docPr id="2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9795" cy="2471511"/>
                    </a:xfrm>
                    <a:prstGeom prst="rect">
                      <a:avLst/>
                    </a:prstGeom>
                    <a:noFill/>
                    <a:ln>
                      <a:noFill/>
                    </a:ln>
                  </pic:spPr>
                </pic:pic>
              </a:graphicData>
            </a:graphic>
          </wp:inline>
        </w:drawing>
      </w:r>
    </w:p>
    <w:p w:rsidR="00B722F2" w:rsidRPr="00B57E80" w:rsidRDefault="00B722F2" w:rsidP="00B722F2">
      <w:pPr>
        <w:spacing w:after="0" w:line="240" w:lineRule="auto"/>
        <w:jc w:val="both"/>
        <w:rPr>
          <w:rFonts w:ascii="Verdana" w:hAnsi="Verdana"/>
          <w:b/>
          <w:sz w:val="24"/>
          <w:szCs w:val="24"/>
        </w:rPr>
      </w:pPr>
    </w:p>
    <w:p w:rsidR="00B722F2" w:rsidRPr="00B57E80" w:rsidRDefault="00B722F2" w:rsidP="00B722F2">
      <w:pPr>
        <w:spacing w:after="0"/>
        <w:rPr>
          <w:rFonts w:ascii="Verdana" w:hAnsi="Verdana" w:cs="Arial"/>
          <w:sz w:val="24"/>
          <w:szCs w:val="24"/>
        </w:rPr>
      </w:pPr>
      <w:r w:rsidRPr="00B57E80">
        <w:rPr>
          <w:rFonts w:ascii="Verdana" w:hAnsi="Verdana" w:cs="Arial"/>
          <w:sz w:val="24"/>
          <w:szCs w:val="24"/>
        </w:rPr>
        <w:t>Porcentajes del rezago constituido vigencias 2012, 2013 y 2014</w:t>
      </w:r>
    </w:p>
    <w:p w:rsidR="00B722F2" w:rsidRPr="00B57E80" w:rsidRDefault="00B722F2" w:rsidP="00B722F2">
      <w:pPr>
        <w:spacing w:after="0" w:line="240" w:lineRule="auto"/>
        <w:jc w:val="both"/>
        <w:rPr>
          <w:rFonts w:ascii="Verdana" w:hAnsi="Verdana"/>
          <w:b/>
          <w:sz w:val="24"/>
          <w:szCs w:val="24"/>
        </w:rPr>
      </w:pPr>
      <w:r w:rsidRPr="00B57E80">
        <w:rPr>
          <w:rFonts w:ascii="Verdana" w:hAnsi="Verdana"/>
          <w:noProof/>
          <w:lang w:eastAsia="es-CO"/>
        </w:rPr>
        <w:drawing>
          <wp:inline distT="0" distB="0" distL="0" distR="0">
            <wp:extent cx="5219700" cy="3104485"/>
            <wp:effectExtent l="0" t="0" r="0" b="0"/>
            <wp:docPr id="2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1182" cy="3111314"/>
                    </a:xfrm>
                    <a:prstGeom prst="rect">
                      <a:avLst/>
                    </a:prstGeom>
                    <a:noFill/>
                    <a:ln>
                      <a:noFill/>
                    </a:ln>
                  </pic:spPr>
                </pic:pic>
              </a:graphicData>
            </a:graphic>
          </wp:inline>
        </w:drawing>
      </w:r>
    </w:p>
    <w:p w:rsidR="00B722F2" w:rsidRPr="00B57E80" w:rsidRDefault="00B722F2" w:rsidP="00B722F2">
      <w:pPr>
        <w:spacing w:after="0" w:line="240" w:lineRule="auto"/>
        <w:jc w:val="both"/>
        <w:rPr>
          <w:rFonts w:ascii="Verdana" w:hAnsi="Verdana"/>
          <w:b/>
          <w:sz w:val="24"/>
          <w:szCs w:val="24"/>
        </w:rPr>
      </w:pPr>
    </w:p>
    <w:p w:rsidR="00B722F2" w:rsidRDefault="00D95407" w:rsidP="00B722F2">
      <w:pPr>
        <w:spacing w:after="0" w:line="240" w:lineRule="auto"/>
        <w:jc w:val="both"/>
        <w:rPr>
          <w:rFonts w:ascii="Verdana" w:hAnsi="Verdana"/>
          <w:b/>
          <w:color w:val="4F81BD" w:themeColor="accent1"/>
          <w:sz w:val="24"/>
          <w:szCs w:val="24"/>
        </w:rPr>
      </w:pPr>
      <w:r w:rsidRPr="00D95407">
        <w:rPr>
          <w:rFonts w:ascii="Verdana" w:hAnsi="Verdana"/>
          <w:b/>
          <w:color w:val="4F81BD" w:themeColor="accent1"/>
          <w:sz w:val="24"/>
          <w:szCs w:val="24"/>
        </w:rPr>
        <w:t>ESTADOS FINANCIEROS</w:t>
      </w:r>
    </w:p>
    <w:p w:rsidR="00D95407" w:rsidRDefault="00D95407" w:rsidP="00B722F2">
      <w:pPr>
        <w:spacing w:after="0" w:line="240" w:lineRule="auto"/>
        <w:jc w:val="both"/>
        <w:rPr>
          <w:rFonts w:ascii="Verdana" w:hAnsi="Verdana"/>
          <w:sz w:val="24"/>
          <w:szCs w:val="24"/>
        </w:rPr>
      </w:pPr>
      <w:r w:rsidRPr="00D95407">
        <w:rPr>
          <w:rFonts w:ascii="Verdana" w:hAnsi="Verdana"/>
          <w:sz w:val="24"/>
          <w:szCs w:val="24"/>
        </w:rPr>
        <w:lastRenderedPageBreak/>
        <w:t>Ver anexos</w:t>
      </w:r>
      <w:r>
        <w:rPr>
          <w:rFonts w:ascii="Verdana" w:hAnsi="Verdana"/>
          <w:sz w:val="24"/>
          <w:szCs w:val="24"/>
        </w:rPr>
        <w:t>:</w:t>
      </w:r>
    </w:p>
    <w:p w:rsidR="00D95407" w:rsidRDefault="00D95407" w:rsidP="00B722F2">
      <w:pPr>
        <w:spacing w:after="0" w:line="240" w:lineRule="auto"/>
        <w:jc w:val="both"/>
        <w:rPr>
          <w:rFonts w:ascii="Verdana" w:hAnsi="Verdana"/>
          <w:sz w:val="24"/>
          <w:szCs w:val="24"/>
        </w:rPr>
      </w:pPr>
      <w:r w:rsidRPr="00D95407">
        <w:rPr>
          <w:rFonts w:ascii="Verdana" w:hAnsi="Verdana"/>
          <w:sz w:val="24"/>
          <w:szCs w:val="24"/>
        </w:rPr>
        <w:t>ANEXO 4A UACT ESTADO FINANCIERO 2014</w:t>
      </w:r>
    </w:p>
    <w:p w:rsidR="00D95407" w:rsidRDefault="00D95407" w:rsidP="00B722F2">
      <w:pPr>
        <w:spacing w:after="0" w:line="240" w:lineRule="auto"/>
        <w:jc w:val="both"/>
        <w:rPr>
          <w:rFonts w:ascii="Verdana" w:hAnsi="Verdana"/>
          <w:sz w:val="24"/>
          <w:szCs w:val="24"/>
        </w:rPr>
      </w:pPr>
      <w:r w:rsidRPr="00D95407">
        <w:rPr>
          <w:rFonts w:ascii="Verdana" w:hAnsi="Verdana"/>
          <w:sz w:val="24"/>
          <w:szCs w:val="24"/>
        </w:rPr>
        <w:t>ANEXO 4B UACT COMPARATIVO BALANCES FINANCIEROS</w:t>
      </w:r>
    </w:p>
    <w:p w:rsidR="00D95407" w:rsidRDefault="00D95407" w:rsidP="00B722F2">
      <w:pPr>
        <w:spacing w:after="0" w:line="240" w:lineRule="auto"/>
        <w:jc w:val="both"/>
        <w:rPr>
          <w:rFonts w:ascii="Verdana" w:hAnsi="Verdana"/>
          <w:sz w:val="24"/>
          <w:szCs w:val="24"/>
        </w:rPr>
      </w:pPr>
      <w:r w:rsidRPr="00D95407">
        <w:rPr>
          <w:rFonts w:ascii="Verdana" w:hAnsi="Verdana"/>
          <w:sz w:val="24"/>
          <w:szCs w:val="24"/>
        </w:rPr>
        <w:t>ANEXO 4C UACT ESTADO DE CAMBIO EN EL PATRIMONIO DIC 2014</w:t>
      </w:r>
    </w:p>
    <w:p w:rsidR="00D95407" w:rsidRDefault="00D95407" w:rsidP="00B722F2">
      <w:pPr>
        <w:spacing w:after="0" w:line="240" w:lineRule="auto"/>
        <w:jc w:val="both"/>
        <w:rPr>
          <w:rFonts w:ascii="Verdana" w:hAnsi="Verdana"/>
          <w:sz w:val="24"/>
          <w:szCs w:val="24"/>
        </w:rPr>
      </w:pPr>
      <w:r w:rsidRPr="00D95407">
        <w:rPr>
          <w:rFonts w:ascii="Verdana" w:hAnsi="Verdana"/>
          <w:sz w:val="24"/>
          <w:szCs w:val="24"/>
        </w:rPr>
        <w:t>ANEXO 4D UACT CERTIFICACION BALANCES FINANCIEROS</w:t>
      </w:r>
    </w:p>
    <w:p w:rsidR="00D95407" w:rsidRPr="00D95407" w:rsidRDefault="00D95407" w:rsidP="00B722F2">
      <w:pPr>
        <w:spacing w:after="0" w:line="240" w:lineRule="auto"/>
        <w:jc w:val="both"/>
        <w:rPr>
          <w:rFonts w:ascii="Verdana" w:hAnsi="Verdana"/>
          <w:sz w:val="24"/>
          <w:szCs w:val="24"/>
        </w:rPr>
      </w:pPr>
      <w:r w:rsidRPr="00D95407">
        <w:rPr>
          <w:rFonts w:ascii="Verdana" w:hAnsi="Verdana"/>
          <w:sz w:val="24"/>
          <w:szCs w:val="24"/>
        </w:rPr>
        <w:t>ANEXO 4E UACT NOTAS AL ESTADO FINANCIERO 2014</w:t>
      </w:r>
    </w:p>
    <w:p w:rsidR="00F02FE0" w:rsidRDefault="00F02FE0" w:rsidP="00B722F2">
      <w:pPr>
        <w:spacing w:after="0" w:line="240" w:lineRule="auto"/>
        <w:jc w:val="both"/>
        <w:rPr>
          <w:rFonts w:ascii="Verdana" w:hAnsi="Verdana"/>
          <w:b/>
          <w:color w:val="4F81BD" w:themeColor="accent1"/>
          <w:sz w:val="28"/>
          <w:szCs w:val="24"/>
        </w:rPr>
      </w:pPr>
    </w:p>
    <w:p w:rsidR="00B722F2" w:rsidRPr="00F02FE0" w:rsidRDefault="00581D8C" w:rsidP="00B722F2">
      <w:pPr>
        <w:spacing w:after="0" w:line="240" w:lineRule="auto"/>
        <w:jc w:val="both"/>
        <w:rPr>
          <w:rFonts w:ascii="Verdana" w:hAnsi="Verdana"/>
          <w:b/>
          <w:color w:val="4F81BD" w:themeColor="accent1"/>
          <w:sz w:val="28"/>
          <w:szCs w:val="24"/>
        </w:rPr>
      </w:pPr>
      <w:r w:rsidRPr="00581D8C">
        <w:rPr>
          <w:rFonts w:ascii="Verdana" w:hAnsi="Verdana"/>
          <w:b/>
          <w:noProof/>
          <w:color w:val="4F81BD" w:themeColor="accent1"/>
          <w:sz w:val="28"/>
          <w:szCs w:val="24"/>
          <w:lang w:eastAsia="es-CO"/>
        </w:rPr>
        <w:drawing>
          <wp:inline distT="0" distB="0" distL="0" distR="0">
            <wp:extent cx="216024" cy="216024"/>
            <wp:effectExtent l="19050" t="0" r="0" b="0"/>
            <wp:docPr id="481" name="Objeto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6300192" y="4869160"/>
                      <a:chExt cx="216024" cy="216024"/>
                    </a:xfrm>
                  </a:grpSpPr>
                  <a:sp>
                    <a:nvSpPr>
                      <a:cNvPr id="42" name="41 Rectángulo redondeado"/>
                      <a:cNvSpPr/>
                    </a:nvSpPr>
                    <a:spPr>
                      <a:xfrm>
                        <a:off x="6300192" y="4869160"/>
                        <a:ext cx="216024" cy="216024"/>
                      </a:xfrm>
                      <a:prstGeom prst="roundRect">
                        <a:avLst/>
                      </a:prstGeom>
                      <a:gradFill flip="none" rotWithShape="1">
                        <a:gsLst>
                          <a:gs pos="0">
                            <a:schemeClr val="bg1">
                              <a:lumMod val="65000"/>
                              <a:shade val="30000"/>
                              <a:satMod val="115000"/>
                            </a:schemeClr>
                          </a:gs>
                          <a:gs pos="50000">
                            <a:schemeClr val="bg1">
                              <a:lumMod val="65000"/>
                              <a:shade val="67500"/>
                              <a:satMod val="115000"/>
                            </a:schemeClr>
                          </a:gs>
                          <a:gs pos="100000">
                            <a:schemeClr val="bg1">
                              <a:lumMod val="65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260446">
        <w:rPr>
          <w:rFonts w:ascii="Verdana" w:hAnsi="Verdana"/>
          <w:b/>
          <w:color w:val="4F81BD" w:themeColor="accent1"/>
          <w:sz w:val="28"/>
          <w:szCs w:val="24"/>
        </w:rPr>
        <w:t xml:space="preserve">  </w:t>
      </w:r>
      <w:r w:rsidR="00B722F2" w:rsidRPr="00F02FE0">
        <w:rPr>
          <w:rFonts w:ascii="Verdana" w:hAnsi="Verdana"/>
          <w:b/>
          <w:color w:val="4F81BD" w:themeColor="accent1"/>
          <w:sz w:val="28"/>
          <w:szCs w:val="24"/>
        </w:rPr>
        <w:t>CUMPLIMIENTO DE METAS</w:t>
      </w:r>
    </w:p>
    <w:p w:rsidR="00EB5A3E" w:rsidRPr="00B57E80" w:rsidRDefault="00EB5A3E" w:rsidP="00B722F2">
      <w:pPr>
        <w:spacing w:after="0" w:line="240" w:lineRule="auto"/>
        <w:jc w:val="both"/>
        <w:rPr>
          <w:rFonts w:ascii="Verdana" w:hAnsi="Verdana"/>
          <w:b/>
          <w:sz w:val="24"/>
          <w:szCs w:val="24"/>
        </w:rPr>
      </w:pPr>
    </w:p>
    <w:p w:rsidR="00B722F2" w:rsidRPr="00F02FE0" w:rsidRDefault="00B722F2" w:rsidP="00905C49">
      <w:pPr>
        <w:pStyle w:val="Prrafodelista"/>
        <w:numPr>
          <w:ilvl w:val="0"/>
          <w:numId w:val="82"/>
        </w:numPr>
        <w:spacing w:after="0" w:line="240" w:lineRule="auto"/>
        <w:jc w:val="both"/>
        <w:rPr>
          <w:rFonts w:ascii="Verdana" w:hAnsi="Verdana"/>
          <w:color w:val="4F81BD" w:themeColor="accent1"/>
          <w:sz w:val="24"/>
          <w:szCs w:val="24"/>
        </w:rPr>
      </w:pPr>
      <w:r w:rsidRPr="00F02FE0">
        <w:rPr>
          <w:rFonts w:ascii="Verdana" w:hAnsi="Verdana"/>
          <w:color w:val="4F81BD" w:themeColor="accent1"/>
          <w:sz w:val="24"/>
          <w:szCs w:val="24"/>
        </w:rPr>
        <w:t>P</w:t>
      </w:r>
      <w:r w:rsidR="00F02FE0" w:rsidRPr="00F02FE0">
        <w:rPr>
          <w:rFonts w:ascii="Verdana" w:hAnsi="Verdana"/>
          <w:color w:val="4F81BD" w:themeColor="accent1"/>
          <w:sz w:val="24"/>
          <w:szCs w:val="24"/>
        </w:rPr>
        <w:t>LAN DE ACION 2014</w:t>
      </w:r>
    </w:p>
    <w:p w:rsidR="00F02FE0" w:rsidRPr="00F02FE0" w:rsidRDefault="00F02FE0" w:rsidP="00F02FE0">
      <w:pPr>
        <w:pStyle w:val="Prrafodelista"/>
        <w:spacing w:after="0" w:line="240" w:lineRule="auto"/>
        <w:jc w:val="both"/>
        <w:rPr>
          <w:rFonts w:ascii="Verdana" w:hAnsi="Verdana"/>
          <w:sz w:val="24"/>
          <w:szCs w:val="24"/>
        </w:rPr>
      </w:pPr>
    </w:p>
    <w:p w:rsidR="00B722F2" w:rsidRPr="00B57E80" w:rsidRDefault="00B722F2" w:rsidP="00B722F2">
      <w:pPr>
        <w:spacing w:after="0" w:line="240" w:lineRule="auto"/>
        <w:jc w:val="both"/>
        <w:rPr>
          <w:rFonts w:ascii="Verdana" w:hAnsi="Verdana"/>
          <w:sz w:val="24"/>
          <w:szCs w:val="24"/>
        </w:rPr>
      </w:pPr>
      <w:r w:rsidRPr="00B57E80">
        <w:rPr>
          <w:rFonts w:ascii="Verdana" w:hAnsi="Verdana"/>
          <w:sz w:val="24"/>
          <w:szCs w:val="24"/>
        </w:rPr>
        <w:t>Metas Plan Estratégico</w:t>
      </w:r>
    </w:p>
    <w:tbl>
      <w:tblPr>
        <w:tblW w:w="5035" w:type="pct"/>
        <w:tblInd w:w="-72" w:type="dxa"/>
        <w:tblLayout w:type="fixed"/>
        <w:tblCellMar>
          <w:left w:w="70" w:type="dxa"/>
          <w:right w:w="70" w:type="dxa"/>
        </w:tblCellMar>
        <w:tblLook w:val="04A0"/>
      </w:tblPr>
      <w:tblGrid>
        <w:gridCol w:w="1410"/>
        <w:gridCol w:w="1181"/>
        <w:gridCol w:w="1476"/>
        <w:gridCol w:w="1329"/>
        <w:gridCol w:w="809"/>
        <w:gridCol w:w="983"/>
        <w:gridCol w:w="1683"/>
        <w:gridCol w:w="1366"/>
      </w:tblGrid>
      <w:tr w:rsidR="00EB5A3E" w:rsidRPr="00AD0B04" w:rsidTr="00EB5A3E">
        <w:trPr>
          <w:trHeight w:val="420"/>
          <w:tblHeader/>
        </w:trPr>
        <w:tc>
          <w:tcPr>
            <w:tcW w:w="689" w:type="pct"/>
            <w:tcBorders>
              <w:top w:val="single" w:sz="4" w:space="0" w:color="FFFFFF"/>
              <w:left w:val="single" w:sz="4" w:space="0" w:color="FFFFFF"/>
              <w:bottom w:val="single" w:sz="4" w:space="0" w:color="FFFFFF"/>
              <w:right w:val="single" w:sz="4" w:space="0" w:color="FFFFFF"/>
            </w:tcBorders>
            <w:shd w:val="clear" w:color="5B9BD5" w:fill="5B9BD5"/>
            <w:vAlign w:val="center"/>
            <w:hideMark/>
          </w:tcPr>
          <w:p w:rsidR="00EB5A3E" w:rsidRPr="00EB5A3E" w:rsidRDefault="00EB5A3E" w:rsidP="00EB21C6">
            <w:pPr>
              <w:spacing w:after="0" w:line="240" w:lineRule="auto"/>
              <w:jc w:val="center"/>
              <w:rPr>
                <w:rFonts w:ascii="Verdana" w:eastAsia="Times New Roman" w:hAnsi="Verdana" w:cs="Times New Roman"/>
                <w:b/>
                <w:bCs/>
                <w:color w:val="FFFFFF"/>
                <w:sz w:val="14"/>
                <w:szCs w:val="16"/>
                <w:lang w:eastAsia="es-CO"/>
              </w:rPr>
            </w:pPr>
            <w:r w:rsidRPr="00EB5A3E">
              <w:rPr>
                <w:rFonts w:ascii="Verdana" w:eastAsia="Times New Roman" w:hAnsi="Verdana" w:cs="Times New Roman"/>
                <w:b/>
                <w:bCs/>
                <w:color w:val="FFFFFF"/>
                <w:sz w:val="14"/>
                <w:szCs w:val="16"/>
                <w:lang w:eastAsia="es-CO"/>
              </w:rPr>
              <w:t>OBJETIVO ESTRATÉGICO</w:t>
            </w:r>
          </w:p>
        </w:tc>
        <w:tc>
          <w:tcPr>
            <w:tcW w:w="577" w:type="pct"/>
            <w:tcBorders>
              <w:top w:val="single" w:sz="4" w:space="0" w:color="FFFFFF"/>
              <w:left w:val="nil"/>
              <w:bottom w:val="single" w:sz="4" w:space="0" w:color="FFFFFF"/>
              <w:right w:val="single" w:sz="4" w:space="0" w:color="FFFFFF"/>
            </w:tcBorders>
            <w:shd w:val="clear" w:color="5B9BD5" w:fill="5B9BD5"/>
            <w:vAlign w:val="center"/>
            <w:hideMark/>
          </w:tcPr>
          <w:p w:rsidR="00EB5A3E" w:rsidRPr="00EB5A3E" w:rsidRDefault="00EB5A3E" w:rsidP="00EB21C6">
            <w:pPr>
              <w:spacing w:after="0" w:line="240" w:lineRule="auto"/>
              <w:jc w:val="center"/>
              <w:rPr>
                <w:rFonts w:ascii="Verdana" w:eastAsia="Times New Roman" w:hAnsi="Verdana" w:cs="Times New Roman"/>
                <w:b/>
                <w:bCs/>
                <w:color w:val="FFFFFF"/>
                <w:sz w:val="14"/>
                <w:szCs w:val="16"/>
                <w:lang w:eastAsia="es-CO"/>
              </w:rPr>
            </w:pPr>
            <w:r w:rsidRPr="00EB5A3E">
              <w:rPr>
                <w:rFonts w:ascii="Verdana" w:eastAsia="Times New Roman" w:hAnsi="Verdana" w:cs="Times New Roman"/>
                <w:b/>
                <w:bCs/>
                <w:color w:val="FFFFFF"/>
                <w:sz w:val="14"/>
                <w:szCs w:val="16"/>
                <w:lang w:eastAsia="es-CO"/>
              </w:rPr>
              <w:t>ESTRATÉGIA</w:t>
            </w:r>
          </w:p>
        </w:tc>
        <w:tc>
          <w:tcPr>
            <w:tcW w:w="721" w:type="pct"/>
            <w:tcBorders>
              <w:top w:val="single" w:sz="4" w:space="0" w:color="FFFFFF"/>
              <w:left w:val="nil"/>
              <w:bottom w:val="single" w:sz="4" w:space="0" w:color="FFFFFF"/>
              <w:right w:val="single" w:sz="4" w:space="0" w:color="FFFFFF"/>
            </w:tcBorders>
            <w:shd w:val="clear" w:color="5B9BD5" w:fill="5B9BD5"/>
            <w:vAlign w:val="center"/>
            <w:hideMark/>
          </w:tcPr>
          <w:p w:rsidR="00EB5A3E" w:rsidRPr="00EB5A3E" w:rsidRDefault="00EB5A3E" w:rsidP="00EB21C6">
            <w:pPr>
              <w:spacing w:after="0" w:line="240" w:lineRule="auto"/>
              <w:jc w:val="center"/>
              <w:rPr>
                <w:rFonts w:ascii="Verdana" w:eastAsia="Times New Roman" w:hAnsi="Verdana" w:cs="Times New Roman"/>
                <w:b/>
                <w:bCs/>
                <w:color w:val="FFFFFF"/>
                <w:sz w:val="14"/>
                <w:szCs w:val="16"/>
                <w:lang w:eastAsia="es-CO"/>
              </w:rPr>
            </w:pPr>
            <w:r w:rsidRPr="00EB5A3E">
              <w:rPr>
                <w:rFonts w:ascii="Verdana" w:eastAsia="Times New Roman" w:hAnsi="Verdana" w:cs="Times New Roman"/>
                <w:b/>
                <w:bCs/>
                <w:color w:val="FFFFFF"/>
                <w:sz w:val="14"/>
                <w:szCs w:val="16"/>
                <w:lang w:eastAsia="es-CO"/>
              </w:rPr>
              <w:t>ACTIVIDAD</w:t>
            </w:r>
          </w:p>
        </w:tc>
        <w:tc>
          <w:tcPr>
            <w:tcW w:w="649" w:type="pct"/>
            <w:tcBorders>
              <w:top w:val="single" w:sz="4" w:space="0" w:color="FFFFFF"/>
              <w:left w:val="nil"/>
              <w:bottom w:val="single" w:sz="4" w:space="0" w:color="FFFFFF"/>
              <w:right w:val="single" w:sz="4" w:space="0" w:color="FFFFFF"/>
            </w:tcBorders>
            <w:shd w:val="clear" w:color="5B9BD5" w:fill="5B9BD5"/>
            <w:vAlign w:val="center"/>
            <w:hideMark/>
          </w:tcPr>
          <w:p w:rsidR="00EB5A3E" w:rsidRPr="00EB5A3E" w:rsidRDefault="00EB5A3E" w:rsidP="00EB21C6">
            <w:pPr>
              <w:spacing w:after="0" w:line="240" w:lineRule="auto"/>
              <w:jc w:val="center"/>
              <w:rPr>
                <w:rFonts w:ascii="Verdana" w:eastAsia="Times New Roman" w:hAnsi="Verdana" w:cs="Times New Roman"/>
                <w:b/>
                <w:bCs/>
                <w:color w:val="FFFFFF"/>
                <w:sz w:val="14"/>
                <w:szCs w:val="16"/>
                <w:lang w:eastAsia="es-CO"/>
              </w:rPr>
            </w:pPr>
            <w:r w:rsidRPr="00EB5A3E">
              <w:rPr>
                <w:rFonts w:ascii="Verdana" w:eastAsia="Times New Roman" w:hAnsi="Verdana" w:cs="Times New Roman"/>
                <w:b/>
                <w:bCs/>
                <w:color w:val="FFFFFF"/>
                <w:sz w:val="14"/>
                <w:szCs w:val="16"/>
                <w:lang w:eastAsia="es-CO"/>
              </w:rPr>
              <w:t>INDICADOR</w:t>
            </w:r>
          </w:p>
        </w:tc>
        <w:tc>
          <w:tcPr>
            <w:tcW w:w="395" w:type="pct"/>
            <w:tcBorders>
              <w:top w:val="single" w:sz="4" w:space="0" w:color="FFFFFF"/>
              <w:left w:val="nil"/>
              <w:bottom w:val="single" w:sz="4" w:space="0" w:color="FFFFFF"/>
              <w:right w:val="single" w:sz="4" w:space="0" w:color="FFFFFF"/>
            </w:tcBorders>
            <w:shd w:val="clear" w:color="5B9BD5" w:fill="5B9BD5"/>
            <w:vAlign w:val="center"/>
            <w:hideMark/>
          </w:tcPr>
          <w:p w:rsidR="00EB5A3E" w:rsidRPr="00EB5A3E" w:rsidRDefault="00EB5A3E" w:rsidP="00EB21C6">
            <w:pPr>
              <w:spacing w:after="0" w:line="240" w:lineRule="auto"/>
              <w:jc w:val="center"/>
              <w:rPr>
                <w:rFonts w:ascii="Verdana" w:eastAsia="Times New Roman" w:hAnsi="Verdana" w:cs="Times New Roman"/>
                <w:b/>
                <w:bCs/>
                <w:color w:val="FFFFFF"/>
                <w:sz w:val="14"/>
                <w:szCs w:val="16"/>
                <w:lang w:eastAsia="es-CO"/>
              </w:rPr>
            </w:pPr>
            <w:r w:rsidRPr="00EB5A3E">
              <w:rPr>
                <w:rFonts w:ascii="Verdana" w:eastAsia="Times New Roman" w:hAnsi="Verdana" w:cs="Times New Roman"/>
                <w:b/>
                <w:bCs/>
                <w:color w:val="FFFFFF"/>
                <w:sz w:val="14"/>
                <w:szCs w:val="16"/>
                <w:lang w:eastAsia="es-CO"/>
              </w:rPr>
              <w:t>META</w:t>
            </w:r>
          </w:p>
        </w:tc>
        <w:tc>
          <w:tcPr>
            <w:tcW w:w="480" w:type="pct"/>
            <w:tcBorders>
              <w:top w:val="single" w:sz="4" w:space="0" w:color="FFFFFF"/>
              <w:left w:val="nil"/>
              <w:bottom w:val="single" w:sz="4" w:space="0" w:color="FFFFFF"/>
              <w:right w:val="single" w:sz="4" w:space="0" w:color="FFFFFF"/>
            </w:tcBorders>
            <w:shd w:val="clear" w:color="5B9BD5" w:fill="5B9BD5"/>
            <w:vAlign w:val="center"/>
            <w:hideMark/>
          </w:tcPr>
          <w:p w:rsidR="00EB5A3E" w:rsidRPr="00EB5A3E" w:rsidRDefault="00EB5A3E" w:rsidP="00EB21C6">
            <w:pPr>
              <w:spacing w:after="0" w:line="240" w:lineRule="auto"/>
              <w:jc w:val="center"/>
              <w:rPr>
                <w:rFonts w:ascii="Verdana" w:eastAsia="Times New Roman" w:hAnsi="Verdana" w:cs="Times New Roman"/>
                <w:b/>
                <w:bCs/>
                <w:color w:val="FFFFFF"/>
                <w:sz w:val="14"/>
                <w:szCs w:val="16"/>
                <w:lang w:eastAsia="es-CO"/>
              </w:rPr>
            </w:pPr>
            <w:r w:rsidRPr="00EB5A3E">
              <w:rPr>
                <w:rFonts w:ascii="Verdana" w:eastAsia="Times New Roman" w:hAnsi="Verdana" w:cs="Times New Roman"/>
                <w:b/>
                <w:bCs/>
                <w:color w:val="FFFFFF"/>
                <w:sz w:val="14"/>
                <w:szCs w:val="16"/>
                <w:lang w:eastAsia="es-CO"/>
              </w:rPr>
              <w:t>Avance 31 Diciembre</w:t>
            </w:r>
          </w:p>
        </w:tc>
        <w:tc>
          <w:tcPr>
            <w:tcW w:w="822" w:type="pct"/>
            <w:tcBorders>
              <w:top w:val="single" w:sz="4" w:space="0" w:color="FFFFFF"/>
              <w:left w:val="nil"/>
              <w:bottom w:val="single" w:sz="4" w:space="0" w:color="FFFFFF"/>
              <w:right w:val="single" w:sz="4" w:space="0" w:color="FFFFFF"/>
            </w:tcBorders>
            <w:shd w:val="clear" w:color="5B9BD5" w:fill="5B9BD5"/>
            <w:vAlign w:val="center"/>
            <w:hideMark/>
          </w:tcPr>
          <w:p w:rsidR="00EB5A3E" w:rsidRPr="00EB5A3E" w:rsidRDefault="00EB5A3E" w:rsidP="00EB21C6">
            <w:pPr>
              <w:spacing w:after="0" w:line="240" w:lineRule="auto"/>
              <w:jc w:val="center"/>
              <w:rPr>
                <w:rFonts w:ascii="Verdana" w:eastAsia="Times New Roman" w:hAnsi="Verdana" w:cs="Times New Roman"/>
                <w:b/>
                <w:bCs/>
                <w:color w:val="FFFFFF"/>
                <w:sz w:val="14"/>
                <w:szCs w:val="16"/>
                <w:lang w:eastAsia="es-CO"/>
              </w:rPr>
            </w:pPr>
            <w:r w:rsidRPr="00EB5A3E">
              <w:rPr>
                <w:rFonts w:ascii="Verdana" w:eastAsia="Times New Roman" w:hAnsi="Verdana" w:cs="Times New Roman"/>
                <w:b/>
                <w:bCs/>
                <w:color w:val="FFFFFF"/>
                <w:sz w:val="14"/>
                <w:szCs w:val="16"/>
                <w:lang w:eastAsia="es-CO"/>
              </w:rPr>
              <w:t xml:space="preserve">OBSERVACIONES  31  de Diciembre </w:t>
            </w:r>
          </w:p>
        </w:tc>
        <w:tc>
          <w:tcPr>
            <w:tcW w:w="667" w:type="pct"/>
            <w:tcBorders>
              <w:top w:val="single" w:sz="4" w:space="0" w:color="FFFFFF"/>
              <w:left w:val="nil"/>
              <w:bottom w:val="single" w:sz="4" w:space="0" w:color="FFFFFF"/>
              <w:right w:val="single" w:sz="4" w:space="0" w:color="FFFFFF"/>
            </w:tcBorders>
            <w:shd w:val="clear" w:color="5B9BD5" w:fill="5B9BD5"/>
            <w:vAlign w:val="center"/>
            <w:hideMark/>
          </w:tcPr>
          <w:p w:rsidR="00EB5A3E" w:rsidRPr="00EB5A3E" w:rsidRDefault="00EB5A3E" w:rsidP="00EB21C6">
            <w:pPr>
              <w:spacing w:after="0" w:line="240" w:lineRule="auto"/>
              <w:jc w:val="center"/>
              <w:rPr>
                <w:rFonts w:ascii="Verdana" w:eastAsia="Times New Roman" w:hAnsi="Verdana" w:cs="Times New Roman"/>
                <w:b/>
                <w:bCs/>
                <w:color w:val="FFFFFF"/>
                <w:sz w:val="14"/>
                <w:szCs w:val="16"/>
                <w:lang w:eastAsia="es-CO"/>
              </w:rPr>
            </w:pPr>
            <w:r w:rsidRPr="00EB5A3E">
              <w:rPr>
                <w:rFonts w:ascii="Verdana" w:eastAsia="Times New Roman" w:hAnsi="Verdana" w:cs="Times New Roman"/>
                <w:b/>
                <w:bCs/>
                <w:color w:val="FFFFFF"/>
                <w:sz w:val="14"/>
                <w:szCs w:val="16"/>
                <w:lang w:eastAsia="es-CO"/>
              </w:rPr>
              <w:t>RESPONSABLE</w:t>
            </w:r>
          </w:p>
        </w:tc>
      </w:tr>
      <w:tr w:rsidR="00EB5A3E" w:rsidRPr="00AD0B04" w:rsidTr="00EB5A3E">
        <w:trPr>
          <w:trHeight w:val="2310"/>
        </w:trPr>
        <w:tc>
          <w:tcPr>
            <w:tcW w:w="689" w:type="pct"/>
            <w:vMerge w:val="restart"/>
            <w:tcBorders>
              <w:top w:val="nil"/>
              <w:left w:val="single" w:sz="4" w:space="0" w:color="FFFFFF"/>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xml:space="preserve"> O1 Promover de forma organizada y articulada  la presencia de las instituciones del Estado, el sector privado y la cooperación  para la consolidación del territorio</w:t>
            </w:r>
          </w:p>
        </w:tc>
        <w:tc>
          <w:tcPr>
            <w:tcW w:w="577" w:type="pct"/>
            <w:vMerge w:val="restart"/>
            <w:tcBorders>
              <w:top w:val="nil"/>
              <w:left w:val="single" w:sz="4" w:space="0" w:color="FFFFFF"/>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xml:space="preserve">O1E1 Construir y gestionar la ruta movilizadora de la PNCRT Y  la Política de Cultivos Ilícitos </w:t>
            </w:r>
          </w:p>
        </w:tc>
        <w:tc>
          <w:tcPr>
            <w:tcW w:w="721"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Construir los Planes Estratégicos Territoriales</w:t>
            </w:r>
          </w:p>
        </w:tc>
        <w:tc>
          <w:tcPr>
            <w:tcW w:w="649"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Planes Estratégicos elaborados</w:t>
            </w:r>
          </w:p>
        </w:tc>
        <w:tc>
          <w:tcPr>
            <w:tcW w:w="395"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11</w:t>
            </w:r>
          </w:p>
        </w:tc>
        <w:tc>
          <w:tcPr>
            <w:tcW w:w="480"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9</w:t>
            </w:r>
          </w:p>
        </w:tc>
        <w:tc>
          <w:tcPr>
            <w:tcW w:w="822"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Se disminuyó la meta ya que no se van a realizar PET para las coordinaciones regionales, esta información va incluida en el PET de la Gerencia Regional.</w:t>
            </w:r>
            <w:r w:rsidRPr="00AD0B04">
              <w:rPr>
                <w:rFonts w:ascii="Verdana" w:eastAsia="Times New Roman" w:hAnsi="Verdana" w:cs="Times New Roman"/>
                <w:color w:val="000000"/>
                <w:sz w:val="16"/>
                <w:szCs w:val="16"/>
                <w:lang w:eastAsia="es-CO"/>
              </w:rPr>
              <w:br/>
              <w:t>En este momento todos los PET cuentan con concepto de viabilidad técnica y fueron socializados en Comité Directivo</w:t>
            </w:r>
          </w:p>
        </w:tc>
        <w:tc>
          <w:tcPr>
            <w:tcW w:w="667"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Gerencias Regionales / Dirección de Coordinación Regional</w:t>
            </w:r>
          </w:p>
        </w:tc>
      </w:tr>
      <w:tr w:rsidR="00EB5A3E" w:rsidRPr="00AD0B04" w:rsidTr="00EB5A3E">
        <w:trPr>
          <w:trHeight w:val="210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721"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Construir el Plan Territorial de Cultivos Ilícitos</w:t>
            </w:r>
          </w:p>
        </w:tc>
        <w:tc>
          <w:tcPr>
            <w:tcW w:w="649"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Planes Territorial de Cultivos Ilícitos elaborado</w:t>
            </w:r>
          </w:p>
        </w:tc>
        <w:tc>
          <w:tcPr>
            <w:tcW w:w="395"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11</w:t>
            </w:r>
          </w:p>
        </w:tc>
        <w:tc>
          <w:tcPr>
            <w:tcW w:w="480"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3</w:t>
            </w:r>
          </w:p>
        </w:tc>
        <w:tc>
          <w:tcPr>
            <w:tcW w:w="822"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Esta actividad se eliminó del Plan Operativo de la DCR lo cual fue aprobado por la oficina de planeación, ya que su objeto se encuentra duplicado en la siguiente actividad " actualizar los planes de acción regional con criterios de priorización".</w:t>
            </w:r>
          </w:p>
        </w:tc>
        <w:tc>
          <w:tcPr>
            <w:tcW w:w="667"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Dirección de Programas contra Cultivos Ilícitos</w:t>
            </w:r>
          </w:p>
        </w:tc>
      </w:tr>
      <w:tr w:rsidR="00EB5A3E" w:rsidRPr="00AD0B04" w:rsidTr="00EB5A3E">
        <w:trPr>
          <w:trHeight w:val="84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721"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Priorizar  proyectos según Planes Estratégicos Territoriales y Plan Territorial de Cultivos  Ilícitos</w:t>
            </w:r>
          </w:p>
        </w:tc>
        <w:tc>
          <w:tcPr>
            <w:tcW w:w="649"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Priorizaciones de proyectos</w:t>
            </w:r>
          </w:p>
        </w:tc>
        <w:tc>
          <w:tcPr>
            <w:tcW w:w="395"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11</w:t>
            </w:r>
          </w:p>
        </w:tc>
        <w:tc>
          <w:tcPr>
            <w:tcW w:w="480"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11</w:t>
            </w:r>
          </w:p>
        </w:tc>
        <w:tc>
          <w:tcPr>
            <w:tcW w:w="822"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w:t>
            </w:r>
          </w:p>
        </w:tc>
        <w:tc>
          <w:tcPr>
            <w:tcW w:w="667"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Gerencias Regionales / Dirección de Coordinación Regional</w:t>
            </w:r>
          </w:p>
        </w:tc>
      </w:tr>
      <w:tr w:rsidR="00EB5A3E" w:rsidRPr="00AD0B04" w:rsidTr="00EB5A3E">
        <w:trPr>
          <w:trHeight w:val="189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721"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Actualizar los Planes de Acción Regionales con criterios priorización</w:t>
            </w:r>
          </w:p>
        </w:tc>
        <w:tc>
          <w:tcPr>
            <w:tcW w:w="649"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Planes de Acción Regional actualizados</w:t>
            </w:r>
          </w:p>
        </w:tc>
        <w:tc>
          <w:tcPr>
            <w:tcW w:w="395"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11</w:t>
            </w:r>
          </w:p>
        </w:tc>
        <w:tc>
          <w:tcPr>
            <w:tcW w:w="480"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11</w:t>
            </w:r>
          </w:p>
        </w:tc>
        <w:tc>
          <w:tcPr>
            <w:tcW w:w="822"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Los PAR son actualizados mensualmente por las Gerencias Regionales. Esta actividad fue modificada y aprobada por Planeación quedando así: "actualizar los planes de acción regional con criterios de priorización basados en los PET y PTCI"</w:t>
            </w:r>
          </w:p>
        </w:tc>
        <w:tc>
          <w:tcPr>
            <w:tcW w:w="667"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Gerencias Regionales / Dirección de Coordinación Regional</w:t>
            </w:r>
          </w:p>
        </w:tc>
      </w:tr>
      <w:tr w:rsidR="00EB5A3E" w:rsidRPr="00AD0B04" w:rsidTr="00EB5A3E">
        <w:trPr>
          <w:trHeight w:val="84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val="restart"/>
            <w:tcBorders>
              <w:top w:val="nil"/>
              <w:left w:val="single" w:sz="4" w:space="0" w:color="FFFFFF"/>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O1E2</w:t>
            </w:r>
            <w:r w:rsidRPr="00AD0B04">
              <w:rPr>
                <w:rFonts w:ascii="Verdana" w:eastAsia="Times New Roman" w:hAnsi="Verdana" w:cs="Times New Roman"/>
                <w:color w:val="000000"/>
                <w:sz w:val="16"/>
                <w:szCs w:val="16"/>
                <w:lang w:eastAsia="es-CO"/>
              </w:rPr>
              <w:br/>
              <w:t>Articular, vincular y gestionar recursos para PNCRT y la Política De Cultivos Ilícitos con el sector privado.</w:t>
            </w:r>
          </w:p>
        </w:tc>
        <w:tc>
          <w:tcPr>
            <w:tcW w:w="721"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Establecer portafolio de empresas privadas  interesadas en alguna de las políticas</w:t>
            </w:r>
          </w:p>
        </w:tc>
        <w:tc>
          <w:tcPr>
            <w:tcW w:w="649"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Portafolio de empresas privadas consolidado</w:t>
            </w:r>
          </w:p>
        </w:tc>
        <w:tc>
          <w:tcPr>
            <w:tcW w:w="395"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w:t>
            </w:r>
          </w:p>
        </w:tc>
        <w:tc>
          <w:tcPr>
            <w:tcW w:w="480"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w:t>
            </w:r>
          </w:p>
        </w:tc>
        <w:tc>
          <w:tcPr>
            <w:tcW w:w="822"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Contamos con un portafolio de Empresa Privada que identifica y nos permite articular esfuerzos.</w:t>
            </w:r>
          </w:p>
        </w:tc>
        <w:tc>
          <w:tcPr>
            <w:tcW w:w="667"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Dirección de Articulación</w:t>
            </w:r>
          </w:p>
        </w:tc>
      </w:tr>
      <w:tr w:rsidR="00EB5A3E" w:rsidRPr="00AD0B04" w:rsidTr="00EB5A3E">
        <w:trPr>
          <w:trHeight w:val="126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721"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Gestionar y realizar convenios y/o acuerdos</w:t>
            </w:r>
          </w:p>
        </w:tc>
        <w:tc>
          <w:tcPr>
            <w:tcW w:w="649"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Convenios y/acuerdos elaborados</w:t>
            </w:r>
          </w:p>
        </w:tc>
        <w:tc>
          <w:tcPr>
            <w:tcW w:w="395"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5</w:t>
            </w:r>
          </w:p>
        </w:tc>
        <w:tc>
          <w:tcPr>
            <w:tcW w:w="480"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8</w:t>
            </w:r>
          </w:p>
        </w:tc>
        <w:tc>
          <w:tcPr>
            <w:tcW w:w="822"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Se han adelantado 8 acuerdos con empresa privada y están pendientes más una vez las partes aprueben obligaciones y responsabilidades.</w:t>
            </w:r>
          </w:p>
        </w:tc>
        <w:tc>
          <w:tcPr>
            <w:tcW w:w="667"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Dirección de Articulación</w:t>
            </w:r>
          </w:p>
        </w:tc>
      </w:tr>
      <w:tr w:rsidR="00EB5A3E" w:rsidRPr="00AD0B04" w:rsidTr="00EB5A3E">
        <w:trPr>
          <w:trHeight w:val="105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val="restart"/>
            <w:tcBorders>
              <w:top w:val="nil"/>
              <w:left w:val="single" w:sz="4" w:space="0" w:color="FFFFFF"/>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O1E3</w:t>
            </w:r>
            <w:r w:rsidRPr="00AD0B04">
              <w:rPr>
                <w:rFonts w:ascii="Verdana" w:eastAsia="Times New Roman" w:hAnsi="Verdana" w:cs="Times New Roman"/>
                <w:color w:val="000000"/>
                <w:sz w:val="16"/>
                <w:szCs w:val="16"/>
                <w:lang w:eastAsia="es-CO"/>
              </w:rPr>
              <w:br/>
              <w:t xml:space="preserve">Articular, vincular y gestionar recursos para la PNCRT y la Política De Cultivos Ilícitos con la cooperación internacional </w:t>
            </w:r>
          </w:p>
        </w:tc>
        <w:tc>
          <w:tcPr>
            <w:tcW w:w="721"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Articular y realizar el seguimiento a la ejecución de los recursos de los cooperantes vinculados como aliados estratégicos</w:t>
            </w:r>
          </w:p>
        </w:tc>
        <w:tc>
          <w:tcPr>
            <w:tcW w:w="649"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xml:space="preserve">Reuniones de seguimiento a ejecución recursos de cooperación </w:t>
            </w:r>
          </w:p>
        </w:tc>
        <w:tc>
          <w:tcPr>
            <w:tcW w:w="395"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12</w:t>
            </w:r>
          </w:p>
        </w:tc>
        <w:tc>
          <w:tcPr>
            <w:tcW w:w="480"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12</w:t>
            </w:r>
          </w:p>
        </w:tc>
        <w:tc>
          <w:tcPr>
            <w:tcW w:w="822"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Se han realizado las reuniones bisemanales y están sujetas a las agendas de sus integrantes</w:t>
            </w:r>
          </w:p>
        </w:tc>
        <w:tc>
          <w:tcPr>
            <w:tcW w:w="667"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Dirección de Articulación</w:t>
            </w:r>
          </w:p>
        </w:tc>
      </w:tr>
      <w:tr w:rsidR="00EB5A3E" w:rsidRPr="00AD0B04" w:rsidTr="00EB5A3E">
        <w:trPr>
          <w:trHeight w:val="105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721"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Identificar y articular nuevos organismos de cooperación  como aliados estratégicos</w:t>
            </w:r>
          </w:p>
        </w:tc>
        <w:tc>
          <w:tcPr>
            <w:tcW w:w="649"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Organismos de cooperación articulados</w:t>
            </w:r>
          </w:p>
        </w:tc>
        <w:tc>
          <w:tcPr>
            <w:tcW w:w="395"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w:t>
            </w:r>
          </w:p>
        </w:tc>
        <w:tc>
          <w:tcPr>
            <w:tcW w:w="480"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3</w:t>
            </w:r>
          </w:p>
        </w:tc>
        <w:tc>
          <w:tcPr>
            <w:tcW w:w="822"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xml:space="preserve">Contamos con un portafolio de Cooperación Internacional que identifica y articula organismos de </w:t>
            </w:r>
            <w:r w:rsidRPr="00AD0B04">
              <w:rPr>
                <w:rFonts w:ascii="Verdana" w:eastAsia="Times New Roman" w:hAnsi="Verdana" w:cs="Times New Roman"/>
                <w:color w:val="000000"/>
                <w:sz w:val="16"/>
                <w:szCs w:val="16"/>
                <w:lang w:eastAsia="es-CO"/>
              </w:rPr>
              <w:lastRenderedPageBreak/>
              <w:t>cooperación</w:t>
            </w:r>
          </w:p>
        </w:tc>
        <w:tc>
          <w:tcPr>
            <w:tcW w:w="667"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lastRenderedPageBreak/>
              <w:t>Dirección de Articulación</w:t>
            </w:r>
          </w:p>
        </w:tc>
      </w:tr>
      <w:tr w:rsidR="00EB5A3E" w:rsidRPr="00AD0B04" w:rsidTr="00EB5A3E">
        <w:trPr>
          <w:trHeight w:val="126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721"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Identificar mecanismos de movilización de cooperación frente a nuevas demandas de inversión</w:t>
            </w:r>
          </w:p>
        </w:tc>
        <w:tc>
          <w:tcPr>
            <w:tcW w:w="649"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Mecanismos de movilización de cooperación identificados</w:t>
            </w:r>
          </w:p>
        </w:tc>
        <w:tc>
          <w:tcPr>
            <w:tcW w:w="395"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w:t>
            </w:r>
          </w:p>
        </w:tc>
        <w:tc>
          <w:tcPr>
            <w:tcW w:w="480"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w:t>
            </w:r>
          </w:p>
        </w:tc>
        <w:tc>
          <w:tcPr>
            <w:tcW w:w="822"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Contamos un documento que contiene la estrategia de la participación de cooperación internacional como representación de la UACT</w:t>
            </w:r>
          </w:p>
        </w:tc>
        <w:tc>
          <w:tcPr>
            <w:tcW w:w="667"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Dirección de Articulación</w:t>
            </w:r>
          </w:p>
        </w:tc>
      </w:tr>
      <w:tr w:rsidR="00EB5A3E" w:rsidRPr="00AD0B04" w:rsidTr="00EB5A3E">
        <w:trPr>
          <w:trHeight w:val="105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val="restart"/>
            <w:tcBorders>
              <w:top w:val="nil"/>
              <w:left w:val="single" w:sz="4" w:space="0" w:color="FFFFFF"/>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O1E4</w:t>
            </w:r>
            <w:r w:rsidRPr="00AD0B04">
              <w:rPr>
                <w:rFonts w:ascii="Verdana" w:eastAsia="Times New Roman" w:hAnsi="Verdana" w:cs="Times New Roman"/>
                <w:color w:val="000000"/>
                <w:sz w:val="16"/>
                <w:szCs w:val="16"/>
                <w:lang w:eastAsia="es-CO"/>
              </w:rPr>
              <w:br/>
              <w:t xml:space="preserve">Articular, vincular y gestionar recursos para la PNCRT y la Política De Cultivos Ilícitos con  el sector público nacional y territorial </w:t>
            </w:r>
          </w:p>
        </w:tc>
        <w:tc>
          <w:tcPr>
            <w:tcW w:w="721"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Presentar  los Planes Estratégicos Territoriales para aprobación del comité nacional de seguimiento y aprobación de la política</w:t>
            </w:r>
          </w:p>
        </w:tc>
        <w:tc>
          <w:tcPr>
            <w:tcW w:w="649"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Planes Estratégicos Territoriales presentados</w:t>
            </w:r>
          </w:p>
        </w:tc>
        <w:tc>
          <w:tcPr>
            <w:tcW w:w="395"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11</w:t>
            </w:r>
          </w:p>
        </w:tc>
        <w:tc>
          <w:tcPr>
            <w:tcW w:w="480"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0</w:t>
            </w:r>
          </w:p>
        </w:tc>
        <w:tc>
          <w:tcPr>
            <w:tcW w:w="822"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No se ha llevado a cabo el Comité de la PNCRT</w:t>
            </w:r>
          </w:p>
        </w:tc>
        <w:tc>
          <w:tcPr>
            <w:tcW w:w="667"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Dirección de Articulación</w:t>
            </w:r>
          </w:p>
        </w:tc>
      </w:tr>
      <w:tr w:rsidR="00EB5A3E" w:rsidRPr="00AD0B04" w:rsidTr="00EB5A3E">
        <w:trPr>
          <w:trHeight w:val="84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721"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Presentar los Planes de Acción Regionales para aprobación en los subcomités técnicos</w:t>
            </w:r>
          </w:p>
        </w:tc>
        <w:tc>
          <w:tcPr>
            <w:tcW w:w="649"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xml:space="preserve">Planes de Acción Regional presentados </w:t>
            </w:r>
          </w:p>
        </w:tc>
        <w:tc>
          <w:tcPr>
            <w:tcW w:w="395"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11</w:t>
            </w:r>
          </w:p>
        </w:tc>
        <w:tc>
          <w:tcPr>
            <w:tcW w:w="480"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0</w:t>
            </w:r>
          </w:p>
        </w:tc>
        <w:tc>
          <w:tcPr>
            <w:tcW w:w="822"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No se han realizado los subcomités técnicos</w:t>
            </w:r>
          </w:p>
        </w:tc>
        <w:tc>
          <w:tcPr>
            <w:tcW w:w="667"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Dirección de Articulación</w:t>
            </w:r>
          </w:p>
        </w:tc>
      </w:tr>
      <w:tr w:rsidR="00EB5A3E" w:rsidRPr="00AD0B04" w:rsidTr="00EB5A3E">
        <w:trPr>
          <w:trHeight w:val="63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721"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Proponer acuerdos de inversión en los comités intersectoriales</w:t>
            </w:r>
          </w:p>
        </w:tc>
        <w:tc>
          <w:tcPr>
            <w:tcW w:w="649"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Acuerdos propuestos</w:t>
            </w:r>
          </w:p>
        </w:tc>
        <w:tc>
          <w:tcPr>
            <w:tcW w:w="395"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5</w:t>
            </w:r>
          </w:p>
        </w:tc>
        <w:tc>
          <w:tcPr>
            <w:tcW w:w="480"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10</w:t>
            </w:r>
          </w:p>
        </w:tc>
        <w:tc>
          <w:tcPr>
            <w:tcW w:w="822"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Se han firmado 10 convenios/acuerdos con el sector público</w:t>
            </w:r>
          </w:p>
        </w:tc>
        <w:tc>
          <w:tcPr>
            <w:tcW w:w="667"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Dirección de Articulación</w:t>
            </w:r>
          </w:p>
        </w:tc>
      </w:tr>
      <w:tr w:rsidR="00EB5A3E" w:rsidRPr="00AD0B04" w:rsidTr="00EB5A3E">
        <w:trPr>
          <w:trHeight w:val="84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721"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Presentar los informes de seguimiento e inversión al Comité Directivo de la PNCRT</w:t>
            </w:r>
          </w:p>
        </w:tc>
        <w:tc>
          <w:tcPr>
            <w:tcW w:w="649"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Informes de seguimiento e inversión presentados</w:t>
            </w:r>
          </w:p>
        </w:tc>
        <w:tc>
          <w:tcPr>
            <w:tcW w:w="395"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w:t>
            </w:r>
          </w:p>
        </w:tc>
        <w:tc>
          <w:tcPr>
            <w:tcW w:w="480"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0</w:t>
            </w:r>
          </w:p>
        </w:tc>
        <w:tc>
          <w:tcPr>
            <w:tcW w:w="822"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No se ha realizado Comité de la PNCRT</w:t>
            </w:r>
          </w:p>
        </w:tc>
        <w:tc>
          <w:tcPr>
            <w:tcW w:w="667"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Dirección de Articulación</w:t>
            </w:r>
          </w:p>
        </w:tc>
      </w:tr>
      <w:tr w:rsidR="00EB5A3E" w:rsidRPr="00AD0B04" w:rsidTr="00EB5A3E">
        <w:trPr>
          <w:trHeight w:val="63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721"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Presentar los informes de  seguimiento de los instrumentos de la  PNCRT</w:t>
            </w:r>
          </w:p>
        </w:tc>
        <w:tc>
          <w:tcPr>
            <w:tcW w:w="649"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Informes de seguimiento de la PNCRT presentados</w:t>
            </w:r>
          </w:p>
        </w:tc>
        <w:tc>
          <w:tcPr>
            <w:tcW w:w="395"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w:t>
            </w:r>
          </w:p>
        </w:tc>
        <w:tc>
          <w:tcPr>
            <w:tcW w:w="480"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0</w:t>
            </w:r>
          </w:p>
        </w:tc>
        <w:tc>
          <w:tcPr>
            <w:tcW w:w="822"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No se ha realizado Comité de la PNCRT</w:t>
            </w:r>
          </w:p>
        </w:tc>
        <w:tc>
          <w:tcPr>
            <w:tcW w:w="667"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Dirección de Articulación</w:t>
            </w:r>
          </w:p>
        </w:tc>
      </w:tr>
      <w:tr w:rsidR="00EB5A3E" w:rsidRPr="00AD0B04" w:rsidTr="00EB5A3E">
        <w:trPr>
          <w:trHeight w:val="105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721"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xml:space="preserve">Gestionar la movilización de recursos con las entidades públicas territoriales para financiar </w:t>
            </w:r>
            <w:r w:rsidRPr="00AD0B04">
              <w:rPr>
                <w:rFonts w:ascii="Verdana" w:eastAsia="Times New Roman" w:hAnsi="Verdana" w:cs="Times New Roman"/>
                <w:color w:val="000000"/>
                <w:sz w:val="16"/>
                <w:szCs w:val="16"/>
                <w:lang w:eastAsia="es-CO"/>
              </w:rPr>
              <w:lastRenderedPageBreak/>
              <w:t>los Planes de Acción Regionales.</w:t>
            </w:r>
          </w:p>
        </w:tc>
        <w:tc>
          <w:tcPr>
            <w:tcW w:w="649"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lastRenderedPageBreak/>
              <w:t>Recursos gestionados</w:t>
            </w:r>
          </w:p>
        </w:tc>
        <w:tc>
          <w:tcPr>
            <w:tcW w:w="395"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$450.000 millones</w:t>
            </w:r>
          </w:p>
        </w:tc>
        <w:tc>
          <w:tcPr>
            <w:tcW w:w="480"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1280689</w:t>
            </w:r>
          </w:p>
        </w:tc>
        <w:tc>
          <w:tcPr>
            <w:tcW w:w="822"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Recursos movilizados para la inversión en municipios focalizados por la PCRT</w:t>
            </w:r>
          </w:p>
        </w:tc>
        <w:tc>
          <w:tcPr>
            <w:tcW w:w="667"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Dirección de Articulación</w:t>
            </w:r>
          </w:p>
        </w:tc>
      </w:tr>
      <w:tr w:rsidR="00EB5A3E" w:rsidRPr="00AD0B04" w:rsidTr="00EB5A3E">
        <w:trPr>
          <w:trHeight w:val="42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val="restart"/>
            <w:tcBorders>
              <w:top w:val="nil"/>
              <w:left w:val="single" w:sz="4" w:space="0" w:color="FFFFFF"/>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O1E5 Implementar las líneas de comunicación estratégica para visibilizar y posicionar asertivamente a la Entidad, la PNCRT y la Política de Cultivos Ilícitos</w:t>
            </w:r>
          </w:p>
        </w:tc>
        <w:tc>
          <w:tcPr>
            <w:tcW w:w="721"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xml:space="preserve">Diseñar las estrategias de comunicación </w:t>
            </w:r>
          </w:p>
        </w:tc>
        <w:tc>
          <w:tcPr>
            <w:tcW w:w="649"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Estrategias de comunicación diseñadas</w:t>
            </w:r>
          </w:p>
        </w:tc>
        <w:tc>
          <w:tcPr>
            <w:tcW w:w="395"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15</w:t>
            </w:r>
          </w:p>
        </w:tc>
        <w:tc>
          <w:tcPr>
            <w:tcW w:w="480"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14</w:t>
            </w:r>
          </w:p>
        </w:tc>
        <w:tc>
          <w:tcPr>
            <w:tcW w:w="822"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Falta estrategia de Cauca</w:t>
            </w:r>
          </w:p>
        </w:tc>
        <w:tc>
          <w:tcPr>
            <w:tcW w:w="667"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Grupo de comunicaciones estratégicas</w:t>
            </w:r>
          </w:p>
        </w:tc>
      </w:tr>
      <w:tr w:rsidR="00EB5A3E" w:rsidRPr="00AD0B04" w:rsidTr="00EB5A3E">
        <w:trPr>
          <w:trHeight w:val="105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721"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Elaborar las piezas comunicativas y de marketing social que apoyen la implementación de las estrategias de comunicación</w:t>
            </w:r>
          </w:p>
        </w:tc>
        <w:tc>
          <w:tcPr>
            <w:tcW w:w="649"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Piezas de marketing social elaboradas</w:t>
            </w:r>
          </w:p>
        </w:tc>
        <w:tc>
          <w:tcPr>
            <w:tcW w:w="395"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45</w:t>
            </w:r>
          </w:p>
        </w:tc>
        <w:tc>
          <w:tcPr>
            <w:tcW w:w="480"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228</w:t>
            </w:r>
          </w:p>
        </w:tc>
        <w:tc>
          <w:tcPr>
            <w:tcW w:w="822"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w:t>
            </w:r>
          </w:p>
        </w:tc>
        <w:tc>
          <w:tcPr>
            <w:tcW w:w="667"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Grupo de comunicaciones estratégicas</w:t>
            </w:r>
          </w:p>
        </w:tc>
      </w:tr>
      <w:tr w:rsidR="00EB5A3E" w:rsidRPr="00AD0B04" w:rsidTr="00EB5A3E">
        <w:trPr>
          <w:trHeight w:val="63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721"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xml:space="preserve">Publicar información de la PNCRT y de la entidad en los canales de comunicación </w:t>
            </w:r>
          </w:p>
        </w:tc>
        <w:tc>
          <w:tcPr>
            <w:tcW w:w="649"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Publicaciones de la PNCRT</w:t>
            </w:r>
          </w:p>
        </w:tc>
        <w:tc>
          <w:tcPr>
            <w:tcW w:w="395"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6000</w:t>
            </w:r>
          </w:p>
        </w:tc>
        <w:tc>
          <w:tcPr>
            <w:tcW w:w="480"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7342</w:t>
            </w:r>
          </w:p>
        </w:tc>
        <w:tc>
          <w:tcPr>
            <w:tcW w:w="822"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w:t>
            </w:r>
          </w:p>
        </w:tc>
        <w:tc>
          <w:tcPr>
            <w:tcW w:w="667"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Grupo de comunicaciones estratégicas</w:t>
            </w:r>
          </w:p>
        </w:tc>
      </w:tr>
      <w:tr w:rsidR="00EB5A3E" w:rsidRPr="00AD0B04" w:rsidTr="00EB5A3E">
        <w:trPr>
          <w:trHeight w:val="105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721"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Participar en escenarios públicos y privados, para sensibilizar y posicionar la PNCRT y la Política de Cultivos Ilícitos</w:t>
            </w:r>
          </w:p>
        </w:tc>
        <w:tc>
          <w:tcPr>
            <w:tcW w:w="649"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Participación en escenarios públicos y privados</w:t>
            </w:r>
          </w:p>
        </w:tc>
        <w:tc>
          <w:tcPr>
            <w:tcW w:w="395"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20</w:t>
            </w:r>
          </w:p>
        </w:tc>
        <w:tc>
          <w:tcPr>
            <w:tcW w:w="480"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67</w:t>
            </w:r>
          </w:p>
        </w:tc>
        <w:tc>
          <w:tcPr>
            <w:tcW w:w="822"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w:t>
            </w:r>
          </w:p>
        </w:tc>
        <w:tc>
          <w:tcPr>
            <w:tcW w:w="667"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Grupo de comunicaciones estratégicas</w:t>
            </w:r>
          </w:p>
        </w:tc>
      </w:tr>
      <w:tr w:rsidR="00EB5A3E" w:rsidRPr="00AD0B04" w:rsidTr="00EB5A3E">
        <w:trPr>
          <w:trHeight w:val="1050"/>
        </w:trPr>
        <w:tc>
          <w:tcPr>
            <w:tcW w:w="689" w:type="pct"/>
            <w:vMerge w:val="restart"/>
            <w:tcBorders>
              <w:top w:val="nil"/>
              <w:left w:val="single" w:sz="4" w:space="0" w:color="FFFFFF"/>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xml:space="preserve">O2 Lograr  territorios libres de Cultivos Ilícitos </w:t>
            </w:r>
          </w:p>
        </w:tc>
        <w:tc>
          <w:tcPr>
            <w:tcW w:w="577" w:type="pct"/>
            <w:vMerge w:val="restart"/>
            <w:tcBorders>
              <w:top w:val="nil"/>
              <w:left w:val="single" w:sz="4" w:space="0" w:color="FFFFFF"/>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O2E1</w:t>
            </w:r>
            <w:r w:rsidRPr="00AD0B04">
              <w:rPr>
                <w:rFonts w:ascii="Verdana" w:eastAsia="Times New Roman" w:hAnsi="Verdana" w:cs="Times New Roman"/>
                <w:color w:val="000000"/>
                <w:sz w:val="16"/>
                <w:szCs w:val="16"/>
                <w:lang w:eastAsia="es-CO"/>
              </w:rPr>
              <w:br/>
              <w:t xml:space="preserve">Aportar a la disminución de los cultivos ilícitos a través de la Erradicación Manual </w:t>
            </w:r>
          </w:p>
        </w:tc>
        <w:tc>
          <w:tcPr>
            <w:tcW w:w="721"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Realizar la erradicación manual forzosa de Cultivos Ilícitos a través de los Grupos Móviles de Erradicación</w:t>
            </w:r>
          </w:p>
        </w:tc>
        <w:tc>
          <w:tcPr>
            <w:tcW w:w="649"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Hectáreas erradicadas</w:t>
            </w:r>
          </w:p>
        </w:tc>
        <w:tc>
          <w:tcPr>
            <w:tcW w:w="395"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8250</w:t>
            </w:r>
          </w:p>
        </w:tc>
        <w:tc>
          <w:tcPr>
            <w:tcW w:w="480"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6145,34</w:t>
            </w:r>
          </w:p>
        </w:tc>
        <w:tc>
          <w:tcPr>
            <w:tcW w:w="822"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2151 HECTAREAS DE FASE IV ESTAN PENDIENTES POR CERTIFICAR POR PARTE DE UNODC</w:t>
            </w:r>
          </w:p>
        </w:tc>
        <w:tc>
          <w:tcPr>
            <w:tcW w:w="667"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Dirección de Programas contra Cultivos Ilícitos</w:t>
            </w:r>
          </w:p>
        </w:tc>
      </w:tr>
      <w:tr w:rsidR="00EB5A3E" w:rsidRPr="00AD0B04" w:rsidTr="00EB5A3E">
        <w:trPr>
          <w:trHeight w:val="105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721"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xml:space="preserve">Garantizar la entrega de los insumos necesarios para la verificación de la erradicación manual  de cultivos ilícitos </w:t>
            </w:r>
          </w:p>
        </w:tc>
        <w:tc>
          <w:tcPr>
            <w:tcW w:w="649"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Informes de cierre  de fase</w:t>
            </w:r>
          </w:p>
        </w:tc>
        <w:tc>
          <w:tcPr>
            <w:tcW w:w="395"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4</w:t>
            </w:r>
          </w:p>
        </w:tc>
        <w:tc>
          <w:tcPr>
            <w:tcW w:w="480"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3</w:t>
            </w:r>
          </w:p>
        </w:tc>
        <w:tc>
          <w:tcPr>
            <w:tcW w:w="822"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EN PROCESO DE ELABORACION LOS INFORMES DE CIERRE FASE IV.</w:t>
            </w:r>
          </w:p>
        </w:tc>
        <w:tc>
          <w:tcPr>
            <w:tcW w:w="667"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Dirección de Programas contra Cultivos Ilícitos</w:t>
            </w:r>
          </w:p>
        </w:tc>
      </w:tr>
      <w:tr w:rsidR="00EB5A3E" w:rsidRPr="00AD0B04" w:rsidTr="00EB5A3E">
        <w:trPr>
          <w:trHeight w:val="63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val="restart"/>
            <w:tcBorders>
              <w:top w:val="nil"/>
              <w:left w:val="single" w:sz="4" w:space="0" w:color="FFFFFF"/>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xml:space="preserve"> O2E2 Apoya a la población con la estrategia </w:t>
            </w:r>
            <w:r w:rsidRPr="00AD0B04">
              <w:rPr>
                <w:rFonts w:ascii="Verdana" w:eastAsia="Times New Roman" w:hAnsi="Verdana" w:cs="Times New Roman"/>
                <w:color w:val="000000"/>
                <w:sz w:val="16"/>
                <w:szCs w:val="16"/>
                <w:lang w:eastAsia="es-CO"/>
              </w:rPr>
              <w:lastRenderedPageBreak/>
              <w:t>de Post Erradicación y contención</w:t>
            </w:r>
          </w:p>
        </w:tc>
        <w:tc>
          <w:tcPr>
            <w:tcW w:w="721"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lastRenderedPageBreak/>
              <w:t xml:space="preserve">Focalizar e Inscribir Nuevas Familias Guardabosques para la </w:t>
            </w:r>
            <w:r w:rsidRPr="00AD0B04">
              <w:rPr>
                <w:rFonts w:ascii="Verdana" w:eastAsia="Times New Roman" w:hAnsi="Verdana" w:cs="Times New Roman"/>
                <w:color w:val="000000"/>
                <w:sz w:val="16"/>
                <w:szCs w:val="16"/>
                <w:lang w:eastAsia="es-CO"/>
              </w:rPr>
              <w:lastRenderedPageBreak/>
              <w:t>Prosperidad</w:t>
            </w:r>
          </w:p>
        </w:tc>
        <w:tc>
          <w:tcPr>
            <w:tcW w:w="649"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lastRenderedPageBreak/>
              <w:t>Familias inscritas</w:t>
            </w:r>
          </w:p>
        </w:tc>
        <w:tc>
          <w:tcPr>
            <w:tcW w:w="395"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10000</w:t>
            </w:r>
          </w:p>
        </w:tc>
        <w:tc>
          <w:tcPr>
            <w:tcW w:w="480"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6684</w:t>
            </w:r>
          </w:p>
        </w:tc>
        <w:tc>
          <w:tcPr>
            <w:tcW w:w="822"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EN TOTAL SE INSCRIBIERON AL PROGRAMA 6684 FAMILIAS</w:t>
            </w:r>
          </w:p>
        </w:tc>
        <w:tc>
          <w:tcPr>
            <w:tcW w:w="667"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Dirección de Programas contra Cultivos Ilícitos</w:t>
            </w:r>
          </w:p>
        </w:tc>
      </w:tr>
      <w:tr w:rsidR="00EB5A3E" w:rsidRPr="00AD0B04" w:rsidTr="00EB5A3E">
        <w:trPr>
          <w:trHeight w:val="168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721"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Atender familias con iniciativas de seguridad alimentaria de transición, implementación de proyectos productivos y acompañamiento técnico productivo y socio organizacional</w:t>
            </w:r>
          </w:p>
        </w:tc>
        <w:tc>
          <w:tcPr>
            <w:tcW w:w="649"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Familias atendidas</w:t>
            </w:r>
          </w:p>
        </w:tc>
        <w:tc>
          <w:tcPr>
            <w:tcW w:w="395"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48000</w:t>
            </w:r>
          </w:p>
        </w:tc>
        <w:tc>
          <w:tcPr>
            <w:tcW w:w="480"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40327</w:t>
            </w:r>
          </w:p>
        </w:tc>
        <w:tc>
          <w:tcPr>
            <w:tcW w:w="822"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SE HAN ATENDIDO 29650 FAMILIAS DE 2012, 8535 FAMILIAS DE 2013 Y 2142 DE 2014</w:t>
            </w:r>
          </w:p>
        </w:tc>
        <w:tc>
          <w:tcPr>
            <w:tcW w:w="667"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Dirección de Programas contra Cultivos Ilícitos</w:t>
            </w:r>
          </w:p>
        </w:tc>
      </w:tr>
      <w:tr w:rsidR="00EB5A3E" w:rsidRPr="00AD0B04" w:rsidTr="00EB5A3E">
        <w:trPr>
          <w:trHeight w:val="84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val="restart"/>
            <w:tcBorders>
              <w:top w:val="nil"/>
              <w:left w:val="single" w:sz="4" w:space="0" w:color="FFFFFF"/>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O2E3 Apoyar a las organizaciones de desarrollo alternativo con la estrategia de graduación</w:t>
            </w:r>
          </w:p>
        </w:tc>
        <w:tc>
          <w:tcPr>
            <w:tcW w:w="721"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Apoyar a las organizaciones en el fortalecimiento de sus necesidades en temas productivos</w:t>
            </w:r>
          </w:p>
        </w:tc>
        <w:tc>
          <w:tcPr>
            <w:tcW w:w="649"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Organizaciones apoyadas</w:t>
            </w:r>
          </w:p>
        </w:tc>
        <w:tc>
          <w:tcPr>
            <w:tcW w:w="395"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30</w:t>
            </w:r>
          </w:p>
        </w:tc>
        <w:tc>
          <w:tcPr>
            <w:tcW w:w="480"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35</w:t>
            </w:r>
          </w:p>
        </w:tc>
        <w:tc>
          <w:tcPr>
            <w:tcW w:w="822"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ORGANIZACIONES APOYADAS ATRAVES DE PROYECTOS PRODUCTIVOS EJECUTADOS POR UNODC</w:t>
            </w:r>
          </w:p>
        </w:tc>
        <w:tc>
          <w:tcPr>
            <w:tcW w:w="667"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Dirección de Programas contra Cultivos Ilícitos</w:t>
            </w:r>
          </w:p>
        </w:tc>
      </w:tr>
      <w:tr w:rsidR="00EB5A3E" w:rsidRPr="00AD0B04" w:rsidTr="00EB5A3E">
        <w:trPr>
          <w:trHeight w:val="168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721"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Apoyar el fortalecimiento de las organizaciones a través de la realización directa o indirecta de acuerdos, convenios y/o alianzas para la sostenibilidad de las organizaciones y familias graduadas</w:t>
            </w:r>
          </w:p>
        </w:tc>
        <w:tc>
          <w:tcPr>
            <w:tcW w:w="649"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Organizaciones apoyadas a través de la realización directa o indirecta de acuerdos, convenios y/o alianzas</w:t>
            </w:r>
          </w:p>
        </w:tc>
        <w:tc>
          <w:tcPr>
            <w:tcW w:w="395"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15</w:t>
            </w:r>
          </w:p>
        </w:tc>
        <w:tc>
          <w:tcPr>
            <w:tcW w:w="480"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16</w:t>
            </w:r>
          </w:p>
        </w:tc>
        <w:tc>
          <w:tcPr>
            <w:tcW w:w="822"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ORGANIZACIONES APOYADAS ATRAVES DE ALIANZAS PRODUCTIVAS</w:t>
            </w:r>
          </w:p>
        </w:tc>
        <w:tc>
          <w:tcPr>
            <w:tcW w:w="667"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Dirección de Programas contra Cultivos Ilícitos</w:t>
            </w:r>
          </w:p>
        </w:tc>
      </w:tr>
      <w:tr w:rsidR="00EB5A3E" w:rsidRPr="00AD0B04" w:rsidTr="00EB5A3E">
        <w:trPr>
          <w:trHeight w:val="1050"/>
        </w:trPr>
        <w:tc>
          <w:tcPr>
            <w:tcW w:w="689" w:type="pct"/>
            <w:vMerge w:val="restart"/>
            <w:tcBorders>
              <w:top w:val="nil"/>
              <w:left w:val="single" w:sz="4" w:space="0" w:color="FFFFFF"/>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O3</w:t>
            </w:r>
            <w:r w:rsidRPr="00AD0B04">
              <w:rPr>
                <w:rFonts w:ascii="Verdana" w:eastAsia="Times New Roman" w:hAnsi="Verdana" w:cs="Times New Roman"/>
                <w:color w:val="000000"/>
                <w:sz w:val="16"/>
                <w:szCs w:val="16"/>
                <w:lang w:eastAsia="es-CO"/>
              </w:rPr>
              <w:br/>
              <w:t>Fomentar la participación ciudadana y comunitaria</w:t>
            </w:r>
          </w:p>
        </w:tc>
        <w:tc>
          <w:tcPr>
            <w:tcW w:w="577" w:type="pct"/>
            <w:vMerge w:val="restart"/>
            <w:tcBorders>
              <w:top w:val="nil"/>
              <w:left w:val="single" w:sz="4" w:space="0" w:color="FFFFFF"/>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O3E1</w:t>
            </w:r>
            <w:r w:rsidRPr="00AD0B04">
              <w:rPr>
                <w:rFonts w:ascii="Verdana" w:eastAsia="Times New Roman" w:hAnsi="Verdana" w:cs="Times New Roman"/>
                <w:color w:val="000000"/>
                <w:sz w:val="16"/>
                <w:szCs w:val="16"/>
                <w:lang w:eastAsia="es-CO"/>
              </w:rPr>
              <w:br/>
              <w:t xml:space="preserve">Aportar a la generación de confianza de las comunidades hacia el Estado </w:t>
            </w:r>
          </w:p>
        </w:tc>
        <w:tc>
          <w:tcPr>
            <w:tcW w:w="721"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Atender con criterios de priorización las necesidades de las comunidades  para inclusión en el programa de respuesta rápida</w:t>
            </w:r>
          </w:p>
        </w:tc>
        <w:tc>
          <w:tcPr>
            <w:tcW w:w="649"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Proyectos priorizados con las necesidades de las comunidades</w:t>
            </w:r>
          </w:p>
        </w:tc>
        <w:tc>
          <w:tcPr>
            <w:tcW w:w="395"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58</w:t>
            </w:r>
          </w:p>
        </w:tc>
        <w:tc>
          <w:tcPr>
            <w:tcW w:w="480"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152</w:t>
            </w:r>
          </w:p>
        </w:tc>
        <w:tc>
          <w:tcPr>
            <w:tcW w:w="822"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w:t>
            </w:r>
          </w:p>
        </w:tc>
        <w:tc>
          <w:tcPr>
            <w:tcW w:w="667"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Dirección de Coordinación Regional / Gerencias Regionales</w:t>
            </w:r>
          </w:p>
        </w:tc>
      </w:tr>
      <w:tr w:rsidR="00EB5A3E" w:rsidRPr="00AD0B04" w:rsidTr="00EB5A3E">
        <w:trPr>
          <w:trHeight w:val="63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721"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Realizar talleres veredales y de núcleo en zonas de transición</w:t>
            </w:r>
          </w:p>
        </w:tc>
        <w:tc>
          <w:tcPr>
            <w:tcW w:w="649"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Talleres realizados en veredas amarillas</w:t>
            </w:r>
          </w:p>
        </w:tc>
        <w:tc>
          <w:tcPr>
            <w:tcW w:w="395"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1700</w:t>
            </w:r>
          </w:p>
        </w:tc>
        <w:tc>
          <w:tcPr>
            <w:tcW w:w="480"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0</w:t>
            </w:r>
          </w:p>
        </w:tc>
        <w:tc>
          <w:tcPr>
            <w:tcW w:w="822"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w:t>
            </w:r>
          </w:p>
        </w:tc>
        <w:tc>
          <w:tcPr>
            <w:tcW w:w="667"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Gerencias Regionales</w:t>
            </w:r>
          </w:p>
        </w:tc>
      </w:tr>
      <w:tr w:rsidR="00EB5A3E" w:rsidRPr="00AD0B04" w:rsidTr="00EB5A3E">
        <w:trPr>
          <w:trHeight w:val="63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721"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xml:space="preserve">Realizar el seguimiento a la ejecución del programa de Respuesta Rápida </w:t>
            </w:r>
          </w:p>
        </w:tc>
        <w:tc>
          <w:tcPr>
            <w:tcW w:w="649"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xml:space="preserve">Seguimiento realizado </w:t>
            </w:r>
          </w:p>
        </w:tc>
        <w:tc>
          <w:tcPr>
            <w:tcW w:w="395"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4</w:t>
            </w:r>
          </w:p>
        </w:tc>
        <w:tc>
          <w:tcPr>
            <w:tcW w:w="480"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4</w:t>
            </w:r>
          </w:p>
        </w:tc>
        <w:tc>
          <w:tcPr>
            <w:tcW w:w="822"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w:t>
            </w:r>
          </w:p>
        </w:tc>
        <w:tc>
          <w:tcPr>
            <w:tcW w:w="667"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Dirección de Coordinación Regional / Gerencias Regionales</w:t>
            </w:r>
          </w:p>
        </w:tc>
      </w:tr>
      <w:tr w:rsidR="00EB5A3E" w:rsidRPr="00AD0B04" w:rsidTr="00EB5A3E">
        <w:trPr>
          <w:trHeight w:val="63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721"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Realizar Seguimiento al programa de respuesta rápida Colombia Responde</w:t>
            </w:r>
          </w:p>
        </w:tc>
        <w:tc>
          <w:tcPr>
            <w:tcW w:w="649"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xml:space="preserve">Seguimiento realizado </w:t>
            </w:r>
          </w:p>
        </w:tc>
        <w:tc>
          <w:tcPr>
            <w:tcW w:w="395"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2</w:t>
            </w:r>
          </w:p>
        </w:tc>
        <w:tc>
          <w:tcPr>
            <w:tcW w:w="480"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2</w:t>
            </w:r>
          </w:p>
        </w:tc>
        <w:tc>
          <w:tcPr>
            <w:tcW w:w="822"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w:t>
            </w:r>
          </w:p>
        </w:tc>
        <w:tc>
          <w:tcPr>
            <w:tcW w:w="667"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xml:space="preserve"> Gerencias Regionales</w:t>
            </w:r>
          </w:p>
        </w:tc>
      </w:tr>
      <w:tr w:rsidR="00EB5A3E" w:rsidRPr="00AD0B04" w:rsidTr="00EB5A3E">
        <w:trPr>
          <w:trHeight w:val="105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721"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Revisar y formalizar  la metodología de participación comunitaria  en la intervención de la política en los territorios</w:t>
            </w:r>
          </w:p>
        </w:tc>
        <w:tc>
          <w:tcPr>
            <w:tcW w:w="649"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Metodología formalizada</w:t>
            </w:r>
          </w:p>
        </w:tc>
        <w:tc>
          <w:tcPr>
            <w:tcW w:w="395"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w:t>
            </w:r>
          </w:p>
        </w:tc>
        <w:tc>
          <w:tcPr>
            <w:tcW w:w="480"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w:t>
            </w:r>
          </w:p>
        </w:tc>
        <w:tc>
          <w:tcPr>
            <w:tcW w:w="822"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w:t>
            </w:r>
          </w:p>
        </w:tc>
        <w:tc>
          <w:tcPr>
            <w:tcW w:w="667"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xml:space="preserve">Dirección de Coordinación Regional </w:t>
            </w:r>
          </w:p>
        </w:tc>
      </w:tr>
      <w:tr w:rsidR="00EB5A3E" w:rsidRPr="00AD0B04" w:rsidTr="00EB5A3E">
        <w:trPr>
          <w:trHeight w:val="105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val="restart"/>
            <w:tcBorders>
              <w:top w:val="nil"/>
              <w:left w:val="single" w:sz="4" w:space="0" w:color="FFFFFF"/>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O3E2</w:t>
            </w:r>
            <w:r w:rsidRPr="00AD0B04">
              <w:rPr>
                <w:rFonts w:ascii="Verdana" w:eastAsia="Times New Roman" w:hAnsi="Verdana" w:cs="Times New Roman"/>
                <w:color w:val="000000"/>
                <w:sz w:val="16"/>
                <w:szCs w:val="16"/>
                <w:lang w:eastAsia="es-CO"/>
              </w:rPr>
              <w:br/>
              <w:t xml:space="preserve">Implementar la estrategia de Comunicación para el Desarrollo </w:t>
            </w:r>
          </w:p>
        </w:tc>
        <w:tc>
          <w:tcPr>
            <w:tcW w:w="721"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Diseñar e implementar las  herramientas  de comunicación asertivas concertadas con las comunidades</w:t>
            </w:r>
          </w:p>
        </w:tc>
        <w:tc>
          <w:tcPr>
            <w:tcW w:w="649"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Herramientas diseñadas e implementadas</w:t>
            </w:r>
          </w:p>
        </w:tc>
        <w:tc>
          <w:tcPr>
            <w:tcW w:w="395"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11</w:t>
            </w:r>
          </w:p>
        </w:tc>
        <w:tc>
          <w:tcPr>
            <w:tcW w:w="480"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16</w:t>
            </w:r>
          </w:p>
        </w:tc>
        <w:tc>
          <w:tcPr>
            <w:tcW w:w="822"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w:t>
            </w:r>
          </w:p>
        </w:tc>
        <w:tc>
          <w:tcPr>
            <w:tcW w:w="667"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Grupo de comunicaciones estratégicas</w:t>
            </w:r>
          </w:p>
        </w:tc>
      </w:tr>
      <w:tr w:rsidR="00EB5A3E" w:rsidRPr="00AD0B04" w:rsidTr="00EB5A3E">
        <w:trPr>
          <w:trHeight w:val="105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721"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Ejecutar las actividades de comunicación para el desarrollo contempladas en las estrategias de comunicación regionales</w:t>
            </w:r>
          </w:p>
        </w:tc>
        <w:tc>
          <w:tcPr>
            <w:tcW w:w="649"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Actividades de comunicación para el desarrollo ejecutadas</w:t>
            </w:r>
          </w:p>
        </w:tc>
        <w:tc>
          <w:tcPr>
            <w:tcW w:w="395"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12</w:t>
            </w:r>
          </w:p>
        </w:tc>
        <w:tc>
          <w:tcPr>
            <w:tcW w:w="480"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22</w:t>
            </w:r>
          </w:p>
        </w:tc>
        <w:tc>
          <w:tcPr>
            <w:tcW w:w="822"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w:t>
            </w:r>
          </w:p>
        </w:tc>
        <w:tc>
          <w:tcPr>
            <w:tcW w:w="667"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Grupo de comunicaciones estratégicas</w:t>
            </w:r>
          </w:p>
        </w:tc>
      </w:tr>
      <w:tr w:rsidR="00EB5A3E" w:rsidRPr="00AD0B04" w:rsidTr="00EB5A3E">
        <w:trPr>
          <w:trHeight w:val="336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val="restart"/>
            <w:tcBorders>
              <w:top w:val="nil"/>
              <w:left w:val="single" w:sz="4" w:space="0" w:color="FFFFFF"/>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O3E3 Fortalecer formas  de participación ciudadana y comunitaria</w:t>
            </w:r>
          </w:p>
        </w:tc>
        <w:tc>
          <w:tcPr>
            <w:tcW w:w="721"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Apoyar y promover las formas de control social para los proyectos en ejecución</w:t>
            </w:r>
          </w:p>
        </w:tc>
        <w:tc>
          <w:tcPr>
            <w:tcW w:w="649"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xml:space="preserve">Proyectos en ejecución con una forma de control social </w:t>
            </w:r>
          </w:p>
        </w:tc>
        <w:tc>
          <w:tcPr>
            <w:tcW w:w="395"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58</w:t>
            </w:r>
          </w:p>
        </w:tc>
        <w:tc>
          <w:tcPr>
            <w:tcW w:w="480"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166</w:t>
            </w:r>
          </w:p>
        </w:tc>
        <w:tc>
          <w:tcPr>
            <w:tcW w:w="822"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87 Proyectos del Programa de Respuesta Rápida correspondientes a la vigencia 2013, que se finalizaron en 2014, contaron con la conformación y funcionamiento de un Comité de Seguimiento Comunitario, según lo establecido en el Manual Operativo de Ejecución del Convenio 087 con el Socio Estratégico de Operación – FUPAD y para el 2014 el número de proyectos que contaron con dichos comités fueron 79.</w:t>
            </w:r>
          </w:p>
        </w:tc>
        <w:tc>
          <w:tcPr>
            <w:tcW w:w="667"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xml:space="preserve">Dirección de Coordinación Regional </w:t>
            </w:r>
          </w:p>
        </w:tc>
      </w:tr>
      <w:tr w:rsidR="00EB5A3E" w:rsidRPr="00AD0B04" w:rsidTr="00EB5A3E">
        <w:trPr>
          <w:trHeight w:val="126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721"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Promover la participación de las organizaciones sociales y comunitarias  en la instancias de concertación de políticas públicas</w:t>
            </w:r>
          </w:p>
        </w:tc>
        <w:tc>
          <w:tcPr>
            <w:tcW w:w="649"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Comités de desarrollo rural, derechos humanos y desarrollo social constituidos</w:t>
            </w:r>
          </w:p>
        </w:tc>
        <w:tc>
          <w:tcPr>
            <w:tcW w:w="395"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58</w:t>
            </w:r>
          </w:p>
        </w:tc>
        <w:tc>
          <w:tcPr>
            <w:tcW w:w="480"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58</w:t>
            </w:r>
          </w:p>
        </w:tc>
        <w:tc>
          <w:tcPr>
            <w:tcW w:w="822"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Meta cumplida, ya que se terminaron de promover y conformar los CMDR en las zonas de Consolidación, para la viabilización del pacto nacional agrario.</w:t>
            </w:r>
          </w:p>
        </w:tc>
        <w:tc>
          <w:tcPr>
            <w:tcW w:w="667"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Dirección de Coordinación Regional / Gerencias Regionales</w:t>
            </w:r>
          </w:p>
        </w:tc>
      </w:tr>
      <w:tr w:rsidR="00EB5A3E" w:rsidRPr="00AD0B04" w:rsidTr="00EB5A3E">
        <w:trPr>
          <w:trHeight w:val="630"/>
        </w:trPr>
        <w:tc>
          <w:tcPr>
            <w:tcW w:w="689" w:type="pct"/>
            <w:vMerge w:val="restart"/>
            <w:tcBorders>
              <w:top w:val="nil"/>
              <w:left w:val="single" w:sz="4" w:space="0" w:color="FFFFFF"/>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xml:space="preserve"> O4 Realizar  seguimiento a la PNCRT, la Política Nacional de Erradicación Manual de Cultivos ilícitos y Desarrollo Alternativo y a la Gestión de la UAECT</w:t>
            </w:r>
          </w:p>
        </w:tc>
        <w:tc>
          <w:tcPr>
            <w:tcW w:w="577" w:type="pct"/>
            <w:vMerge w:val="restart"/>
            <w:tcBorders>
              <w:top w:val="nil"/>
              <w:left w:val="single" w:sz="4" w:space="0" w:color="FFFFFF"/>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O4E1 Realizar seguimiento a la implementación de la PNCRT</w:t>
            </w:r>
          </w:p>
        </w:tc>
        <w:tc>
          <w:tcPr>
            <w:tcW w:w="721"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Realizar el seguimiento a los Planes de Acción Regionales</w:t>
            </w:r>
          </w:p>
        </w:tc>
        <w:tc>
          <w:tcPr>
            <w:tcW w:w="649"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Seguimientos a los PAR</w:t>
            </w:r>
          </w:p>
        </w:tc>
        <w:tc>
          <w:tcPr>
            <w:tcW w:w="395"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4</w:t>
            </w:r>
          </w:p>
        </w:tc>
        <w:tc>
          <w:tcPr>
            <w:tcW w:w="480"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4</w:t>
            </w:r>
          </w:p>
        </w:tc>
        <w:tc>
          <w:tcPr>
            <w:tcW w:w="822"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w:t>
            </w:r>
          </w:p>
        </w:tc>
        <w:tc>
          <w:tcPr>
            <w:tcW w:w="667"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xml:space="preserve">Dirección de Coordinación Regional / Oficina de Planeación </w:t>
            </w:r>
          </w:p>
        </w:tc>
      </w:tr>
      <w:tr w:rsidR="00EB5A3E" w:rsidRPr="00AD0B04" w:rsidTr="00EB5A3E">
        <w:trPr>
          <w:trHeight w:val="63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721"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Realizar el seguimiento al Índice de Consolidación</w:t>
            </w:r>
          </w:p>
        </w:tc>
        <w:tc>
          <w:tcPr>
            <w:tcW w:w="649"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xml:space="preserve">Seguimiento al Índice </w:t>
            </w:r>
          </w:p>
        </w:tc>
        <w:tc>
          <w:tcPr>
            <w:tcW w:w="395"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w:t>
            </w:r>
          </w:p>
        </w:tc>
        <w:tc>
          <w:tcPr>
            <w:tcW w:w="480"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w:t>
            </w:r>
          </w:p>
        </w:tc>
        <w:tc>
          <w:tcPr>
            <w:tcW w:w="822"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w:t>
            </w:r>
          </w:p>
        </w:tc>
        <w:tc>
          <w:tcPr>
            <w:tcW w:w="667"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xml:space="preserve">Dirección de Coordinación Regional / Oficina de Planeación </w:t>
            </w:r>
          </w:p>
        </w:tc>
      </w:tr>
      <w:tr w:rsidR="00EB5A3E" w:rsidRPr="00AD0B04" w:rsidTr="00EB5A3E">
        <w:trPr>
          <w:trHeight w:val="63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721"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Monitoreo del tablero de control del Departamento Nacional de Planeación</w:t>
            </w:r>
          </w:p>
        </w:tc>
        <w:tc>
          <w:tcPr>
            <w:tcW w:w="649"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xml:space="preserve">Informes de monitoreo del Tablero de Control </w:t>
            </w:r>
          </w:p>
        </w:tc>
        <w:tc>
          <w:tcPr>
            <w:tcW w:w="395"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4</w:t>
            </w:r>
          </w:p>
        </w:tc>
        <w:tc>
          <w:tcPr>
            <w:tcW w:w="480"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4</w:t>
            </w:r>
          </w:p>
        </w:tc>
        <w:tc>
          <w:tcPr>
            <w:tcW w:w="822"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w:t>
            </w:r>
          </w:p>
        </w:tc>
        <w:tc>
          <w:tcPr>
            <w:tcW w:w="667"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Dirección de Articulación</w:t>
            </w:r>
          </w:p>
        </w:tc>
      </w:tr>
      <w:tr w:rsidR="00EB5A3E" w:rsidRPr="00AD0B04" w:rsidTr="00EB5A3E">
        <w:trPr>
          <w:trHeight w:val="63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721"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Realizar el seguimiento a las condiciones de seguridad en los municipios focalizados</w:t>
            </w:r>
          </w:p>
        </w:tc>
        <w:tc>
          <w:tcPr>
            <w:tcW w:w="649"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Consolidación informes Mesas de Seguridad</w:t>
            </w:r>
          </w:p>
        </w:tc>
        <w:tc>
          <w:tcPr>
            <w:tcW w:w="395"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4</w:t>
            </w:r>
          </w:p>
        </w:tc>
        <w:tc>
          <w:tcPr>
            <w:tcW w:w="480"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4</w:t>
            </w:r>
          </w:p>
        </w:tc>
        <w:tc>
          <w:tcPr>
            <w:tcW w:w="822"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w:t>
            </w:r>
          </w:p>
        </w:tc>
        <w:tc>
          <w:tcPr>
            <w:tcW w:w="667"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Dirección de Coordinación Regional / Gerencias Regionales</w:t>
            </w:r>
          </w:p>
        </w:tc>
      </w:tr>
      <w:tr w:rsidR="00EB5A3E" w:rsidRPr="00AD0B04" w:rsidTr="00EB5A3E">
        <w:trPr>
          <w:trHeight w:val="105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O4E2 Realizar seguimiento a la Política Nacional de Erradicación Manual de Cultivos Ilícitos y Desarrollo Alternativo</w:t>
            </w:r>
          </w:p>
        </w:tc>
        <w:tc>
          <w:tcPr>
            <w:tcW w:w="721"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xml:space="preserve">Diseñar el índice de vulnerabilidad de cultivos ilícitos </w:t>
            </w:r>
          </w:p>
        </w:tc>
        <w:tc>
          <w:tcPr>
            <w:tcW w:w="649"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Índice de vulnerabilidad diseñado</w:t>
            </w:r>
          </w:p>
        </w:tc>
        <w:tc>
          <w:tcPr>
            <w:tcW w:w="395"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w:t>
            </w:r>
          </w:p>
        </w:tc>
        <w:tc>
          <w:tcPr>
            <w:tcW w:w="480"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1</w:t>
            </w:r>
          </w:p>
        </w:tc>
        <w:tc>
          <w:tcPr>
            <w:tcW w:w="822"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w:t>
            </w:r>
          </w:p>
        </w:tc>
        <w:tc>
          <w:tcPr>
            <w:tcW w:w="667"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Dirección de Programas contra Cultivos Ilícitos</w:t>
            </w:r>
          </w:p>
        </w:tc>
      </w:tr>
      <w:tr w:rsidR="00EB5A3E" w:rsidRPr="00AD0B04" w:rsidTr="00EB5A3E">
        <w:trPr>
          <w:trHeight w:val="63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val="restart"/>
            <w:tcBorders>
              <w:top w:val="nil"/>
              <w:left w:val="single" w:sz="4" w:space="0" w:color="FFFFFF"/>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O4E3 Implementar instrumentos y realizar seguimiento a la gestión de la UAECT</w:t>
            </w:r>
          </w:p>
        </w:tc>
        <w:tc>
          <w:tcPr>
            <w:tcW w:w="721"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Realizar el seguimiento al Tablero de Control de Gestión</w:t>
            </w:r>
          </w:p>
        </w:tc>
        <w:tc>
          <w:tcPr>
            <w:tcW w:w="649"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Seguimiento al tablero de control de gestión</w:t>
            </w:r>
          </w:p>
        </w:tc>
        <w:tc>
          <w:tcPr>
            <w:tcW w:w="395"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2</w:t>
            </w:r>
          </w:p>
        </w:tc>
        <w:tc>
          <w:tcPr>
            <w:tcW w:w="480"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2</w:t>
            </w:r>
          </w:p>
        </w:tc>
        <w:tc>
          <w:tcPr>
            <w:tcW w:w="822"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w:t>
            </w:r>
          </w:p>
        </w:tc>
        <w:tc>
          <w:tcPr>
            <w:tcW w:w="667"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Oficina de Planeación</w:t>
            </w:r>
          </w:p>
        </w:tc>
      </w:tr>
      <w:tr w:rsidR="00EB5A3E" w:rsidRPr="00AD0B04" w:rsidTr="00EB5A3E">
        <w:trPr>
          <w:trHeight w:val="42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721"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Realizar el seguimiento al Plan Estratégico de las TICs.</w:t>
            </w:r>
          </w:p>
        </w:tc>
        <w:tc>
          <w:tcPr>
            <w:tcW w:w="649"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Seguimiento  al Plan Estratégico de las TICs</w:t>
            </w:r>
          </w:p>
        </w:tc>
        <w:tc>
          <w:tcPr>
            <w:tcW w:w="395"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4</w:t>
            </w:r>
          </w:p>
        </w:tc>
        <w:tc>
          <w:tcPr>
            <w:tcW w:w="480"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4</w:t>
            </w:r>
          </w:p>
        </w:tc>
        <w:tc>
          <w:tcPr>
            <w:tcW w:w="822"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w:t>
            </w:r>
          </w:p>
        </w:tc>
        <w:tc>
          <w:tcPr>
            <w:tcW w:w="667" w:type="pct"/>
            <w:tcBorders>
              <w:top w:val="nil"/>
              <w:left w:val="nil"/>
              <w:bottom w:val="single" w:sz="4" w:space="0" w:color="FFFFFF"/>
              <w:right w:val="single" w:sz="4" w:space="0" w:color="FFFFFF"/>
            </w:tcBorders>
            <w:shd w:val="clear" w:color="BDD7EE" w:fill="BDD7EE"/>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Oficina de Planeación</w:t>
            </w:r>
          </w:p>
        </w:tc>
      </w:tr>
      <w:tr w:rsidR="00EB5A3E" w:rsidRPr="00AD0B04" w:rsidTr="00EB5A3E">
        <w:trPr>
          <w:trHeight w:val="420"/>
        </w:trPr>
        <w:tc>
          <w:tcPr>
            <w:tcW w:w="689"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577" w:type="pct"/>
            <w:vMerge/>
            <w:tcBorders>
              <w:top w:val="nil"/>
              <w:left w:val="single" w:sz="4" w:space="0" w:color="FFFFFF"/>
              <w:bottom w:val="single" w:sz="4" w:space="0" w:color="FFFFFF"/>
              <w:right w:val="single" w:sz="4" w:space="0" w:color="FFFFFF"/>
            </w:tcBorders>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p>
        </w:tc>
        <w:tc>
          <w:tcPr>
            <w:tcW w:w="721"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Realizar el seguimiento a los planes operativos</w:t>
            </w:r>
          </w:p>
        </w:tc>
        <w:tc>
          <w:tcPr>
            <w:tcW w:w="649"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Seguimiento a los planes operativos</w:t>
            </w:r>
          </w:p>
        </w:tc>
        <w:tc>
          <w:tcPr>
            <w:tcW w:w="395"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2</w:t>
            </w:r>
          </w:p>
        </w:tc>
        <w:tc>
          <w:tcPr>
            <w:tcW w:w="480"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jc w:val="center"/>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2</w:t>
            </w:r>
          </w:p>
        </w:tc>
        <w:tc>
          <w:tcPr>
            <w:tcW w:w="822"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 </w:t>
            </w:r>
          </w:p>
        </w:tc>
        <w:tc>
          <w:tcPr>
            <w:tcW w:w="667" w:type="pct"/>
            <w:tcBorders>
              <w:top w:val="nil"/>
              <w:left w:val="nil"/>
              <w:bottom w:val="single" w:sz="4" w:space="0" w:color="FFFFFF"/>
              <w:right w:val="single" w:sz="4" w:space="0" w:color="FFFFFF"/>
            </w:tcBorders>
            <w:shd w:val="clear" w:color="DDEBF7" w:fill="DDEBF7"/>
            <w:vAlign w:val="center"/>
            <w:hideMark/>
          </w:tcPr>
          <w:p w:rsidR="00EB5A3E" w:rsidRPr="00AD0B04" w:rsidRDefault="00EB5A3E" w:rsidP="00EB21C6">
            <w:pPr>
              <w:spacing w:after="0" w:line="240" w:lineRule="auto"/>
              <w:rPr>
                <w:rFonts w:ascii="Verdana" w:eastAsia="Times New Roman" w:hAnsi="Verdana" w:cs="Times New Roman"/>
                <w:color w:val="000000"/>
                <w:sz w:val="16"/>
                <w:szCs w:val="16"/>
                <w:lang w:eastAsia="es-CO"/>
              </w:rPr>
            </w:pPr>
            <w:r w:rsidRPr="00AD0B04">
              <w:rPr>
                <w:rFonts w:ascii="Verdana" w:eastAsia="Times New Roman" w:hAnsi="Verdana" w:cs="Times New Roman"/>
                <w:color w:val="000000"/>
                <w:sz w:val="16"/>
                <w:szCs w:val="16"/>
                <w:lang w:eastAsia="es-CO"/>
              </w:rPr>
              <w:t>Oficina de Planeación</w:t>
            </w:r>
          </w:p>
        </w:tc>
      </w:tr>
    </w:tbl>
    <w:p w:rsidR="00EB5A3E" w:rsidRDefault="00EB5A3E" w:rsidP="00EB5A3E">
      <w:pPr>
        <w:spacing w:after="0" w:line="240" w:lineRule="auto"/>
        <w:jc w:val="right"/>
        <w:rPr>
          <w:rFonts w:ascii="Verdana" w:hAnsi="Verdana"/>
          <w:sz w:val="24"/>
          <w:szCs w:val="24"/>
        </w:rPr>
      </w:pPr>
    </w:p>
    <w:p w:rsidR="00EB5A3E" w:rsidRPr="00B57E80" w:rsidRDefault="00EB5A3E" w:rsidP="00EB5A3E">
      <w:pPr>
        <w:spacing w:after="0" w:line="240" w:lineRule="auto"/>
        <w:jc w:val="right"/>
        <w:rPr>
          <w:rFonts w:ascii="Verdana" w:hAnsi="Verdana"/>
          <w:sz w:val="24"/>
          <w:szCs w:val="24"/>
        </w:rPr>
      </w:pPr>
    </w:p>
    <w:p w:rsidR="00B722F2" w:rsidRPr="00260446" w:rsidRDefault="00B722F2" w:rsidP="00260446">
      <w:pPr>
        <w:spacing w:after="0" w:line="240" w:lineRule="auto"/>
        <w:jc w:val="both"/>
        <w:rPr>
          <w:rFonts w:ascii="Verdana" w:hAnsi="Verdana"/>
          <w:sz w:val="24"/>
          <w:szCs w:val="24"/>
        </w:rPr>
      </w:pPr>
      <w:r w:rsidRPr="00260446">
        <w:rPr>
          <w:rFonts w:ascii="Verdana" w:hAnsi="Verdana"/>
          <w:color w:val="4F81BD" w:themeColor="accent1"/>
          <w:sz w:val="24"/>
          <w:szCs w:val="24"/>
        </w:rPr>
        <w:t>Objetivos, estrategias, proyectos, metas, responsables</w:t>
      </w:r>
    </w:p>
    <w:p w:rsidR="00B722F2" w:rsidRPr="00B57E80" w:rsidRDefault="00B722F2" w:rsidP="00B722F2">
      <w:pPr>
        <w:spacing w:after="0" w:line="240" w:lineRule="auto"/>
        <w:jc w:val="both"/>
        <w:rPr>
          <w:rFonts w:ascii="Verdana" w:hAnsi="Verdana"/>
          <w:sz w:val="24"/>
          <w:szCs w:val="24"/>
        </w:rPr>
      </w:pPr>
    </w:p>
    <w:tbl>
      <w:tblPr>
        <w:tblW w:w="5000" w:type="pct"/>
        <w:tblCellMar>
          <w:left w:w="70" w:type="dxa"/>
          <w:right w:w="70" w:type="dxa"/>
        </w:tblCellMar>
        <w:tblLook w:val="04A0"/>
      </w:tblPr>
      <w:tblGrid>
        <w:gridCol w:w="1266"/>
        <w:gridCol w:w="1307"/>
        <w:gridCol w:w="751"/>
        <w:gridCol w:w="911"/>
        <w:gridCol w:w="809"/>
        <w:gridCol w:w="1069"/>
        <w:gridCol w:w="1069"/>
        <w:gridCol w:w="1069"/>
        <w:gridCol w:w="1915"/>
      </w:tblGrid>
      <w:tr w:rsidR="00B722F2" w:rsidRPr="00B57E80" w:rsidTr="00260446">
        <w:trPr>
          <w:trHeight w:val="435"/>
          <w:tblHeader/>
        </w:trPr>
        <w:tc>
          <w:tcPr>
            <w:tcW w:w="580" w:type="pct"/>
            <w:tcBorders>
              <w:top w:val="nil"/>
              <w:left w:val="nil"/>
              <w:bottom w:val="single" w:sz="12" w:space="0" w:color="FFFFFF"/>
              <w:right w:val="single" w:sz="4" w:space="0" w:color="FFFFFF"/>
            </w:tcBorders>
            <w:shd w:val="clear" w:color="5B9BD5" w:fill="5B9BD5"/>
            <w:vAlign w:val="center"/>
            <w:hideMark/>
          </w:tcPr>
          <w:p w:rsidR="00B722F2" w:rsidRPr="00B57E80" w:rsidRDefault="00B722F2" w:rsidP="00B722F2">
            <w:pPr>
              <w:spacing w:after="0" w:line="240" w:lineRule="auto"/>
              <w:jc w:val="center"/>
              <w:rPr>
                <w:rFonts w:ascii="Verdana" w:eastAsia="Times New Roman" w:hAnsi="Verdana" w:cs="Arial"/>
                <w:b/>
                <w:bCs/>
                <w:color w:val="FFFFFF"/>
                <w:sz w:val="16"/>
                <w:szCs w:val="16"/>
                <w:lang w:eastAsia="es-CO"/>
              </w:rPr>
            </w:pPr>
            <w:r w:rsidRPr="00B57E80">
              <w:rPr>
                <w:rFonts w:ascii="Verdana" w:eastAsia="Times New Roman" w:hAnsi="Verdana" w:cs="Arial"/>
                <w:b/>
                <w:bCs/>
                <w:color w:val="FFFFFF"/>
                <w:sz w:val="16"/>
                <w:szCs w:val="16"/>
                <w:lang w:eastAsia="es-CO"/>
              </w:rPr>
              <w:t>Sector</w:t>
            </w:r>
          </w:p>
        </w:tc>
        <w:tc>
          <w:tcPr>
            <w:tcW w:w="712" w:type="pct"/>
            <w:tcBorders>
              <w:top w:val="nil"/>
              <w:left w:val="nil"/>
              <w:bottom w:val="single" w:sz="12" w:space="0" w:color="FFFFFF"/>
              <w:right w:val="single" w:sz="4" w:space="0" w:color="FFFFFF"/>
            </w:tcBorders>
            <w:shd w:val="clear" w:color="5B9BD5" w:fill="5B9BD5"/>
            <w:vAlign w:val="center"/>
            <w:hideMark/>
          </w:tcPr>
          <w:p w:rsidR="00B722F2" w:rsidRPr="00B57E80" w:rsidRDefault="00B722F2" w:rsidP="00B722F2">
            <w:pPr>
              <w:spacing w:after="0" w:line="240" w:lineRule="auto"/>
              <w:jc w:val="center"/>
              <w:rPr>
                <w:rFonts w:ascii="Verdana" w:eastAsia="Times New Roman" w:hAnsi="Verdana" w:cs="Arial"/>
                <w:b/>
                <w:bCs/>
                <w:color w:val="FFFFFF"/>
                <w:sz w:val="16"/>
                <w:szCs w:val="16"/>
                <w:lang w:eastAsia="es-CO"/>
              </w:rPr>
            </w:pPr>
            <w:r w:rsidRPr="00B57E80">
              <w:rPr>
                <w:rFonts w:ascii="Verdana" w:eastAsia="Times New Roman" w:hAnsi="Verdana" w:cs="Arial"/>
                <w:b/>
                <w:bCs/>
                <w:color w:val="FFFFFF"/>
                <w:sz w:val="16"/>
                <w:szCs w:val="16"/>
                <w:lang w:eastAsia="es-CO"/>
              </w:rPr>
              <w:t>Indicador</w:t>
            </w:r>
          </w:p>
        </w:tc>
        <w:tc>
          <w:tcPr>
            <w:tcW w:w="386" w:type="pct"/>
            <w:tcBorders>
              <w:top w:val="nil"/>
              <w:left w:val="nil"/>
              <w:bottom w:val="single" w:sz="12" w:space="0" w:color="FFFFFF"/>
              <w:right w:val="single" w:sz="4" w:space="0" w:color="FFFFFF"/>
            </w:tcBorders>
            <w:shd w:val="clear" w:color="5B9BD5" w:fill="5B9BD5"/>
            <w:vAlign w:val="center"/>
            <w:hideMark/>
          </w:tcPr>
          <w:p w:rsidR="00B722F2" w:rsidRPr="00B57E80" w:rsidRDefault="00B722F2" w:rsidP="00B722F2">
            <w:pPr>
              <w:spacing w:after="0" w:line="240" w:lineRule="auto"/>
              <w:jc w:val="center"/>
              <w:rPr>
                <w:rFonts w:ascii="Verdana" w:eastAsia="Times New Roman" w:hAnsi="Verdana" w:cs="Arial"/>
                <w:b/>
                <w:bCs/>
                <w:color w:val="FFFFFF"/>
                <w:sz w:val="16"/>
                <w:szCs w:val="16"/>
                <w:lang w:eastAsia="es-CO"/>
              </w:rPr>
            </w:pPr>
            <w:r w:rsidRPr="00B57E80">
              <w:rPr>
                <w:rFonts w:ascii="Verdana" w:eastAsia="Times New Roman" w:hAnsi="Verdana" w:cs="Arial"/>
                <w:b/>
                <w:bCs/>
                <w:color w:val="FFFFFF"/>
                <w:sz w:val="16"/>
                <w:szCs w:val="16"/>
                <w:lang w:eastAsia="es-CO"/>
              </w:rPr>
              <w:t>Meta 2014</w:t>
            </w:r>
          </w:p>
        </w:tc>
        <w:tc>
          <w:tcPr>
            <w:tcW w:w="417" w:type="pct"/>
            <w:tcBorders>
              <w:top w:val="nil"/>
              <w:left w:val="nil"/>
              <w:bottom w:val="single" w:sz="12" w:space="0" w:color="FFFFFF"/>
              <w:right w:val="single" w:sz="4" w:space="0" w:color="FFFFFF"/>
            </w:tcBorders>
            <w:shd w:val="clear" w:color="5B9BD5" w:fill="5B9BD5"/>
            <w:vAlign w:val="center"/>
            <w:hideMark/>
          </w:tcPr>
          <w:p w:rsidR="00B722F2" w:rsidRPr="00B57E80" w:rsidRDefault="00B722F2" w:rsidP="00B722F2">
            <w:pPr>
              <w:spacing w:after="0" w:line="240" w:lineRule="auto"/>
              <w:jc w:val="center"/>
              <w:rPr>
                <w:rFonts w:ascii="Verdana" w:eastAsia="Times New Roman" w:hAnsi="Verdana" w:cs="Arial"/>
                <w:b/>
                <w:bCs/>
                <w:color w:val="FFFFFF"/>
                <w:sz w:val="16"/>
                <w:szCs w:val="16"/>
                <w:lang w:eastAsia="es-CO"/>
              </w:rPr>
            </w:pPr>
            <w:r w:rsidRPr="00B57E80">
              <w:rPr>
                <w:rFonts w:ascii="Verdana" w:eastAsia="Times New Roman" w:hAnsi="Verdana" w:cs="Arial"/>
                <w:b/>
                <w:bCs/>
                <w:color w:val="FFFFFF"/>
                <w:sz w:val="16"/>
                <w:szCs w:val="16"/>
                <w:lang w:eastAsia="es-CO"/>
              </w:rPr>
              <w:t>Avance 2014</w:t>
            </w:r>
          </w:p>
        </w:tc>
        <w:tc>
          <w:tcPr>
            <w:tcW w:w="371" w:type="pct"/>
            <w:tcBorders>
              <w:top w:val="nil"/>
              <w:left w:val="nil"/>
              <w:bottom w:val="single" w:sz="12" w:space="0" w:color="FFFFFF"/>
              <w:right w:val="single" w:sz="4" w:space="0" w:color="FFFFFF"/>
            </w:tcBorders>
            <w:shd w:val="clear" w:color="5B9BD5" w:fill="5B9BD5"/>
            <w:vAlign w:val="center"/>
            <w:hideMark/>
          </w:tcPr>
          <w:p w:rsidR="00B722F2" w:rsidRPr="00B57E80" w:rsidRDefault="00B722F2" w:rsidP="00B722F2">
            <w:pPr>
              <w:spacing w:after="0" w:line="240" w:lineRule="auto"/>
              <w:jc w:val="center"/>
              <w:rPr>
                <w:rFonts w:ascii="Verdana" w:eastAsia="Times New Roman" w:hAnsi="Verdana" w:cs="Arial"/>
                <w:b/>
                <w:bCs/>
                <w:color w:val="FFFFFF"/>
                <w:sz w:val="16"/>
                <w:szCs w:val="16"/>
                <w:lang w:eastAsia="es-CO"/>
              </w:rPr>
            </w:pPr>
            <w:r w:rsidRPr="00B57E80">
              <w:rPr>
                <w:rFonts w:ascii="Verdana" w:eastAsia="Times New Roman" w:hAnsi="Verdana" w:cs="Arial"/>
                <w:b/>
                <w:bCs/>
                <w:color w:val="FFFFFF"/>
                <w:sz w:val="16"/>
                <w:szCs w:val="16"/>
                <w:lang w:eastAsia="es-CO"/>
              </w:rPr>
              <w:t>% Avance 2014</w:t>
            </w:r>
          </w:p>
        </w:tc>
        <w:tc>
          <w:tcPr>
            <w:tcW w:w="490" w:type="pct"/>
            <w:tcBorders>
              <w:top w:val="nil"/>
              <w:left w:val="nil"/>
              <w:bottom w:val="single" w:sz="12" w:space="0" w:color="FFFFFF"/>
              <w:right w:val="single" w:sz="4" w:space="0" w:color="FFFFFF"/>
            </w:tcBorders>
            <w:shd w:val="clear" w:color="5B9BD5" w:fill="5B9BD5"/>
            <w:vAlign w:val="center"/>
            <w:hideMark/>
          </w:tcPr>
          <w:p w:rsidR="00B722F2" w:rsidRPr="00B57E80" w:rsidRDefault="00B722F2" w:rsidP="00B722F2">
            <w:pPr>
              <w:spacing w:after="0" w:line="240" w:lineRule="auto"/>
              <w:jc w:val="center"/>
              <w:rPr>
                <w:rFonts w:ascii="Verdana" w:eastAsia="Times New Roman" w:hAnsi="Verdana" w:cs="Arial"/>
                <w:b/>
                <w:bCs/>
                <w:color w:val="FFFFFF"/>
                <w:sz w:val="16"/>
                <w:szCs w:val="16"/>
                <w:lang w:eastAsia="es-CO"/>
              </w:rPr>
            </w:pPr>
            <w:r w:rsidRPr="00B57E80">
              <w:rPr>
                <w:rFonts w:ascii="Verdana" w:eastAsia="Times New Roman" w:hAnsi="Verdana" w:cs="Arial"/>
                <w:b/>
                <w:bCs/>
                <w:color w:val="FFFFFF"/>
                <w:sz w:val="16"/>
                <w:szCs w:val="16"/>
                <w:lang w:eastAsia="es-CO"/>
              </w:rPr>
              <w:t>Meta Cuatrienio</w:t>
            </w:r>
          </w:p>
        </w:tc>
        <w:tc>
          <w:tcPr>
            <w:tcW w:w="490" w:type="pct"/>
            <w:tcBorders>
              <w:top w:val="nil"/>
              <w:left w:val="nil"/>
              <w:bottom w:val="single" w:sz="12" w:space="0" w:color="FFFFFF"/>
              <w:right w:val="nil"/>
            </w:tcBorders>
            <w:shd w:val="clear" w:color="5B9BD5" w:fill="5B9BD5"/>
            <w:vAlign w:val="center"/>
            <w:hideMark/>
          </w:tcPr>
          <w:p w:rsidR="00B722F2" w:rsidRPr="00B57E80" w:rsidRDefault="00B722F2" w:rsidP="00B722F2">
            <w:pPr>
              <w:spacing w:after="0" w:line="240" w:lineRule="auto"/>
              <w:jc w:val="center"/>
              <w:rPr>
                <w:rFonts w:ascii="Verdana" w:eastAsia="Times New Roman" w:hAnsi="Verdana" w:cs="Arial"/>
                <w:b/>
                <w:bCs/>
                <w:color w:val="FFFFFF"/>
                <w:sz w:val="16"/>
                <w:szCs w:val="16"/>
                <w:lang w:eastAsia="es-CO"/>
              </w:rPr>
            </w:pPr>
            <w:r w:rsidRPr="00B57E80">
              <w:rPr>
                <w:rFonts w:ascii="Verdana" w:eastAsia="Times New Roman" w:hAnsi="Verdana" w:cs="Arial"/>
                <w:b/>
                <w:bCs/>
                <w:color w:val="FFFFFF"/>
                <w:sz w:val="16"/>
                <w:szCs w:val="16"/>
                <w:lang w:eastAsia="es-CO"/>
              </w:rPr>
              <w:t>Avance Cuatrienio</w:t>
            </w:r>
          </w:p>
        </w:tc>
        <w:tc>
          <w:tcPr>
            <w:tcW w:w="490" w:type="pct"/>
            <w:tcBorders>
              <w:top w:val="nil"/>
              <w:left w:val="nil"/>
              <w:bottom w:val="single" w:sz="12" w:space="0" w:color="FFFFFF"/>
              <w:right w:val="single" w:sz="4" w:space="0" w:color="FFFFFF"/>
            </w:tcBorders>
            <w:shd w:val="clear" w:color="5B9BD5" w:fill="5B9BD5"/>
            <w:vAlign w:val="center"/>
            <w:hideMark/>
          </w:tcPr>
          <w:p w:rsidR="00B722F2" w:rsidRPr="00B57E80" w:rsidRDefault="00B722F2" w:rsidP="00B722F2">
            <w:pPr>
              <w:spacing w:after="0" w:line="240" w:lineRule="auto"/>
              <w:jc w:val="center"/>
              <w:rPr>
                <w:rFonts w:ascii="Verdana" w:eastAsia="Times New Roman" w:hAnsi="Verdana" w:cs="Arial"/>
                <w:b/>
                <w:bCs/>
                <w:color w:val="FFFFFF"/>
                <w:sz w:val="16"/>
                <w:szCs w:val="16"/>
                <w:lang w:eastAsia="es-CO"/>
              </w:rPr>
            </w:pPr>
            <w:r w:rsidRPr="00B57E80">
              <w:rPr>
                <w:rFonts w:ascii="Verdana" w:eastAsia="Times New Roman" w:hAnsi="Verdana" w:cs="Arial"/>
                <w:b/>
                <w:bCs/>
                <w:color w:val="FFFFFF"/>
                <w:sz w:val="16"/>
                <w:szCs w:val="16"/>
                <w:lang w:eastAsia="es-CO"/>
              </w:rPr>
              <w:t>% Avance Cuatrienio</w:t>
            </w:r>
          </w:p>
        </w:tc>
        <w:tc>
          <w:tcPr>
            <w:tcW w:w="1063" w:type="pct"/>
            <w:tcBorders>
              <w:top w:val="nil"/>
              <w:left w:val="nil"/>
              <w:bottom w:val="single" w:sz="12" w:space="0" w:color="FFFFFF"/>
              <w:right w:val="single" w:sz="4" w:space="0" w:color="FFFFFF"/>
            </w:tcBorders>
            <w:shd w:val="clear" w:color="5B9BD5" w:fill="5B9BD5"/>
            <w:vAlign w:val="center"/>
            <w:hideMark/>
          </w:tcPr>
          <w:p w:rsidR="00B722F2" w:rsidRPr="00B57E80" w:rsidRDefault="00B722F2" w:rsidP="00B722F2">
            <w:pPr>
              <w:spacing w:after="0" w:line="240" w:lineRule="auto"/>
              <w:jc w:val="center"/>
              <w:rPr>
                <w:rFonts w:ascii="Verdana" w:eastAsia="Times New Roman" w:hAnsi="Verdana" w:cs="Arial"/>
                <w:b/>
                <w:bCs/>
                <w:color w:val="FFFFFF"/>
                <w:sz w:val="16"/>
                <w:szCs w:val="16"/>
                <w:lang w:eastAsia="es-CO"/>
              </w:rPr>
            </w:pPr>
            <w:r w:rsidRPr="00B57E80">
              <w:rPr>
                <w:rFonts w:ascii="Verdana" w:eastAsia="Times New Roman" w:hAnsi="Verdana" w:cs="Arial"/>
                <w:b/>
                <w:bCs/>
                <w:color w:val="FFFFFF"/>
                <w:sz w:val="16"/>
                <w:szCs w:val="16"/>
                <w:lang w:eastAsia="es-CO"/>
              </w:rPr>
              <w:t>Observación</w:t>
            </w:r>
          </w:p>
        </w:tc>
      </w:tr>
      <w:tr w:rsidR="00B722F2" w:rsidRPr="00B57E80" w:rsidTr="00F02FE0">
        <w:trPr>
          <w:trHeight w:val="1275"/>
        </w:trPr>
        <w:tc>
          <w:tcPr>
            <w:tcW w:w="580" w:type="pct"/>
            <w:tcBorders>
              <w:top w:val="single" w:sz="4" w:space="0" w:color="FFFFFF"/>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Inclusión Social y Reconciliación</w:t>
            </w:r>
          </w:p>
        </w:tc>
        <w:tc>
          <w:tcPr>
            <w:tcW w:w="712" w:type="pct"/>
            <w:tcBorders>
              <w:top w:val="single" w:sz="4" w:space="0" w:color="FFFFFF"/>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Familias atendidas por programas de post erradicación</w:t>
            </w:r>
          </w:p>
        </w:tc>
        <w:tc>
          <w:tcPr>
            <w:tcW w:w="386" w:type="pct"/>
            <w:tcBorders>
              <w:top w:val="single" w:sz="4" w:space="0" w:color="FFFFFF"/>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64664</w:t>
            </w:r>
          </w:p>
        </w:tc>
        <w:tc>
          <w:tcPr>
            <w:tcW w:w="417" w:type="pct"/>
            <w:tcBorders>
              <w:top w:val="single" w:sz="4" w:space="0" w:color="FFFFFF"/>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45129</w:t>
            </w:r>
          </w:p>
        </w:tc>
        <w:tc>
          <w:tcPr>
            <w:tcW w:w="371" w:type="pct"/>
            <w:tcBorders>
              <w:top w:val="single" w:sz="4" w:space="0" w:color="FFFFFF"/>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69,78</w:t>
            </w:r>
          </w:p>
        </w:tc>
        <w:tc>
          <w:tcPr>
            <w:tcW w:w="490" w:type="pct"/>
            <w:tcBorders>
              <w:top w:val="single" w:sz="4" w:space="0" w:color="FFFFFF"/>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64664</w:t>
            </w:r>
          </w:p>
        </w:tc>
        <w:tc>
          <w:tcPr>
            <w:tcW w:w="490" w:type="pct"/>
            <w:tcBorders>
              <w:top w:val="single" w:sz="4" w:space="0" w:color="FFFFFF"/>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45129</w:t>
            </w:r>
          </w:p>
        </w:tc>
        <w:tc>
          <w:tcPr>
            <w:tcW w:w="490" w:type="pct"/>
            <w:tcBorders>
              <w:top w:val="single" w:sz="4" w:space="0" w:color="FFFFFF"/>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69,78</w:t>
            </w:r>
          </w:p>
        </w:tc>
        <w:tc>
          <w:tcPr>
            <w:tcW w:w="1063" w:type="pct"/>
            <w:tcBorders>
              <w:top w:val="single" w:sz="4" w:space="0" w:color="FFFFFF"/>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Se han atendido 45.129 familias con iniciativas de seguridad alimentaria de transición, implementación de proyectos productivos y acompañamientos técnico productivo y socio organizacional.</w:t>
            </w:r>
          </w:p>
        </w:tc>
      </w:tr>
      <w:tr w:rsidR="00B722F2" w:rsidRPr="00B57E80" w:rsidTr="00F02FE0">
        <w:trPr>
          <w:trHeight w:val="840"/>
        </w:trPr>
        <w:tc>
          <w:tcPr>
            <w:tcW w:w="580"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Inclusión Social y Reconciliación</w:t>
            </w:r>
          </w:p>
        </w:tc>
        <w:tc>
          <w:tcPr>
            <w:tcW w:w="712"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 xml:space="preserve">Hectáreas de cultivos ilícitos erradicadas manualmente </w:t>
            </w:r>
          </w:p>
        </w:tc>
        <w:tc>
          <w:tcPr>
            <w:tcW w:w="386"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14000</w:t>
            </w:r>
          </w:p>
        </w:tc>
        <w:tc>
          <w:tcPr>
            <w:tcW w:w="417"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12774,08</w:t>
            </w:r>
          </w:p>
        </w:tc>
        <w:tc>
          <w:tcPr>
            <w:tcW w:w="371"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91,5</w:t>
            </w:r>
          </w:p>
        </w:tc>
        <w:tc>
          <w:tcPr>
            <w:tcW w:w="490"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131000</w:t>
            </w:r>
          </w:p>
        </w:tc>
        <w:tc>
          <w:tcPr>
            <w:tcW w:w="490"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120923,64</w:t>
            </w:r>
          </w:p>
        </w:tc>
        <w:tc>
          <w:tcPr>
            <w:tcW w:w="490"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92,343</w:t>
            </w:r>
          </w:p>
        </w:tc>
        <w:tc>
          <w:tcPr>
            <w:tcW w:w="1063"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 xml:space="preserve">Con corte a 31 de diciembre la Fuerza Pública aportó 6.674,36  hectáreas erradicadas  y los Grupos Móviles de </w:t>
            </w:r>
            <w:r w:rsidRPr="00B57E80">
              <w:rPr>
                <w:rFonts w:ascii="Verdana" w:eastAsia="Times New Roman" w:hAnsi="Verdana" w:cs="Arial"/>
                <w:color w:val="000000"/>
                <w:sz w:val="16"/>
                <w:szCs w:val="16"/>
                <w:lang w:eastAsia="es-CO"/>
              </w:rPr>
              <w:lastRenderedPageBreak/>
              <w:t>Erradicación 6.099,72</w:t>
            </w:r>
          </w:p>
        </w:tc>
      </w:tr>
      <w:tr w:rsidR="00B722F2" w:rsidRPr="00B57E80" w:rsidTr="00F02FE0">
        <w:trPr>
          <w:trHeight w:val="1680"/>
        </w:trPr>
        <w:tc>
          <w:tcPr>
            <w:tcW w:w="580" w:type="pct"/>
            <w:tcBorders>
              <w:top w:val="nil"/>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lastRenderedPageBreak/>
              <w:t>Inclusión Social y Reconciliación</w:t>
            </w:r>
          </w:p>
        </w:tc>
        <w:tc>
          <w:tcPr>
            <w:tcW w:w="712" w:type="pct"/>
            <w:tcBorders>
              <w:top w:val="nil"/>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Porcentaje de proyectos ejecutados del total de proyectos de los Planes de Acción Regionales iniciados</w:t>
            </w:r>
          </w:p>
        </w:tc>
        <w:tc>
          <w:tcPr>
            <w:tcW w:w="386" w:type="pct"/>
            <w:tcBorders>
              <w:top w:val="nil"/>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100</w:t>
            </w:r>
          </w:p>
        </w:tc>
        <w:tc>
          <w:tcPr>
            <w:tcW w:w="417" w:type="pct"/>
            <w:tcBorders>
              <w:top w:val="nil"/>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54,52</w:t>
            </w:r>
          </w:p>
        </w:tc>
        <w:tc>
          <w:tcPr>
            <w:tcW w:w="371" w:type="pct"/>
            <w:tcBorders>
              <w:top w:val="nil"/>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54,52</w:t>
            </w:r>
          </w:p>
        </w:tc>
        <w:tc>
          <w:tcPr>
            <w:tcW w:w="490" w:type="pct"/>
            <w:tcBorders>
              <w:top w:val="nil"/>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100</w:t>
            </w:r>
          </w:p>
        </w:tc>
        <w:tc>
          <w:tcPr>
            <w:tcW w:w="490" w:type="pct"/>
            <w:tcBorders>
              <w:top w:val="nil"/>
              <w:left w:val="nil"/>
              <w:bottom w:val="single" w:sz="4" w:space="0" w:color="FFFFFF"/>
              <w:right w:val="nil"/>
            </w:tcBorders>
            <w:shd w:val="clear" w:color="BDD7EE" w:fill="BDD7EE"/>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54,52</w:t>
            </w:r>
          </w:p>
        </w:tc>
        <w:tc>
          <w:tcPr>
            <w:tcW w:w="490" w:type="pct"/>
            <w:tcBorders>
              <w:top w:val="nil"/>
              <w:left w:val="single" w:sz="4" w:space="0" w:color="FFFFFF"/>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54,52</w:t>
            </w:r>
          </w:p>
        </w:tc>
        <w:tc>
          <w:tcPr>
            <w:tcW w:w="1063" w:type="pct"/>
            <w:tcBorders>
              <w:top w:val="nil"/>
              <w:left w:val="nil"/>
              <w:bottom w:val="single" w:sz="4" w:space="0" w:color="FFFFFF"/>
              <w:right w:val="nil"/>
            </w:tcBorders>
            <w:shd w:val="clear" w:color="BDD7EE" w:fill="BDD7EE"/>
            <w:vAlign w:val="center"/>
            <w:hideMark/>
          </w:tcPr>
          <w:p w:rsidR="00B722F2" w:rsidRPr="00B57E80" w:rsidRDefault="00B722F2" w:rsidP="00B722F2">
            <w:pPr>
              <w:spacing w:after="0" w:line="240" w:lineRule="auto"/>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Hasta el mes de diciembre se han ejecutado 869 proyectos de los 1594 que se han iniciado</w:t>
            </w:r>
          </w:p>
        </w:tc>
      </w:tr>
      <w:tr w:rsidR="00B722F2" w:rsidRPr="00B57E80" w:rsidTr="00F02FE0">
        <w:trPr>
          <w:trHeight w:val="1470"/>
        </w:trPr>
        <w:tc>
          <w:tcPr>
            <w:tcW w:w="580" w:type="pct"/>
            <w:tcBorders>
              <w:top w:val="nil"/>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Inclusión Social y Reconciliación</w:t>
            </w:r>
          </w:p>
        </w:tc>
        <w:tc>
          <w:tcPr>
            <w:tcW w:w="712" w:type="pct"/>
            <w:tcBorders>
              <w:top w:val="nil"/>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Porcentaje de proyectos en ejecución del total de proyectos  de los Planes de Acción Regionales</w:t>
            </w:r>
          </w:p>
        </w:tc>
        <w:tc>
          <w:tcPr>
            <w:tcW w:w="386" w:type="pct"/>
            <w:tcBorders>
              <w:top w:val="nil"/>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60</w:t>
            </w:r>
          </w:p>
        </w:tc>
        <w:tc>
          <w:tcPr>
            <w:tcW w:w="417" w:type="pct"/>
            <w:tcBorders>
              <w:top w:val="nil"/>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121,68</w:t>
            </w:r>
          </w:p>
        </w:tc>
        <w:tc>
          <w:tcPr>
            <w:tcW w:w="371" w:type="pct"/>
            <w:tcBorders>
              <w:top w:val="nil"/>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202,8</w:t>
            </w:r>
          </w:p>
        </w:tc>
        <w:tc>
          <w:tcPr>
            <w:tcW w:w="490" w:type="pct"/>
            <w:tcBorders>
              <w:top w:val="nil"/>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60</w:t>
            </w:r>
          </w:p>
        </w:tc>
        <w:tc>
          <w:tcPr>
            <w:tcW w:w="490" w:type="pct"/>
            <w:tcBorders>
              <w:top w:val="nil"/>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121,68</w:t>
            </w:r>
          </w:p>
        </w:tc>
        <w:tc>
          <w:tcPr>
            <w:tcW w:w="490" w:type="pct"/>
            <w:tcBorders>
              <w:top w:val="nil"/>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202,8</w:t>
            </w:r>
          </w:p>
        </w:tc>
        <w:tc>
          <w:tcPr>
            <w:tcW w:w="1063" w:type="pct"/>
            <w:tcBorders>
              <w:top w:val="nil"/>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Para el mes de diciembre se tienen 1594 proyectos iniciados, lo cual representa un avance del 121,68% frente a la línea base establecida que era 1310 en el año 2012</w:t>
            </w:r>
          </w:p>
        </w:tc>
      </w:tr>
      <w:tr w:rsidR="00B722F2" w:rsidRPr="00B57E80" w:rsidTr="00F02FE0">
        <w:trPr>
          <w:trHeight w:val="1890"/>
        </w:trPr>
        <w:tc>
          <w:tcPr>
            <w:tcW w:w="580"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Inclusión Social y Reconciliación</w:t>
            </w:r>
          </w:p>
        </w:tc>
        <w:tc>
          <w:tcPr>
            <w:tcW w:w="712"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Recursos  de inversión movilizados en zonas de consolidación (millones)</w:t>
            </w:r>
          </w:p>
        </w:tc>
        <w:tc>
          <w:tcPr>
            <w:tcW w:w="386"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800000</w:t>
            </w:r>
          </w:p>
        </w:tc>
        <w:tc>
          <w:tcPr>
            <w:tcW w:w="417"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1280673</w:t>
            </w:r>
          </w:p>
        </w:tc>
        <w:tc>
          <w:tcPr>
            <w:tcW w:w="371"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160,084</w:t>
            </w:r>
          </w:p>
        </w:tc>
        <w:tc>
          <w:tcPr>
            <w:tcW w:w="490"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2500000</w:t>
            </w:r>
          </w:p>
        </w:tc>
        <w:tc>
          <w:tcPr>
            <w:tcW w:w="490"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3839060</w:t>
            </w:r>
          </w:p>
        </w:tc>
        <w:tc>
          <w:tcPr>
            <w:tcW w:w="490"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153,562</w:t>
            </w:r>
          </w:p>
        </w:tc>
        <w:tc>
          <w:tcPr>
            <w:tcW w:w="1063"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Con corte a  31 de Diciembre se reportan recursos movilizados  por $1.280.673 millones en las zonas de consolidación, correspondientes a 175.299 millones del presupuesto propio de la UACT y 71.785 millones de Colombia Responde y  1.033.589 millones gestionados de la Oferta Nacional</w:t>
            </w:r>
          </w:p>
        </w:tc>
      </w:tr>
      <w:tr w:rsidR="00B722F2" w:rsidRPr="00B57E80" w:rsidTr="00F02FE0">
        <w:trPr>
          <w:trHeight w:val="1260"/>
        </w:trPr>
        <w:tc>
          <w:tcPr>
            <w:tcW w:w="580" w:type="pct"/>
            <w:tcBorders>
              <w:top w:val="nil"/>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Inclusión Social y Reconciliación</w:t>
            </w:r>
          </w:p>
        </w:tc>
        <w:tc>
          <w:tcPr>
            <w:tcW w:w="712" w:type="pct"/>
            <w:tcBorders>
              <w:top w:val="nil"/>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Veredas atendidas con proyectos de respuesta rápida y Colombia Responde</w:t>
            </w:r>
          </w:p>
        </w:tc>
        <w:tc>
          <w:tcPr>
            <w:tcW w:w="386" w:type="pct"/>
            <w:tcBorders>
              <w:top w:val="nil"/>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590</w:t>
            </w:r>
          </w:p>
        </w:tc>
        <w:tc>
          <w:tcPr>
            <w:tcW w:w="417" w:type="pct"/>
            <w:tcBorders>
              <w:top w:val="nil"/>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472</w:t>
            </w:r>
          </w:p>
        </w:tc>
        <w:tc>
          <w:tcPr>
            <w:tcW w:w="371" w:type="pct"/>
            <w:tcBorders>
              <w:top w:val="nil"/>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80</w:t>
            </w:r>
          </w:p>
        </w:tc>
        <w:tc>
          <w:tcPr>
            <w:tcW w:w="490" w:type="pct"/>
            <w:tcBorders>
              <w:top w:val="nil"/>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1600</w:t>
            </w:r>
          </w:p>
        </w:tc>
        <w:tc>
          <w:tcPr>
            <w:tcW w:w="490" w:type="pct"/>
            <w:tcBorders>
              <w:top w:val="nil"/>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1010</w:t>
            </w:r>
          </w:p>
        </w:tc>
        <w:tc>
          <w:tcPr>
            <w:tcW w:w="490" w:type="pct"/>
            <w:tcBorders>
              <w:top w:val="nil"/>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63,125</w:t>
            </w:r>
          </w:p>
        </w:tc>
        <w:tc>
          <w:tcPr>
            <w:tcW w:w="1063" w:type="pct"/>
            <w:tcBorders>
              <w:top w:val="nil"/>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Durante el último trimestre del año se inició la ejecución de 124 proyectos de respuesta rápida, con los cuales se intervinieron 472 veredas en los municipios de consolidación.</w:t>
            </w:r>
          </w:p>
        </w:tc>
      </w:tr>
      <w:tr w:rsidR="00B722F2" w:rsidRPr="00B57E80" w:rsidTr="00F02FE0">
        <w:trPr>
          <w:trHeight w:val="1680"/>
        </w:trPr>
        <w:tc>
          <w:tcPr>
            <w:tcW w:w="580"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lastRenderedPageBreak/>
              <w:t>Inclusión Social y Reconciliación</w:t>
            </w:r>
          </w:p>
        </w:tc>
        <w:tc>
          <w:tcPr>
            <w:tcW w:w="712"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Veredas en AMARILLO en el semáforo de seguridad donde actúan Consolidación y sus socios estratégicos</w:t>
            </w:r>
          </w:p>
        </w:tc>
        <w:tc>
          <w:tcPr>
            <w:tcW w:w="386"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2650</w:t>
            </w:r>
          </w:p>
        </w:tc>
        <w:tc>
          <w:tcPr>
            <w:tcW w:w="417"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1867</w:t>
            </w:r>
          </w:p>
        </w:tc>
        <w:tc>
          <w:tcPr>
            <w:tcW w:w="371"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37,857</w:t>
            </w:r>
          </w:p>
        </w:tc>
        <w:tc>
          <w:tcPr>
            <w:tcW w:w="490"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2650</w:t>
            </w:r>
          </w:p>
        </w:tc>
        <w:tc>
          <w:tcPr>
            <w:tcW w:w="490"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1867</w:t>
            </w:r>
          </w:p>
        </w:tc>
        <w:tc>
          <w:tcPr>
            <w:tcW w:w="490"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37,857</w:t>
            </w:r>
          </w:p>
        </w:tc>
        <w:tc>
          <w:tcPr>
            <w:tcW w:w="1063"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Existen 1.867 veredas en transición (amarillo) de un total 4.512 registradas en los municipios de consolidación, según reportan los comités de seguridad que se realizan en cada Gerencia Regional.</w:t>
            </w:r>
          </w:p>
        </w:tc>
      </w:tr>
      <w:tr w:rsidR="00B722F2" w:rsidRPr="00B57E80" w:rsidTr="00F02FE0">
        <w:trPr>
          <w:trHeight w:val="1260"/>
        </w:trPr>
        <w:tc>
          <w:tcPr>
            <w:tcW w:w="580" w:type="pct"/>
            <w:tcBorders>
              <w:top w:val="nil"/>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Inclusión Social y Reconciliación</w:t>
            </w:r>
          </w:p>
        </w:tc>
        <w:tc>
          <w:tcPr>
            <w:tcW w:w="712" w:type="pct"/>
            <w:tcBorders>
              <w:top w:val="nil"/>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Veredas en ROJO en el semáforo de seguridad</w:t>
            </w:r>
          </w:p>
        </w:tc>
        <w:tc>
          <w:tcPr>
            <w:tcW w:w="386" w:type="pct"/>
            <w:tcBorders>
              <w:top w:val="nil"/>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815</w:t>
            </w:r>
          </w:p>
        </w:tc>
        <w:tc>
          <w:tcPr>
            <w:tcW w:w="417" w:type="pct"/>
            <w:tcBorders>
              <w:top w:val="nil"/>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2307</w:t>
            </w:r>
          </w:p>
        </w:tc>
        <w:tc>
          <w:tcPr>
            <w:tcW w:w="371" w:type="pct"/>
            <w:tcBorders>
              <w:top w:val="nil"/>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-46,706</w:t>
            </w:r>
          </w:p>
        </w:tc>
        <w:tc>
          <w:tcPr>
            <w:tcW w:w="490" w:type="pct"/>
            <w:tcBorders>
              <w:top w:val="nil"/>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815</w:t>
            </w:r>
          </w:p>
        </w:tc>
        <w:tc>
          <w:tcPr>
            <w:tcW w:w="490" w:type="pct"/>
            <w:tcBorders>
              <w:top w:val="nil"/>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2307</w:t>
            </w:r>
          </w:p>
        </w:tc>
        <w:tc>
          <w:tcPr>
            <w:tcW w:w="490" w:type="pct"/>
            <w:tcBorders>
              <w:top w:val="nil"/>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-46,706</w:t>
            </w:r>
          </w:p>
        </w:tc>
        <w:tc>
          <w:tcPr>
            <w:tcW w:w="1063" w:type="pct"/>
            <w:tcBorders>
              <w:top w:val="nil"/>
              <w:left w:val="nil"/>
              <w:bottom w:val="single" w:sz="4" w:space="0" w:color="FFFFFF"/>
              <w:right w:val="single" w:sz="4" w:space="0" w:color="FFFFFF"/>
            </w:tcBorders>
            <w:shd w:val="clear" w:color="BDD7EE" w:fill="BDD7EE"/>
            <w:vAlign w:val="center"/>
            <w:hideMark/>
          </w:tcPr>
          <w:p w:rsidR="00B722F2" w:rsidRPr="00B57E80" w:rsidRDefault="00B722F2" w:rsidP="00B722F2">
            <w:pPr>
              <w:spacing w:after="0" w:line="240" w:lineRule="auto"/>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Existen 2.307 veredas en recuperación (rojo) de un total 4.512 registradas en los municipios de consolidación, según reportan los comités de seguridad que se realizan en cada Gerencia Regional.</w:t>
            </w:r>
          </w:p>
        </w:tc>
      </w:tr>
      <w:tr w:rsidR="00B722F2" w:rsidRPr="00B57E80" w:rsidTr="00F02FE0">
        <w:trPr>
          <w:trHeight w:val="1470"/>
        </w:trPr>
        <w:tc>
          <w:tcPr>
            <w:tcW w:w="580"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Inclusión Social y Reconciliación</w:t>
            </w:r>
          </w:p>
        </w:tc>
        <w:tc>
          <w:tcPr>
            <w:tcW w:w="712"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Veredas en VERDE en el semáforo de seguridad que cumplen con el mínimo de Consolidación</w:t>
            </w:r>
          </w:p>
        </w:tc>
        <w:tc>
          <w:tcPr>
            <w:tcW w:w="386"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612</w:t>
            </w:r>
          </w:p>
        </w:tc>
        <w:tc>
          <w:tcPr>
            <w:tcW w:w="417"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338</w:t>
            </w:r>
          </w:p>
        </w:tc>
        <w:tc>
          <w:tcPr>
            <w:tcW w:w="371"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11,613</w:t>
            </w:r>
          </w:p>
        </w:tc>
        <w:tc>
          <w:tcPr>
            <w:tcW w:w="490"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612</w:t>
            </w:r>
          </w:p>
        </w:tc>
        <w:tc>
          <w:tcPr>
            <w:tcW w:w="490"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338</w:t>
            </w:r>
          </w:p>
        </w:tc>
        <w:tc>
          <w:tcPr>
            <w:tcW w:w="490"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jc w:val="right"/>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11,613</w:t>
            </w:r>
          </w:p>
        </w:tc>
        <w:tc>
          <w:tcPr>
            <w:tcW w:w="1063" w:type="pct"/>
            <w:tcBorders>
              <w:top w:val="nil"/>
              <w:left w:val="nil"/>
              <w:bottom w:val="single" w:sz="4" w:space="0" w:color="FFFFFF"/>
              <w:right w:val="single" w:sz="4" w:space="0" w:color="FFFFFF"/>
            </w:tcBorders>
            <w:shd w:val="clear" w:color="DDEBF7" w:fill="DDEBF7"/>
            <w:vAlign w:val="center"/>
            <w:hideMark/>
          </w:tcPr>
          <w:p w:rsidR="00B722F2" w:rsidRPr="00B57E80" w:rsidRDefault="00B722F2" w:rsidP="00B722F2">
            <w:pPr>
              <w:spacing w:after="0" w:line="240" w:lineRule="auto"/>
              <w:rPr>
                <w:rFonts w:ascii="Verdana" w:eastAsia="Times New Roman" w:hAnsi="Verdana" w:cs="Arial"/>
                <w:color w:val="000000"/>
                <w:sz w:val="16"/>
                <w:szCs w:val="16"/>
                <w:lang w:eastAsia="es-CO"/>
              </w:rPr>
            </w:pPr>
            <w:r w:rsidRPr="00B57E80">
              <w:rPr>
                <w:rFonts w:ascii="Verdana" w:eastAsia="Times New Roman" w:hAnsi="Verdana" w:cs="Arial"/>
                <w:color w:val="000000"/>
                <w:sz w:val="16"/>
                <w:szCs w:val="16"/>
                <w:lang w:eastAsia="es-CO"/>
              </w:rPr>
              <w:t>Existen 338 veredas en estabilización (verde) de un total 4.512 registradas en los municipios de consolidación, según reportan los comités de seguridad que se realizan en cada Gerencia Regional.</w:t>
            </w:r>
          </w:p>
        </w:tc>
      </w:tr>
    </w:tbl>
    <w:p w:rsidR="00B722F2" w:rsidRPr="00B57E80" w:rsidRDefault="00B722F2" w:rsidP="00B722F2">
      <w:pPr>
        <w:spacing w:after="0" w:line="240" w:lineRule="auto"/>
        <w:jc w:val="both"/>
        <w:rPr>
          <w:rFonts w:ascii="Verdana" w:hAnsi="Verdana"/>
          <w:sz w:val="24"/>
          <w:szCs w:val="24"/>
        </w:rPr>
      </w:pPr>
    </w:p>
    <w:p w:rsidR="00B722F2" w:rsidRPr="00B57E80" w:rsidRDefault="00B722F2" w:rsidP="00B722F2">
      <w:pPr>
        <w:spacing w:after="0" w:line="240" w:lineRule="auto"/>
        <w:jc w:val="both"/>
        <w:rPr>
          <w:rFonts w:ascii="Verdana" w:hAnsi="Verdana"/>
          <w:sz w:val="24"/>
          <w:szCs w:val="24"/>
        </w:rPr>
      </w:pPr>
    </w:p>
    <w:p w:rsidR="00B722F2" w:rsidRPr="00260446" w:rsidRDefault="00F02FE0" w:rsidP="00260446">
      <w:pPr>
        <w:spacing w:after="0" w:line="240" w:lineRule="auto"/>
        <w:jc w:val="both"/>
        <w:rPr>
          <w:rFonts w:ascii="Verdana" w:hAnsi="Verdana"/>
          <w:color w:val="4F81BD" w:themeColor="accent1"/>
          <w:sz w:val="24"/>
          <w:szCs w:val="24"/>
        </w:rPr>
      </w:pPr>
      <w:r w:rsidRPr="00260446">
        <w:rPr>
          <w:rFonts w:ascii="Verdana" w:hAnsi="Verdana"/>
          <w:color w:val="4F81BD" w:themeColor="accent1"/>
          <w:sz w:val="24"/>
          <w:szCs w:val="24"/>
        </w:rPr>
        <w:t>Planes generales de compras</w:t>
      </w:r>
    </w:p>
    <w:p w:rsidR="00B722F2" w:rsidRPr="00B57E80" w:rsidRDefault="00B722F2" w:rsidP="00B722F2">
      <w:pPr>
        <w:spacing w:after="0" w:line="240" w:lineRule="auto"/>
        <w:jc w:val="both"/>
        <w:rPr>
          <w:rFonts w:ascii="Verdana" w:hAnsi="Verdana"/>
          <w:sz w:val="24"/>
          <w:szCs w:val="24"/>
        </w:rPr>
      </w:pPr>
    </w:p>
    <w:p w:rsidR="00B722F2" w:rsidRPr="00B57E80" w:rsidRDefault="00B722F2" w:rsidP="00B722F2">
      <w:pPr>
        <w:spacing w:after="0" w:line="240" w:lineRule="auto"/>
        <w:jc w:val="both"/>
        <w:rPr>
          <w:rFonts w:ascii="Verdana" w:hAnsi="Verdana"/>
          <w:sz w:val="24"/>
          <w:szCs w:val="24"/>
        </w:rPr>
      </w:pPr>
      <w:r w:rsidRPr="00B57E80">
        <w:rPr>
          <w:rFonts w:ascii="Verdana" w:hAnsi="Verdana"/>
          <w:sz w:val="24"/>
          <w:szCs w:val="24"/>
        </w:rPr>
        <w:t>La Unidad Administrativa Especial para la Consolidación Territorial ha publicado en su página web así como en el Sistema Electrónico de Contratación Pública – SECOP el Plan Anual de Adquisiciones y las respectivas actualizaciones del mismo.</w:t>
      </w:r>
    </w:p>
    <w:p w:rsidR="00B722F2" w:rsidRPr="00B57E80" w:rsidRDefault="00B722F2" w:rsidP="00B722F2">
      <w:pPr>
        <w:spacing w:after="0" w:line="240" w:lineRule="auto"/>
        <w:jc w:val="both"/>
        <w:rPr>
          <w:rFonts w:ascii="Verdana" w:hAnsi="Verdana"/>
          <w:sz w:val="24"/>
          <w:szCs w:val="24"/>
        </w:rPr>
      </w:pPr>
    </w:p>
    <w:p w:rsidR="00B722F2" w:rsidRPr="00B57E80" w:rsidRDefault="00B722F2" w:rsidP="00B722F2">
      <w:pPr>
        <w:spacing w:after="0" w:line="240" w:lineRule="auto"/>
        <w:jc w:val="both"/>
        <w:rPr>
          <w:rFonts w:ascii="Verdana" w:hAnsi="Verdana"/>
          <w:sz w:val="24"/>
          <w:szCs w:val="24"/>
        </w:rPr>
      </w:pPr>
      <w:r w:rsidRPr="00B57E80">
        <w:rPr>
          <w:rFonts w:ascii="Verdana" w:hAnsi="Verdana"/>
          <w:sz w:val="24"/>
          <w:szCs w:val="24"/>
        </w:rPr>
        <w:t>Para consultarlos se puede acceder a través del hipervínculo en nuestra página web:</w:t>
      </w:r>
      <w:r w:rsidR="00F02FE0">
        <w:rPr>
          <w:rFonts w:ascii="Verdana" w:hAnsi="Verdana"/>
          <w:sz w:val="24"/>
          <w:szCs w:val="24"/>
        </w:rPr>
        <w:t xml:space="preserve"> </w:t>
      </w:r>
      <w:hyperlink r:id="rId69" w:history="1">
        <w:r w:rsidRPr="00B57E80">
          <w:rPr>
            <w:rStyle w:val="Hipervnculo"/>
            <w:rFonts w:ascii="Verdana" w:hAnsi="Verdana"/>
            <w:sz w:val="24"/>
            <w:szCs w:val="24"/>
          </w:rPr>
          <w:t>http://www.consolidacion.gov.co/?q=content/planes-anuales-de-adquisiciones</w:t>
        </w:r>
      </w:hyperlink>
    </w:p>
    <w:p w:rsidR="00B722F2" w:rsidRPr="00B57E80" w:rsidRDefault="00B722F2" w:rsidP="00B722F2">
      <w:pPr>
        <w:spacing w:after="0" w:line="240" w:lineRule="auto"/>
        <w:jc w:val="both"/>
        <w:rPr>
          <w:rFonts w:ascii="Verdana" w:hAnsi="Verdana"/>
          <w:sz w:val="24"/>
          <w:szCs w:val="24"/>
        </w:rPr>
      </w:pPr>
    </w:p>
    <w:p w:rsidR="00B722F2" w:rsidRPr="00260446" w:rsidRDefault="00B722F2" w:rsidP="00260446">
      <w:pPr>
        <w:spacing w:after="0" w:line="240" w:lineRule="auto"/>
        <w:jc w:val="both"/>
        <w:rPr>
          <w:rFonts w:ascii="Verdana" w:hAnsi="Verdana"/>
          <w:color w:val="4F81BD" w:themeColor="accent1"/>
          <w:sz w:val="24"/>
          <w:szCs w:val="24"/>
        </w:rPr>
      </w:pPr>
      <w:r w:rsidRPr="00260446">
        <w:rPr>
          <w:rFonts w:ascii="Verdana" w:hAnsi="Verdana"/>
          <w:color w:val="4F81BD" w:themeColor="accent1"/>
          <w:sz w:val="24"/>
          <w:szCs w:val="24"/>
        </w:rPr>
        <w:t>Distribución presupuestal de sus proyectos de inversión.</w:t>
      </w:r>
    </w:p>
    <w:p w:rsidR="00B722F2" w:rsidRPr="00B57E80" w:rsidRDefault="00B722F2" w:rsidP="00B722F2">
      <w:pPr>
        <w:spacing w:after="0" w:line="240" w:lineRule="auto"/>
        <w:jc w:val="both"/>
        <w:rPr>
          <w:rFonts w:ascii="Verdana" w:hAnsi="Verdana"/>
          <w:sz w:val="24"/>
          <w:szCs w:val="24"/>
        </w:rPr>
      </w:pPr>
    </w:p>
    <w:tbl>
      <w:tblPr>
        <w:tblW w:w="5000" w:type="pct"/>
        <w:tblLayout w:type="fixed"/>
        <w:tblCellMar>
          <w:left w:w="70" w:type="dxa"/>
          <w:right w:w="70" w:type="dxa"/>
        </w:tblCellMar>
        <w:tblLook w:val="04A0"/>
      </w:tblPr>
      <w:tblGrid>
        <w:gridCol w:w="2748"/>
        <w:gridCol w:w="1692"/>
        <w:gridCol w:w="1692"/>
        <w:gridCol w:w="1411"/>
        <w:gridCol w:w="1692"/>
        <w:gridCol w:w="931"/>
      </w:tblGrid>
      <w:tr w:rsidR="00260446" w:rsidRPr="00B57E80" w:rsidTr="0046368D">
        <w:trPr>
          <w:trHeight w:val="855"/>
          <w:tblHeader/>
        </w:trPr>
        <w:tc>
          <w:tcPr>
            <w:tcW w:w="1351" w:type="pct"/>
            <w:tcBorders>
              <w:top w:val="nil"/>
              <w:left w:val="nil"/>
              <w:bottom w:val="single" w:sz="12" w:space="0" w:color="FFFFFF"/>
              <w:right w:val="single" w:sz="4" w:space="0" w:color="FFFFFF"/>
            </w:tcBorders>
            <w:shd w:val="clear" w:color="4F81BD" w:fill="4F81BD"/>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Proyecto</w:t>
            </w:r>
          </w:p>
        </w:tc>
        <w:tc>
          <w:tcPr>
            <w:tcW w:w="832" w:type="pct"/>
            <w:tcBorders>
              <w:top w:val="nil"/>
              <w:left w:val="nil"/>
              <w:bottom w:val="single" w:sz="12" w:space="0" w:color="FFFFFF"/>
              <w:right w:val="single" w:sz="4" w:space="0" w:color="FFFFFF"/>
            </w:tcBorders>
            <w:shd w:val="clear" w:color="4F81BD" w:fill="4F81BD"/>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 xml:space="preserve">Apr. Vigente </w:t>
            </w:r>
          </w:p>
        </w:tc>
        <w:tc>
          <w:tcPr>
            <w:tcW w:w="832" w:type="pct"/>
            <w:tcBorders>
              <w:top w:val="nil"/>
              <w:left w:val="nil"/>
              <w:bottom w:val="single" w:sz="12" w:space="0" w:color="FFFFFF"/>
              <w:right w:val="single" w:sz="4" w:space="0" w:color="FFFFFF"/>
            </w:tcBorders>
            <w:shd w:val="clear" w:color="4F81BD" w:fill="4F81BD"/>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Compromisos</w:t>
            </w:r>
          </w:p>
        </w:tc>
        <w:tc>
          <w:tcPr>
            <w:tcW w:w="694" w:type="pct"/>
            <w:tcBorders>
              <w:top w:val="nil"/>
              <w:left w:val="nil"/>
              <w:bottom w:val="single" w:sz="12" w:space="0" w:color="FFFFFF"/>
              <w:right w:val="single" w:sz="4" w:space="0" w:color="FFFFFF"/>
            </w:tcBorders>
            <w:shd w:val="clear" w:color="4F81BD" w:fill="4F81BD"/>
            <w:vAlign w:val="center"/>
            <w:hideMark/>
          </w:tcPr>
          <w:p w:rsidR="00B722F2" w:rsidRPr="00B57E80" w:rsidRDefault="00B722F2" w:rsidP="00260446">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 xml:space="preserve">% </w:t>
            </w:r>
            <w:r w:rsidRPr="0046368D">
              <w:rPr>
                <w:rFonts w:ascii="Verdana" w:eastAsia="Times New Roman" w:hAnsi="Verdana" w:cs="Times New Roman"/>
                <w:b/>
                <w:bCs/>
                <w:color w:val="FFFFFF"/>
                <w:sz w:val="15"/>
                <w:szCs w:val="15"/>
                <w:lang w:eastAsia="es-CO"/>
              </w:rPr>
              <w:t>Compromet</w:t>
            </w:r>
            <w:r w:rsidR="00260446" w:rsidRPr="0046368D">
              <w:rPr>
                <w:rFonts w:ascii="Verdana" w:eastAsia="Times New Roman" w:hAnsi="Verdana" w:cs="Times New Roman"/>
                <w:b/>
                <w:bCs/>
                <w:color w:val="FFFFFF"/>
                <w:sz w:val="15"/>
                <w:szCs w:val="15"/>
                <w:lang w:eastAsia="es-CO"/>
              </w:rPr>
              <w:t>ido</w:t>
            </w:r>
          </w:p>
        </w:tc>
        <w:tc>
          <w:tcPr>
            <w:tcW w:w="832" w:type="pct"/>
            <w:tcBorders>
              <w:top w:val="nil"/>
              <w:left w:val="nil"/>
              <w:bottom w:val="single" w:sz="12" w:space="0" w:color="FFFFFF"/>
              <w:right w:val="single" w:sz="4" w:space="0" w:color="FFFFFF"/>
            </w:tcBorders>
            <w:shd w:val="clear" w:color="4F81BD" w:fill="4F81BD"/>
            <w:vAlign w:val="center"/>
            <w:hideMark/>
          </w:tcPr>
          <w:p w:rsidR="00260446" w:rsidRDefault="00B722F2" w:rsidP="00260446">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De</w:t>
            </w:r>
            <w:r w:rsidR="00260446">
              <w:rPr>
                <w:rFonts w:ascii="Verdana" w:eastAsia="Times New Roman" w:hAnsi="Verdana" w:cs="Times New Roman"/>
                <w:b/>
                <w:bCs/>
                <w:color w:val="FFFFFF"/>
                <w:sz w:val="16"/>
                <w:szCs w:val="16"/>
                <w:lang w:eastAsia="es-CO"/>
              </w:rPr>
              <w:t>sembolsos efectuados a</w:t>
            </w:r>
          </w:p>
          <w:p w:rsidR="00B722F2" w:rsidRPr="00B57E80" w:rsidRDefault="00B722F2" w:rsidP="00260446">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 xml:space="preserve"> 31</w:t>
            </w:r>
            <w:r w:rsidR="00260446">
              <w:rPr>
                <w:rFonts w:ascii="Verdana" w:eastAsia="Times New Roman" w:hAnsi="Verdana" w:cs="Times New Roman"/>
                <w:b/>
                <w:bCs/>
                <w:color w:val="FFFFFF"/>
                <w:sz w:val="16"/>
                <w:szCs w:val="16"/>
                <w:lang w:eastAsia="es-CO"/>
              </w:rPr>
              <w:t>-12-200</w:t>
            </w:r>
            <w:r w:rsidRPr="00B57E80">
              <w:rPr>
                <w:rFonts w:ascii="Verdana" w:eastAsia="Times New Roman" w:hAnsi="Verdana" w:cs="Times New Roman"/>
                <w:b/>
                <w:bCs/>
                <w:color w:val="FFFFFF"/>
                <w:sz w:val="16"/>
                <w:szCs w:val="16"/>
                <w:lang w:eastAsia="es-CO"/>
              </w:rPr>
              <w:t>4</w:t>
            </w:r>
          </w:p>
        </w:tc>
        <w:tc>
          <w:tcPr>
            <w:tcW w:w="458" w:type="pct"/>
            <w:tcBorders>
              <w:top w:val="nil"/>
              <w:left w:val="nil"/>
              <w:bottom w:val="single" w:sz="12" w:space="0" w:color="FFFFFF"/>
              <w:right w:val="single" w:sz="4" w:space="0" w:color="FFFFFF"/>
            </w:tcBorders>
            <w:shd w:val="clear" w:color="4F81BD" w:fill="4F81BD"/>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 Pagado</w:t>
            </w:r>
          </w:p>
        </w:tc>
      </w:tr>
      <w:tr w:rsidR="00260446" w:rsidRPr="00B57E80" w:rsidTr="00260446">
        <w:trPr>
          <w:trHeight w:val="1065"/>
        </w:trPr>
        <w:tc>
          <w:tcPr>
            <w:tcW w:w="1351" w:type="pct"/>
            <w:tcBorders>
              <w:top w:val="single" w:sz="4" w:space="0" w:color="FFFFFF"/>
              <w:left w:val="nil"/>
              <w:bottom w:val="single" w:sz="4" w:space="0" w:color="FFFFFF"/>
              <w:right w:val="single" w:sz="4" w:space="0" w:color="FFFFFF"/>
            </w:tcBorders>
            <w:shd w:val="clear" w:color="B8CCE4" w:fill="B8CCE4"/>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APOYO A LA IMPLEMENTACION Y DIFUSION DE LA POLITICA NACIONAL DE CONSOLIDACION Y RECONSTRUCCION TERRITORIAL A NIVEL NACIONAL</w:t>
            </w:r>
          </w:p>
        </w:tc>
        <w:tc>
          <w:tcPr>
            <w:tcW w:w="832" w:type="pct"/>
            <w:tcBorders>
              <w:top w:val="single" w:sz="4" w:space="0" w:color="FFFFFF"/>
              <w:left w:val="nil"/>
              <w:bottom w:val="single" w:sz="4" w:space="0" w:color="FFFFFF"/>
              <w:right w:val="single" w:sz="4" w:space="0" w:color="FFFFFF"/>
            </w:tcBorders>
            <w:shd w:val="clear" w:color="B8CCE4" w:fill="B8CCE4"/>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$ 10.000.000.000</w:t>
            </w:r>
          </w:p>
        </w:tc>
        <w:tc>
          <w:tcPr>
            <w:tcW w:w="832" w:type="pct"/>
            <w:tcBorders>
              <w:top w:val="single" w:sz="4" w:space="0" w:color="FFFFFF"/>
              <w:left w:val="nil"/>
              <w:bottom w:val="single" w:sz="4" w:space="0" w:color="FFFFFF"/>
              <w:right w:val="single" w:sz="4" w:space="0" w:color="FFFFFF"/>
            </w:tcBorders>
            <w:shd w:val="clear" w:color="B8CCE4" w:fill="B8CCE4"/>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$ 9.460.690.920</w:t>
            </w:r>
          </w:p>
        </w:tc>
        <w:tc>
          <w:tcPr>
            <w:tcW w:w="694" w:type="pct"/>
            <w:tcBorders>
              <w:top w:val="single" w:sz="4" w:space="0" w:color="FFFFFF"/>
              <w:left w:val="nil"/>
              <w:bottom w:val="single" w:sz="4" w:space="0" w:color="FFFFFF"/>
              <w:right w:val="single" w:sz="4" w:space="0" w:color="FFFFFF"/>
            </w:tcBorders>
            <w:shd w:val="clear" w:color="B8CCE4" w:fill="B8CCE4"/>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94,61%</w:t>
            </w:r>
          </w:p>
        </w:tc>
        <w:tc>
          <w:tcPr>
            <w:tcW w:w="832" w:type="pct"/>
            <w:tcBorders>
              <w:top w:val="single" w:sz="4" w:space="0" w:color="FFFFFF"/>
              <w:left w:val="nil"/>
              <w:bottom w:val="single" w:sz="4" w:space="0" w:color="FFFFFF"/>
              <w:right w:val="single" w:sz="4" w:space="0" w:color="FFFFFF"/>
            </w:tcBorders>
            <w:shd w:val="clear" w:color="B8CCE4" w:fill="B8CCE4"/>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$ 8.037.443.463</w:t>
            </w:r>
          </w:p>
        </w:tc>
        <w:tc>
          <w:tcPr>
            <w:tcW w:w="458" w:type="pct"/>
            <w:tcBorders>
              <w:top w:val="single" w:sz="4" w:space="0" w:color="FFFFFF"/>
              <w:left w:val="nil"/>
              <w:bottom w:val="single" w:sz="4" w:space="0" w:color="FFFFFF"/>
              <w:right w:val="single" w:sz="4" w:space="0" w:color="FFFFFF"/>
            </w:tcBorders>
            <w:shd w:val="clear" w:color="B8CCE4" w:fill="B8CCE4"/>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84,96%</w:t>
            </w:r>
          </w:p>
        </w:tc>
      </w:tr>
      <w:tr w:rsidR="00260446" w:rsidRPr="00B57E80" w:rsidTr="00260446">
        <w:trPr>
          <w:trHeight w:val="1470"/>
        </w:trPr>
        <w:tc>
          <w:tcPr>
            <w:tcW w:w="1351" w:type="pct"/>
            <w:tcBorders>
              <w:top w:val="nil"/>
              <w:left w:val="nil"/>
              <w:bottom w:val="single" w:sz="4" w:space="0" w:color="FFFFFF"/>
              <w:right w:val="single" w:sz="4" w:space="0" w:color="FFFFFF"/>
            </w:tcBorders>
            <w:shd w:val="clear" w:color="DCE6F1" w:fill="DCE6F1"/>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IMPLEMENTACIÓN DE ACTIVIDADES DE ERRADICACIÓN Y POSTERRADICACION DE CULTIVOS ILICITOS Y ACCIONES DE RESPUESTA RAPIDA  EN LAS ZONAS FOCALIZADAS DEL TERRITORIO NACIONAL</w:t>
            </w:r>
          </w:p>
        </w:tc>
        <w:tc>
          <w:tcPr>
            <w:tcW w:w="832" w:type="pct"/>
            <w:tcBorders>
              <w:top w:val="nil"/>
              <w:left w:val="nil"/>
              <w:bottom w:val="single" w:sz="4" w:space="0" w:color="FFFFFF"/>
              <w:right w:val="single" w:sz="4" w:space="0" w:color="FFFFFF"/>
            </w:tcBorders>
            <w:shd w:val="clear" w:color="DCE6F1" w:fill="DCE6F1"/>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$ 130.000.000.000</w:t>
            </w:r>
          </w:p>
        </w:tc>
        <w:tc>
          <w:tcPr>
            <w:tcW w:w="832" w:type="pct"/>
            <w:tcBorders>
              <w:top w:val="nil"/>
              <w:left w:val="nil"/>
              <w:bottom w:val="single" w:sz="4" w:space="0" w:color="FFFFFF"/>
              <w:right w:val="single" w:sz="4" w:space="0" w:color="FFFFFF"/>
            </w:tcBorders>
            <w:shd w:val="clear" w:color="DCE6F1" w:fill="DCE6F1"/>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$ 127.923.742.995</w:t>
            </w:r>
          </w:p>
        </w:tc>
        <w:tc>
          <w:tcPr>
            <w:tcW w:w="694" w:type="pct"/>
            <w:tcBorders>
              <w:top w:val="nil"/>
              <w:left w:val="nil"/>
              <w:bottom w:val="single" w:sz="4" w:space="0" w:color="FFFFFF"/>
              <w:right w:val="single" w:sz="4" w:space="0" w:color="FFFFFF"/>
            </w:tcBorders>
            <w:shd w:val="clear" w:color="DCE6F1" w:fill="DCE6F1"/>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98,40%</w:t>
            </w:r>
          </w:p>
        </w:tc>
        <w:tc>
          <w:tcPr>
            <w:tcW w:w="832" w:type="pct"/>
            <w:tcBorders>
              <w:top w:val="nil"/>
              <w:left w:val="nil"/>
              <w:bottom w:val="single" w:sz="4" w:space="0" w:color="FFFFFF"/>
              <w:right w:val="single" w:sz="4" w:space="0" w:color="FFFFFF"/>
            </w:tcBorders>
            <w:shd w:val="clear" w:color="DCE6F1" w:fill="DCE6F1"/>
            <w:vAlign w:val="center"/>
            <w:hideMark/>
          </w:tcPr>
          <w:p w:rsidR="00B722F2" w:rsidRPr="00B57E80" w:rsidRDefault="00B722F2" w:rsidP="00260446">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$104.187.411.465</w:t>
            </w:r>
          </w:p>
        </w:tc>
        <w:tc>
          <w:tcPr>
            <w:tcW w:w="458" w:type="pct"/>
            <w:tcBorders>
              <w:top w:val="nil"/>
              <w:left w:val="nil"/>
              <w:bottom w:val="single" w:sz="4" w:space="0" w:color="FFFFFF"/>
              <w:right w:val="single" w:sz="4" w:space="0" w:color="FFFFFF"/>
            </w:tcBorders>
            <w:shd w:val="clear" w:color="DCE6F1" w:fill="DCE6F1"/>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81,44%</w:t>
            </w:r>
          </w:p>
        </w:tc>
      </w:tr>
      <w:tr w:rsidR="00260446" w:rsidRPr="00B57E80" w:rsidTr="00260446">
        <w:trPr>
          <w:trHeight w:val="1470"/>
        </w:trPr>
        <w:tc>
          <w:tcPr>
            <w:tcW w:w="1351" w:type="pct"/>
            <w:tcBorders>
              <w:top w:val="nil"/>
              <w:left w:val="nil"/>
              <w:bottom w:val="single" w:sz="4" w:space="0" w:color="FFFFFF"/>
              <w:right w:val="single" w:sz="4" w:space="0" w:color="FFFFFF"/>
            </w:tcBorders>
            <w:shd w:val="clear" w:color="B8CCE4" w:fill="B8CCE4"/>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IMPLEMENTACIÓN DE OBRAS DE PEQUEÑA Y MEDIANA INFRAESTRUCTURA PARA GENERAR CONFIANZA EN LAS ZONAS PRIORIZADAS POR LA POLÍTICA NACIONAL DE CONSOLIDACIÓN Y RECONSTRUCCIÓN TERRITORIAL</w:t>
            </w:r>
          </w:p>
        </w:tc>
        <w:tc>
          <w:tcPr>
            <w:tcW w:w="832" w:type="pct"/>
            <w:tcBorders>
              <w:top w:val="nil"/>
              <w:left w:val="nil"/>
              <w:bottom w:val="single" w:sz="4" w:space="0" w:color="FFFFFF"/>
              <w:right w:val="single" w:sz="4" w:space="0" w:color="FFFFFF"/>
            </w:tcBorders>
            <w:shd w:val="clear" w:color="B8CCE4" w:fill="B8CCE4"/>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$ 33.000.000.000</w:t>
            </w:r>
          </w:p>
        </w:tc>
        <w:tc>
          <w:tcPr>
            <w:tcW w:w="832" w:type="pct"/>
            <w:tcBorders>
              <w:top w:val="nil"/>
              <w:left w:val="nil"/>
              <w:bottom w:val="single" w:sz="4" w:space="0" w:color="FFFFFF"/>
              <w:right w:val="single" w:sz="4" w:space="0" w:color="FFFFFF"/>
            </w:tcBorders>
            <w:shd w:val="clear" w:color="B8CCE4" w:fill="B8CCE4"/>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$ 33.000.000.000</w:t>
            </w:r>
          </w:p>
        </w:tc>
        <w:tc>
          <w:tcPr>
            <w:tcW w:w="694" w:type="pct"/>
            <w:tcBorders>
              <w:top w:val="nil"/>
              <w:left w:val="nil"/>
              <w:bottom w:val="single" w:sz="4" w:space="0" w:color="FFFFFF"/>
              <w:right w:val="single" w:sz="4" w:space="0" w:color="FFFFFF"/>
            </w:tcBorders>
            <w:shd w:val="clear" w:color="B8CCE4" w:fill="B8CCE4"/>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100,00%</w:t>
            </w:r>
          </w:p>
        </w:tc>
        <w:tc>
          <w:tcPr>
            <w:tcW w:w="832" w:type="pct"/>
            <w:tcBorders>
              <w:top w:val="nil"/>
              <w:left w:val="nil"/>
              <w:bottom w:val="single" w:sz="4" w:space="0" w:color="FFFFFF"/>
              <w:right w:val="single" w:sz="4" w:space="0" w:color="FFFFFF"/>
            </w:tcBorders>
            <w:shd w:val="clear" w:color="B8CCE4" w:fill="B8CCE4"/>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$ 28.645.926.500</w:t>
            </w:r>
          </w:p>
        </w:tc>
        <w:tc>
          <w:tcPr>
            <w:tcW w:w="458" w:type="pct"/>
            <w:tcBorders>
              <w:top w:val="nil"/>
              <w:left w:val="nil"/>
              <w:bottom w:val="single" w:sz="4" w:space="0" w:color="FFFFFF"/>
              <w:right w:val="single" w:sz="4" w:space="0" w:color="FFFFFF"/>
            </w:tcBorders>
            <w:shd w:val="clear" w:color="B8CCE4" w:fill="B8CCE4"/>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86,81%</w:t>
            </w:r>
          </w:p>
        </w:tc>
      </w:tr>
      <w:tr w:rsidR="00260446" w:rsidRPr="00B57E80" w:rsidTr="00260446">
        <w:trPr>
          <w:trHeight w:val="1470"/>
        </w:trPr>
        <w:tc>
          <w:tcPr>
            <w:tcW w:w="1351" w:type="pct"/>
            <w:tcBorders>
              <w:top w:val="nil"/>
              <w:left w:val="nil"/>
              <w:bottom w:val="single" w:sz="4" w:space="0" w:color="FFFFFF"/>
              <w:right w:val="single" w:sz="4" w:space="0" w:color="FFFFFF"/>
            </w:tcBorders>
            <w:shd w:val="clear" w:color="DCE6F1" w:fill="DCE6F1"/>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ERRADICACION MANUAL VOLUNTARIA Y GENERACIÓN DE CAPACIDADES PARA MEJORAR LAS CONDICIONES DE VIDA DE LA POBLACIÓN RURAL EN TERRITORIOS GUARDABOSQUES ETNICOS Y PRODUCTIVOS</w:t>
            </w:r>
          </w:p>
        </w:tc>
        <w:tc>
          <w:tcPr>
            <w:tcW w:w="832" w:type="pct"/>
            <w:tcBorders>
              <w:top w:val="nil"/>
              <w:left w:val="nil"/>
              <w:bottom w:val="single" w:sz="4" w:space="0" w:color="FFFFFF"/>
              <w:right w:val="single" w:sz="4" w:space="0" w:color="FFFFFF"/>
            </w:tcBorders>
            <w:shd w:val="clear" w:color="DCE6F1" w:fill="DCE6F1"/>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$ 2.000.000.000</w:t>
            </w:r>
          </w:p>
        </w:tc>
        <w:tc>
          <w:tcPr>
            <w:tcW w:w="832" w:type="pct"/>
            <w:tcBorders>
              <w:top w:val="nil"/>
              <w:left w:val="nil"/>
              <w:bottom w:val="single" w:sz="4" w:space="0" w:color="FFFFFF"/>
              <w:right w:val="single" w:sz="4" w:space="0" w:color="FFFFFF"/>
            </w:tcBorders>
            <w:shd w:val="clear" w:color="DCE6F1" w:fill="DCE6F1"/>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$ 2.000.000.000</w:t>
            </w:r>
          </w:p>
        </w:tc>
        <w:tc>
          <w:tcPr>
            <w:tcW w:w="694" w:type="pct"/>
            <w:tcBorders>
              <w:top w:val="nil"/>
              <w:left w:val="nil"/>
              <w:bottom w:val="single" w:sz="4" w:space="0" w:color="FFFFFF"/>
              <w:right w:val="single" w:sz="4" w:space="0" w:color="FFFFFF"/>
            </w:tcBorders>
            <w:shd w:val="clear" w:color="DCE6F1" w:fill="DCE6F1"/>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100,00%</w:t>
            </w:r>
          </w:p>
        </w:tc>
        <w:tc>
          <w:tcPr>
            <w:tcW w:w="832" w:type="pct"/>
            <w:tcBorders>
              <w:top w:val="nil"/>
              <w:left w:val="nil"/>
              <w:bottom w:val="single" w:sz="4" w:space="0" w:color="FFFFFF"/>
              <w:right w:val="single" w:sz="4" w:space="0" w:color="FFFFFF"/>
            </w:tcBorders>
            <w:shd w:val="clear" w:color="DCE6F1" w:fill="DCE6F1"/>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$ 2.000.000.000</w:t>
            </w:r>
          </w:p>
        </w:tc>
        <w:tc>
          <w:tcPr>
            <w:tcW w:w="458" w:type="pct"/>
            <w:tcBorders>
              <w:top w:val="nil"/>
              <w:left w:val="nil"/>
              <w:bottom w:val="single" w:sz="4" w:space="0" w:color="FFFFFF"/>
              <w:right w:val="single" w:sz="4" w:space="0" w:color="FFFFFF"/>
            </w:tcBorders>
            <w:shd w:val="clear" w:color="DCE6F1" w:fill="DCE6F1"/>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100,00%</w:t>
            </w:r>
          </w:p>
        </w:tc>
      </w:tr>
      <w:tr w:rsidR="00260446" w:rsidRPr="00B57E80" w:rsidTr="00260446">
        <w:trPr>
          <w:trHeight w:val="285"/>
        </w:trPr>
        <w:tc>
          <w:tcPr>
            <w:tcW w:w="1351" w:type="pct"/>
            <w:tcBorders>
              <w:top w:val="nil"/>
              <w:left w:val="nil"/>
              <w:bottom w:val="single" w:sz="4" w:space="0" w:color="FFFFFF"/>
              <w:right w:val="single" w:sz="4" w:space="0" w:color="FFFFFF"/>
            </w:tcBorders>
            <w:shd w:val="clear" w:color="B8CCE4" w:fill="B8CCE4"/>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w:t>
            </w:r>
          </w:p>
        </w:tc>
        <w:tc>
          <w:tcPr>
            <w:tcW w:w="832" w:type="pct"/>
            <w:tcBorders>
              <w:top w:val="nil"/>
              <w:left w:val="nil"/>
              <w:bottom w:val="single" w:sz="4" w:space="0" w:color="FFFFFF"/>
              <w:right w:val="single" w:sz="4" w:space="0" w:color="FFFFFF"/>
            </w:tcBorders>
            <w:shd w:val="clear" w:color="B8CCE4" w:fill="B8CCE4"/>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$ 175.000.000.000</w:t>
            </w:r>
          </w:p>
        </w:tc>
        <w:tc>
          <w:tcPr>
            <w:tcW w:w="832" w:type="pct"/>
            <w:tcBorders>
              <w:top w:val="nil"/>
              <w:left w:val="nil"/>
              <w:bottom w:val="single" w:sz="4" w:space="0" w:color="FFFFFF"/>
              <w:right w:val="single" w:sz="4" w:space="0" w:color="FFFFFF"/>
            </w:tcBorders>
            <w:shd w:val="clear" w:color="B8CCE4" w:fill="B8CCE4"/>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$ 172.384.433.915</w:t>
            </w:r>
          </w:p>
        </w:tc>
        <w:tc>
          <w:tcPr>
            <w:tcW w:w="694" w:type="pct"/>
            <w:tcBorders>
              <w:top w:val="nil"/>
              <w:left w:val="nil"/>
              <w:bottom w:val="single" w:sz="4" w:space="0" w:color="FFFFFF"/>
              <w:right w:val="single" w:sz="4" w:space="0" w:color="FFFFFF"/>
            </w:tcBorders>
            <w:shd w:val="clear" w:color="B8CCE4" w:fill="B8CCE4"/>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w:t>
            </w:r>
          </w:p>
        </w:tc>
        <w:tc>
          <w:tcPr>
            <w:tcW w:w="832" w:type="pct"/>
            <w:tcBorders>
              <w:top w:val="nil"/>
              <w:left w:val="nil"/>
              <w:bottom w:val="single" w:sz="4" w:space="0" w:color="FFFFFF"/>
              <w:right w:val="single" w:sz="4" w:space="0" w:color="FFFFFF"/>
            </w:tcBorders>
            <w:shd w:val="clear" w:color="B8CCE4" w:fill="B8CCE4"/>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$ 142.870.781.429</w:t>
            </w:r>
          </w:p>
        </w:tc>
        <w:tc>
          <w:tcPr>
            <w:tcW w:w="458" w:type="pct"/>
            <w:tcBorders>
              <w:top w:val="nil"/>
              <w:left w:val="nil"/>
              <w:bottom w:val="single" w:sz="4" w:space="0" w:color="FFFFFF"/>
              <w:right w:val="single" w:sz="4" w:space="0" w:color="FFFFFF"/>
            </w:tcBorders>
            <w:shd w:val="clear" w:color="B8CCE4" w:fill="B8CCE4"/>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w:t>
            </w:r>
          </w:p>
        </w:tc>
      </w:tr>
    </w:tbl>
    <w:p w:rsidR="00B722F2" w:rsidRDefault="00B722F2" w:rsidP="00B722F2">
      <w:pPr>
        <w:spacing w:after="0" w:line="240" w:lineRule="auto"/>
        <w:jc w:val="both"/>
        <w:rPr>
          <w:rFonts w:ascii="Verdana" w:hAnsi="Verdana"/>
          <w:sz w:val="24"/>
          <w:szCs w:val="24"/>
        </w:rPr>
      </w:pPr>
    </w:p>
    <w:p w:rsidR="007633C4" w:rsidRDefault="007633C4" w:rsidP="00B722F2">
      <w:pPr>
        <w:spacing w:after="0" w:line="240" w:lineRule="auto"/>
        <w:jc w:val="both"/>
        <w:rPr>
          <w:rFonts w:ascii="Verdana" w:hAnsi="Verdana"/>
          <w:sz w:val="24"/>
          <w:szCs w:val="24"/>
        </w:rPr>
      </w:pPr>
    </w:p>
    <w:p w:rsidR="007633C4" w:rsidRDefault="007633C4" w:rsidP="00B722F2">
      <w:pPr>
        <w:spacing w:after="0" w:line="240" w:lineRule="auto"/>
        <w:jc w:val="both"/>
        <w:rPr>
          <w:rFonts w:ascii="Verdana" w:hAnsi="Verdana"/>
          <w:b/>
          <w:color w:val="4F81BD" w:themeColor="accent1"/>
          <w:sz w:val="24"/>
          <w:szCs w:val="24"/>
        </w:rPr>
      </w:pPr>
      <w:r>
        <w:rPr>
          <w:rFonts w:ascii="Verdana" w:hAnsi="Verdana"/>
          <w:b/>
          <w:color w:val="4F81BD" w:themeColor="accent1"/>
          <w:sz w:val="24"/>
          <w:szCs w:val="24"/>
        </w:rPr>
        <w:t>ESTADOS FINANCIEROS</w:t>
      </w:r>
    </w:p>
    <w:p w:rsidR="007633C4" w:rsidRDefault="007633C4" w:rsidP="00B722F2">
      <w:pPr>
        <w:spacing w:after="0" w:line="240" w:lineRule="auto"/>
        <w:jc w:val="both"/>
        <w:rPr>
          <w:rFonts w:ascii="Verdana" w:hAnsi="Verdana"/>
          <w:b/>
          <w:color w:val="4F81BD" w:themeColor="accent1"/>
          <w:sz w:val="24"/>
          <w:szCs w:val="24"/>
        </w:rPr>
      </w:pPr>
    </w:p>
    <w:p w:rsidR="007633C4" w:rsidRDefault="007633C4" w:rsidP="00B722F2">
      <w:pPr>
        <w:spacing w:after="0" w:line="240" w:lineRule="auto"/>
        <w:jc w:val="both"/>
        <w:rPr>
          <w:rFonts w:ascii="Verdana" w:hAnsi="Verdana"/>
          <w:sz w:val="24"/>
          <w:szCs w:val="24"/>
        </w:rPr>
      </w:pPr>
    </w:p>
    <w:p w:rsidR="007633C4" w:rsidRPr="00B57E80" w:rsidRDefault="007633C4" w:rsidP="00B722F2">
      <w:pPr>
        <w:spacing w:after="0" w:line="240" w:lineRule="auto"/>
        <w:jc w:val="both"/>
        <w:rPr>
          <w:rFonts w:ascii="Verdana" w:hAnsi="Verdana"/>
          <w:sz w:val="24"/>
          <w:szCs w:val="24"/>
        </w:rPr>
      </w:pPr>
    </w:p>
    <w:p w:rsidR="00B722F2" w:rsidRPr="00B57E80" w:rsidRDefault="00B722F2" w:rsidP="00B722F2">
      <w:pPr>
        <w:spacing w:after="0" w:line="240" w:lineRule="auto"/>
        <w:jc w:val="both"/>
        <w:rPr>
          <w:rFonts w:ascii="Verdana" w:hAnsi="Verdana"/>
          <w:sz w:val="24"/>
          <w:szCs w:val="24"/>
        </w:rPr>
      </w:pPr>
    </w:p>
    <w:p w:rsidR="00B722F2" w:rsidRPr="0046368D" w:rsidRDefault="00581D8C" w:rsidP="00B722F2">
      <w:pPr>
        <w:spacing w:after="0" w:line="240" w:lineRule="auto"/>
        <w:jc w:val="both"/>
        <w:rPr>
          <w:rFonts w:ascii="Verdana" w:hAnsi="Verdana"/>
          <w:b/>
          <w:color w:val="4F81BD" w:themeColor="accent1"/>
          <w:sz w:val="28"/>
          <w:szCs w:val="24"/>
        </w:rPr>
      </w:pPr>
      <w:r w:rsidRPr="00581D8C">
        <w:rPr>
          <w:rFonts w:ascii="Verdana" w:hAnsi="Verdana"/>
          <w:b/>
          <w:noProof/>
          <w:sz w:val="24"/>
          <w:szCs w:val="24"/>
          <w:lang w:eastAsia="es-CO"/>
        </w:rPr>
        <w:drawing>
          <wp:inline distT="0" distB="0" distL="0" distR="0">
            <wp:extent cx="216024" cy="216024"/>
            <wp:effectExtent l="19050" t="0" r="0" b="0"/>
            <wp:docPr id="482" name="Objeto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6300192" y="4869160"/>
                      <a:chExt cx="216024" cy="216024"/>
                    </a:xfrm>
                  </a:grpSpPr>
                  <a:sp>
                    <a:nvSpPr>
                      <a:cNvPr id="42" name="41 Rectángulo redondeado"/>
                      <a:cNvSpPr/>
                    </a:nvSpPr>
                    <a:spPr>
                      <a:xfrm>
                        <a:off x="6300192" y="4869160"/>
                        <a:ext cx="216024" cy="216024"/>
                      </a:xfrm>
                      <a:prstGeom prst="roundRect">
                        <a:avLst/>
                      </a:prstGeom>
                      <a:gradFill flip="none" rotWithShape="1">
                        <a:gsLst>
                          <a:gs pos="0">
                            <a:schemeClr val="bg1">
                              <a:lumMod val="65000"/>
                              <a:shade val="30000"/>
                              <a:satMod val="115000"/>
                            </a:schemeClr>
                          </a:gs>
                          <a:gs pos="50000">
                            <a:schemeClr val="bg1">
                              <a:lumMod val="65000"/>
                              <a:shade val="67500"/>
                              <a:satMod val="115000"/>
                            </a:schemeClr>
                          </a:gs>
                          <a:gs pos="100000">
                            <a:schemeClr val="bg1">
                              <a:lumMod val="65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hAnsi="Verdana"/>
          <w:b/>
          <w:sz w:val="24"/>
          <w:szCs w:val="24"/>
        </w:rPr>
        <w:t xml:space="preserve">  </w:t>
      </w:r>
      <w:r w:rsidR="0046368D">
        <w:rPr>
          <w:rFonts w:ascii="Verdana" w:hAnsi="Verdana"/>
          <w:b/>
          <w:sz w:val="24"/>
          <w:szCs w:val="24"/>
        </w:rPr>
        <w:t xml:space="preserve"> </w:t>
      </w:r>
      <w:r w:rsidR="00B722F2" w:rsidRPr="0046368D">
        <w:rPr>
          <w:rFonts w:ascii="Verdana" w:hAnsi="Verdana"/>
          <w:b/>
          <w:color w:val="4F81BD" w:themeColor="accent1"/>
          <w:sz w:val="28"/>
          <w:szCs w:val="24"/>
        </w:rPr>
        <w:t>GESTIÓN</w:t>
      </w:r>
    </w:p>
    <w:p w:rsidR="00B722F2" w:rsidRDefault="00B722F2" w:rsidP="00B722F2">
      <w:pPr>
        <w:spacing w:after="0" w:line="240" w:lineRule="auto"/>
        <w:jc w:val="both"/>
        <w:rPr>
          <w:rFonts w:ascii="Verdana" w:hAnsi="Verdana"/>
          <w:b/>
          <w:sz w:val="24"/>
          <w:szCs w:val="24"/>
        </w:rPr>
      </w:pPr>
    </w:p>
    <w:p w:rsidR="0046368D" w:rsidRPr="00B57E80" w:rsidRDefault="0046368D" w:rsidP="00B722F2">
      <w:pPr>
        <w:spacing w:after="0" w:line="240" w:lineRule="auto"/>
        <w:jc w:val="both"/>
        <w:rPr>
          <w:rFonts w:ascii="Verdana" w:hAnsi="Verdana"/>
          <w:b/>
          <w:sz w:val="24"/>
          <w:szCs w:val="24"/>
        </w:rPr>
      </w:pPr>
    </w:p>
    <w:p w:rsidR="00B722F2" w:rsidRPr="0046368D" w:rsidRDefault="00B722F2" w:rsidP="00B722F2">
      <w:pPr>
        <w:spacing w:after="0" w:line="240" w:lineRule="auto"/>
        <w:jc w:val="both"/>
        <w:rPr>
          <w:rFonts w:ascii="Verdana" w:hAnsi="Verdana"/>
          <w:b/>
          <w:color w:val="4F81BD" w:themeColor="accent1"/>
          <w:sz w:val="24"/>
          <w:szCs w:val="24"/>
        </w:rPr>
      </w:pPr>
      <w:r w:rsidRPr="0046368D">
        <w:rPr>
          <w:rFonts w:ascii="Verdana" w:hAnsi="Verdana"/>
          <w:b/>
          <w:color w:val="4F81BD" w:themeColor="accent1"/>
          <w:sz w:val="24"/>
          <w:szCs w:val="24"/>
        </w:rPr>
        <w:t>DIRECCIÓN DE PROGRAMAS CONTRA CULTIVOS ILÍCITOS</w:t>
      </w:r>
    </w:p>
    <w:p w:rsidR="00B722F2" w:rsidRPr="00B57E80" w:rsidRDefault="00B722F2" w:rsidP="00B722F2">
      <w:pPr>
        <w:spacing w:after="0" w:line="240" w:lineRule="auto"/>
        <w:jc w:val="both"/>
        <w:rPr>
          <w:rFonts w:ascii="Verdana" w:hAnsi="Verdana"/>
          <w:b/>
          <w:sz w:val="24"/>
          <w:szCs w:val="24"/>
        </w:rPr>
      </w:pPr>
    </w:p>
    <w:p w:rsidR="00B722F2" w:rsidRPr="0046368D" w:rsidRDefault="00B722F2" w:rsidP="00B722F2">
      <w:pPr>
        <w:rPr>
          <w:rFonts w:ascii="Verdana" w:hAnsi="Verdana" w:cs="Arial"/>
          <w:color w:val="1F497D" w:themeColor="text2"/>
          <w:sz w:val="24"/>
          <w:szCs w:val="24"/>
        </w:rPr>
      </w:pPr>
      <w:r w:rsidRPr="0046368D">
        <w:rPr>
          <w:rFonts w:ascii="Verdana" w:hAnsi="Verdana" w:cs="Arial"/>
          <w:color w:val="1F497D" w:themeColor="text2"/>
          <w:sz w:val="24"/>
          <w:szCs w:val="24"/>
        </w:rPr>
        <w:t>INTRODUCCIÓN</w:t>
      </w:r>
    </w:p>
    <w:p w:rsidR="00B722F2" w:rsidRPr="00B57E80" w:rsidRDefault="00B722F2" w:rsidP="00B722F2">
      <w:pPr>
        <w:jc w:val="both"/>
        <w:rPr>
          <w:rFonts w:ascii="Verdana" w:hAnsi="Verdana"/>
          <w:sz w:val="24"/>
          <w:szCs w:val="24"/>
        </w:rPr>
      </w:pPr>
      <w:r w:rsidRPr="00B57E80">
        <w:rPr>
          <w:rFonts w:ascii="Verdana" w:hAnsi="Verdana"/>
          <w:sz w:val="24"/>
          <w:szCs w:val="24"/>
        </w:rPr>
        <w:t>El Programa contra Cultivos Ilícitos – PCI de la Unidad Administrativa Especial para la Consolidación Territorial - UACT, desarrolla las acciones de erradicación y posterradicación a través de la armonización y coordinación de la Estrategia de Erradicación Manual Forzosa y de la Estrategia de Desarrollo Alternativo, organizadas con el propósito de promover la transición económica y social de los territorios de las regiones focalizadas por la Política Nacional de Consolidación y Reconstrucción Territorial y de los afectados por cultivos ilícitos; esto con el ánimo de  evitar la resiembra, persistencia y expansión de los cultivos ilícitos, generando alternativas lícitas de desarrollo y mejorando las condiciones de vida de las comunidades.</w:t>
      </w:r>
    </w:p>
    <w:p w:rsidR="00B722F2" w:rsidRPr="00B57E80" w:rsidRDefault="00B722F2" w:rsidP="00B722F2">
      <w:pPr>
        <w:spacing w:after="0"/>
        <w:jc w:val="both"/>
        <w:rPr>
          <w:rFonts w:ascii="Verdana" w:eastAsia="Times New Roman" w:hAnsi="Verdana" w:cs="Arial"/>
          <w:iCs/>
          <w:sz w:val="24"/>
          <w:szCs w:val="24"/>
          <w:lang w:eastAsia="es-CO"/>
        </w:rPr>
      </w:pPr>
    </w:p>
    <w:p w:rsidR="00B722F2" w:rsidRPr="0046368D" w:rsidRDefault="00B722F2" w:rsidP="00B722F2">
      <w:pPr>
        <w:jc w:val="both"/>
        <w:rPr>
          <w:rFonts w:ascii="Verdana" w:eastAsia="Times New Roman" w:hAnsi="Verdana" w:cs="Arial"/>
          <w:iCs/>
          <w:color w:val="4F81BD" w:themeColor="accent1"/>
          <w:sz w:val="24"/>
          <w:szCs w:val="24"/>
          <w:lang w:eastAsia="es-CO"/>
        </w:rPr>
      </w:pPr>
      <w:r w:rsidRPr="0046368D">
        <w:rPr>
          <w:rFonts w:ascii="Verdana" w:eastAsia="Times New Roman" w:hAnsi="Verdana" w:cs="Arial"/>
          <w:color w:val="4F81BD" w:themeColor="accent1"/>
          <w:sz w:val="24"/>
          <w:szCs w:val="24"/>
          <w:lang w:val="es-ES_tradnl" w:eastAsia="ja-JP"/>
        </w:rPr>
        <w:t>Estrategia de Erradicación Manual Forzosa</w:t>
      </w:r>
    </w:p>
    <w:p w:rsidR="00B722F2" w:rsidRPr="00B57E80" w:rsidRDefault="00B722F2" w:rsidP="00B722F2">
      <w:pPr>
        <w:jc w:val="both"/>
        <w:rPr>
          <w:rFonts w:ascii="Verdana" w:eastAsia="Times New Roman" w:hAnsi="Verdana" w:cs="Arial"/>
          <w:sz w:val="24"/>
          <w:szCs w:val="24"/>
          <w:lang w:val="es-ES_tradnl" w:eastAsia="ja-JP"/>
        </w:rPr>
      </w:pPr>
      <w:r w:rsidRPr="00B57E80">
        <w:rPr>
          <w:rFonts w:ascii="Verdana" w:eastAsia="Times New Roman" w:hAnsi="Verdana" w:cs="Arial"/>
          <w:sz w:val="24"/>
          <w:szCs w:val="24"/>
          <w:lang w:eastAsia="ja-JP"/>
        </w:rPr>
        <w:t xml:space="preserve">La Unidad </w:t>
      </w:r>
      <w:r w:rsidRPr="00B57E80">
        <w:rPr>
          <w:rFonts w:ascii="Verdana" w:eastAsia="Times New Roman" w:hAnsi="Verdana" w:cs="Arial"/>
          <w:sz w:val="24"/>
          <w:szCs w:val="24"/>
          <w:lang w:val="es-ES_tradnl" w:eastAsia="ja-JP"/>
        </w:rPr>
        <w:t>implementa a su vez, acciones de erradicación manual forzosa en coordinación con las Fuerzas Militares y la Policía Nacional, esto ocurre gracias al apoyo logístico que se brinda por medio de los Grupos Móviles de Erradicación- GME.</w:t>
      </w:r>
    </w:p>
    <w:p w:rsidR="00B722F2" w:rsidRPr="00B57E80" w:rsidRDefault="00B722F2" w:rsidP="00B722F2">
      <w:pPr>
        <w:jc w:val="both"/>
        <w:rPr>
          <w:rFonts w:ascii="Verdana" w:hAnsi="Verdana" w:cs="Arial"/>
          <w:sz w:val="24"/>
          <w:szCs w:val="24"/>
        </w:rPr>
      </w:pPr>
      <w:r w:rsidRPr="00B57E80">
        <w:rPr>
          <w:rFonts w:ascii="Verdana" w:eastAsia="Calibri" w:hAnsi="Verdana" w:cs="Arial"/>
          <w:sz w:val="24"/>
          <w:szCs w:val="24"/>
        </w:rPr>
        <w:t xml:space="preserve">Durante la vigencia 2014 se acompañó la labor de 123 GME logrando la erradicación de 6.099 hectáreas de cultivos ilícitos en 73 municipios y 18 departamentos, generando a su vez un total de 3.998 empleos directos. </w:t>
      </w:r>
      <w:r w:rsidRPr="00B57E80">
        <w:rPr>
          <w:rFonts w:ascii="Verdana" w:hAnsi="Verdana" w:cs="Arial"/>
          <w:sz w:val="24"/>
          <w:szCs w:val="24"/>
        </w:rPr>
        <w:t>Para el 2015 la estrategia presenta entre otros retos, y contando con el apoyo de la Fuerza Pública para tal finalidad, la erradicación de</w:t>
      </w:r>
      <w:r w:rsidRPr="00B57E80">
        <w:rPr>
          <w:rFonts w:ascii="Verdana" w:hAnsi="Verdana" w:cs="Arial"/>
          <w:color w:val="FF0000"/>
          <w:sz w:val="24"/>
          <w:szCs w:val="24"/>
        </w:rPr>
        <w:t xml:space="preserve"> </w:t>
      </w:r>
      <w:r w:rsidRPr="00B57E80">
        <w:rPr>
          <w:rFonts w:ascii="Verdana" w:hAnsi="Verdana" w:cs="Arial"/>
          <w:sz w:val="24"/>
          <w:szCs w:val="24"/>
        </w:rPr>
        <w:t>6.900 hectáreas con la labor de 120 GME durante cuatro fases anuales, generando un total de 2.640 empleos directos.</w:t>
      </w:r>
    </w:p>
    <w:p w:rsidR="00B722F2" w:rsidRPr="00B57E80" w:rsidRDefault="00B722F2" w:rsidP="00B722F2">
      <w:pPr>
        <w:spacing w:after="0"/>
        <w:rPr>
          <w:rFonts w:ascii="Verdana" w:hAnsi="Verdana" w:cs="Arial"/>
          <w:color w:val="C0504D" w:themeColor="accent2"/>
          <w:sz w:val="24"/>
          <w:szCs w:val="24"/>
        </w:rPr>
      </w:pPr>
    </w:p>
    <w:p w:rsidR="00B722F2" w:rsidRPr="0046368D" w:rsidRDefault="00B722F2" w:rsidP="00B722F2">
      <w:pPr>
        <w:rPr>
          <w:rFonts w:ascii="Verdana" w:hAnsi="Verdana" w:cs="Arial"/>
          <w:color w:val="4F81BD" w:themeColor="accent1"/>
          <w:sz w:val="24"/>
          <w:szCs w:val="24"/>
        </w:rPr>
      </w:pPr>
      <w:r w:rsidRPr="0046368D">
        <w:rPr>
          <w:rFonts w:ascii="Verdana" w:hAnsi="Verdana" w:cs="Arial"/>
          <w:color w:val="4F81BD" w:themeColor="accent1"/>
          <w:sz w:val="24"/>
          <w:szCs w:val="24"/>
        </w:rPr>
        <w:t>Estrategia de Desarrollo Alternativo – DA</w:t>
      </w:r>
    </w:p>
    <w:p w:rsidR="00B722F2" w:rsidRPr="0046368D" w:rsidRDefault="00B722F2" w:rsidP="0046368D">
      <w:pPr>
        <w:jc w:val="both"/>
        <w:rPr>
          <w:rFonts w:ascii="Verdana" w:hAnsi="Verdana" w:cs="Arial"/>
          <w:color w:val="1F497D" w:themeColor="text2"/>
          <w:sz w:val="24"/>
          <w:szCs w:val="24"/>
          <w:u w:val="single"/>
        </w:rPr>
      </w:pPr>
      <w:r w:rsidRPr="0046368D">
        <w:rPr>
          <w:rFonts w:ascii="Verdana" w:hAnsi="Verdana" w:cs="Arial"/>
          <w:color w:val="1F497D" w:themeColor="text2"/>
          <w:sz w:val="24"/>
          <w:szCs w:val="24"/>
          <w:u w:val="single"/>
        </w:rPr>
        <w:t>Modelo de Posterradicación y Contención: Familias Guardabosques para la Prosperidad</w:t>
      </w:r>
    </w:p>
    <w:p w:rsidR="00B722F2" w:rsidRPr="00B57E80" w:rsidRDefault="00B722F2" w:rsidP="00B722F2">
      <w:pPr>
        <w:jc w:val="both"/>
        <w:rPr>
          <w:rFonts w:ascii="Verdana" w:eastAsia="Calibri" w:hAnsi="Verdana" w:cs="Arial"/>
          <w:sz w:val="24"/>
          <w:szCs w:val="24"/>
        </w:rPr>
      </w:pPr>
      <w:r w:rsidRPr="00B57E80">
        <w:rPr>
          <w:rFonts w:ascii="Verdana" w:eastAsia="Calibri" w:hAnsi="Verdana" w:cs="Arial"/>
          <w:sz w:val="24"/>
          <w:szCs w:val="24"/>
        </w:rPr>
        <w:t>Este modelo busca la atención de familias ubicadas en territorios focalizados y priorizados por la UACT, buscando generar condiciones para el desarrollo de economías rurales lícitas y sostenibles, en las que el tránsito hacia la cultura de la legalidad sea una realidad para estos colectivos poblacionales. Durante el 2014 por medio de este modelo f</w:t>
      </w:r>
      <w:r w:rsidR="0046368D">
        <w:rPr>
          <w:rFonts w:ascii="Verdana" w:eastAsia="Calibri" w:hAnsi="Verdana" w:cs="Arial"/>
          <w:sz w:val="24"/>
          <w:szCs w:val="24"/>
        </w:rPr>
        <w:t>ueron atendidas 45.129 familias</w:t>
      </w:r>
      <w:r w:rsidRPr="00B57E80">
        <w:rPr>
          <w:rFonts w:ascii="Verdana" w:eastAsia="Calibri" w:hAnsi="Verdana" w:cs="Arial"/>
          <w:sz w:val="24"/>
          <w:szCs w:val="24"/>
        </w:rPr>
        <w:t>. Para el 2015 se estima una intervención con 10.000 familias ubicadas en 44 municipios de 10 departamentos.</w:t>
      </w:r>
    </w:p>
    <w:p w:rsidR="00B722F2" w:rsidRPr="0046368D" w:rsidRDefault="00B722F2" w:rsidP="00B722F2">
      <w:pPr>
        <w:jc w:val="center"/>
        <w:rPr>
          <w:rFonts w:ascii="Verdana" w:hAnsi="Verdana"/>
          <w:color w:val="4F81BD" w:themeColor="accent1"/>
          <w:sz w:val="24"/>
          <w:szCs w:val="24"/>
        </w:rPr>
      </w:pPr>
      <w:r w:rsidRPr="0046368D">
        <w:rPr>
          <w:rFonts w:ascii="Verdana" w:eastAsia="Calibri" w:hAnsi="Verdana" w:cs="Arial"/>
          <w:color w:val="4F81BD" w:themeColor="accent1"/>
          <w:sz w:val="20"/>
          <w:szCs w:val="24"/>
        </w:rPr>
        <w:t>Resultados Modelo de Posterradicación Y Contención</w:t>
      </w:r>
    </w:p>
    <w:tbl>
      <w:tblPr>
        <w:tblW w:w="5000" w:type="pct"/>
        <w:jc w:val="center"/>
        <w:tblCellMar>
          <w:left w:w="70" w:type="dxa"/>
          <w:right w:w="70" w:type="dxa"/>
        </w:tblCellMar>
        <w:tblLook w:val="04A0"/>
      </w:tblPr>
      <w:tblGrid>
        <w:gridCol w:w="3172"/>
        <w:gridCol w:w="2015"/>
        <w:gridCol w:w="1541"/>
        <w:gridCol w:w="3438"/>
      </w:tblGrid>
      <w:tr w:rsidR="00B722F2" w:rsidRPr="00B57E80" w:rsidTr="00733405">
        <w:trPr>
          <w:trHeight w:val="315"/>
          <w:jc w:val="center"/>
        </w:trPr>
        <w:tc>
          <w:tcPr>
            <w:tcW w:w="1560" w:type="pct"/>
            <w:tcBorders>
              <w:top w:val="nil"/>
              <w:left w:val="nil"/>
              <w:bottom w:val="single" w:sz="12" w:space="0" w:color="FFFFFF"/>
              <w:right w:val="single" w:sz="4" w:space="0" w:color="FFFFFF"/>
            </w:tcBorders>
            <w:shd w:val="clear" w:color="5B9BD5" w:fill="5B9BD5"/>
            <w:noWrap/>
            <w:vAlign w:val="bottom"/>
            <w:hideMark/>
          </w:tcPr>
          <w:p w:rsidR="00B722F2" w:rsidRPr="00B57E80" w:rsidRDefault="00B722F2" w:rsidP="00B722F2">
            <w:pPr>
              <w:spacing w:after="0" w:line="240" w:lineRule="auto"/>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DEPARTAMENTOS</w:t>
            </w:r>
          </w:p>
        </w:tc>
        <w:tc>
          <w:tcPr>
            <w:tcW w:w="991" w:type="pct"/>
            <w:tcBorders>
              <w:top w:val="nil"/>
              <w:left w:val="nil"/>
              <w:bottom w:val="single" w:sz="12" w:space="0" w:color="FFFFFF"/>
              <w:right w:val="single" w:sz="4" w:space="0" w:color="FFFFFF"/>
            </w:tcBorders>
            <w:shd w:val="clear" w:color="5B9BD5" w:fill="5B9BD5"/>
            <w:noWrap/>
            <w:vAlign w:val="bottom"/>
            <w:hideMark/>
          </w:tcPr>
          <w:p w:rsidR="00B722F2" w:rsidRPr="00B57E80" w:rsidRDefault="00B722F2" w:rsidP="00B722F2">
            <w:pPr>
              <w:spacing w:after="0" w:line="240" w:lineRule="auto"/>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 xml:space="preserve"> MUNICIPIOS</w:t>
            </w:r>
          </w:p>
        </w:tc>
        <w:tc>
          <w:tcPr>
            <w:tcW w:w="758" w:type="pct"/>
            <w:tcBorders>
              <w:top w:val="nil"/>
              <w:left w:val="nil"/>
              <w:bottom w:val="single" w:sz="12" w:space="0" w:color="FFFFFF"/>
              <w:right w:val="single" w:sz="4" w:space="0" w:color="FFFFFF"/>
            </w:tcBorders>
            <w:shd w:val="clear" w:color="5B9BD5" w:fill="5B9BD5"/>
            <w:noWrap/>
            <w:vAlign w:val="bottom"/>
            <w:hideMark/>
          </w:tcPr>
          <w:p w:rsidR="00B722F2" w:rsidRPr="00B57E80" w:rsidRDefault="00B722F2" w:rsidP="00B722F2">
            <w:pPr>
              <w:spacing w:after="0" w:line="240" w:lineRule="auto"/>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 xml:space="preserve"> VEREDAS</w:t>
            </w:r>
          </w:p>
        </w:tc>
        <w:tc>
          <w:tcPr>
            <w:tcW w:w="1691" w:type="pct"/>
            <w:tcBorders>
              <w:top w:val="nil"/>
              <w:left w:val="nil"/>
              <w:bottom w:val="single" w:sz="12" w:space="0" w:color="FFFFFF"/>
              <w:right w:val="single" w:sz="4" w:space="0" w:color="FFFFFF"/>
            </w:tcBorders>
            <w:shd w:val="clear" w:color="5B9BD5" w:fill="5B9BD5"/>
            <w:noWrap/>
            <w:vAlign w:val="bottom"/>
            <w:hideMark/>
          </w:tcPr>
          <w:p w:rsidR="00B722F2" w:rsidRPr="00B57E80" w:rsidRDefault="00B722F2" w:rsidP="00B722F2">
            <w:pPr>
              <w:spacing w:after="0" w:line="240" w:lineRule="auto"/>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 xml:space="preserve">FAMILIAS ATENDIDAS </w:t>
            </w:r>
          </w:p>
        </w:tc>
      </w:tr>
      <w:tr w:rsidR="00B722F2" w:rsidRPr="00B57E80" w:rsidTr="00733405">
        <w:trPr>
          <w:trHeight w:val="315"/>
          <w:jc w:val="center"/>
        </w:trPr>
        <w:tc>
          <w:tcPr>
            <w:tcW w:w="1560" w:type="pct"/>
            <w:tcBorders>
              <w:top w:val="single" w:sz="4" w:space="0" w:color="FFFFFF"/>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ANTIOQUIA</w:t>
            </w:r>
          </w:p>
        </w:tc>
        <w:tc>
          <w:tcPr>
            <w:tcW w:w="991" w:type="pct"/>
            <w:tcBorders>
              <w:top w:val="single" w:sz="4" w:space="0" w:color="FFFFFF"/>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18</w:t>
            </w:r>
          </w:p>
        </w:tc>
        <w:tc>
          <w:tcPr>
            <w:tcW w:w="758" w:type="pct"/>
            <w:tcBorders>
              <w:top w:val="single" w:sz="4" w:space="0" w:color="FFFFFF"/>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124</w:t>
            </w:r>
          </w:p>
        </w:tc>
        <w:tc>
          <w:tcPr>
            <w:tcW w:w="1691" w:type="pct"/>
            <w:tcBorders>
              <w:top w:val="single" w:sz="4" w:space="0" w:color="FFFFFF"/>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3357</w:t>
            </w:r>
          </w:p>
        </w:tc>
      </w:tr>
      <w:tr w:rsidR="00B722F2" w:rsidRPr="00B57E80" w:rsidTr="00733405">
        <w:trPr>
          <w:trHeight w:val="300"/>
          <w:jc w:val="center"/>
        </w:trPr>
        <w:tc>
          <w:tcPr>
            <w:tcW w:w="1560" w:type="pct"/>
            <w:tcBorders>
              <w:top w:val="nil"/>
              <w:left w:val="nil"/>
              <w:bottom w:val="single" w:sz="4" w:space="0" w:color="FFFFFF"/>
              <w:right w:val="single" w:sz="4" w:space="0" w:color="FFFFFF"/>
            </w:tcBorders>
            <w:shd w:val="clear" w:color="DDEBF7" w:fill="DDEBF7"/>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BOLÍVAR</w:t>
            </w:r>
          </w:p>
        </w:tc>
        <w:tc>
          <w:tcPr>
            <w:tcW w:w="991" w:type="pct"/>
            <w:tcBorders>
              <w:top w:val="nil"/>
              <w:left w:val="nil"/>
              <w:bottom w:val="single" w:sz="4" w:space="0" w:color="FFFFFF"/>
              <w:right w:val="single" w:sz="4" w:space="0" w:color="FFFFFF"/>
            </w:tcBorders>
            <w:shd w:val="clear" w:color="DDEBF7" w:fill="DDEBF7"/>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w:t>
            </w:r>
          </w:p>
        </w:tc>
        <w:tc>
          <w:tcPr>
            <w:tcW w:w="758" w:type="pct"/>
            <w:tcBorders>
              <w:top w:val="nil"/>
              <w:left w:val="nil"/>
              <w:bottom w:val="single" w:sz="4" w:space="0" w:color="FFFFFF"/>
              <w:right w:val="single" w:sz="4" w:space="0" w:color="FFFFFF"/>
            </w:tcBorders>
            <w:shd w:val="clear" w:color="DDEBF7" w:fill="DDEBF7"/>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18</w:t>
            </w:r>
          </w:p>
        </w:tc>
        <w:tc>
          <w:tcPr>
            <w:tcW w:w="1691" w:type="pct"/>
            <w:tcBorders>
              <w:top w:val="nil"/>
              <w:left w:val="nil"/>
              <w:bottom w:val="single" w:sz="4" w:space="0" w:color="FFFFFF"/>
              <w:right w:val="single" w:sz="4" w:space="0" w:color="FFFFFF"/>
            </w:tcBorders>
            <w:shd w:val="clear" w:color="DDEBF7" w:fill="DDEBF7"/>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585</w:t>
            </w:r>
          </w:p>
        </w:tc>
      </w:tr>
      <w:tr w:rsidR="00B722F2" w:rsidRPr="00B57E80" w:rsidTr="00733405">
        <w:trPr>
          <w:trHeight w:val="300"/>
          <w:jc w:val="center"/>
        </w:trPr>
        <w:tc>
          <w:tcPr>
            <w:tcW w:w="1560" w:type="pct"/>
            <w:tcBorders>
              <w:top w:val="nil"/>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CALDAS</w:t>
            </w:r>
          </w:p>
        </w:tc>
        <w:tc>
          <w:tcPr>
            <w:tcW w:w="991" w:type="pct"/>
            <w:tcBorders>
              <w:top w:val="nil"/>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2</w:t>
            </w:r>
          </w:p>
        </w:tc>
        <w:tc>
          <w:tcPr>
            <w:tcW w:w="758" w:type="pct"/>
            <w:tcBorders>
              <w:top w:val="nil"/>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88</w:t>
            </w:r>
          </w:p>
        </w:tc>
        <w:tc>
          <w:tcPr>
            <w:tcW w:w="1691" w:type="pct"/>
            <w:tcBorders>
              <w:top w:val="nil"/>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1712</w:t>
            </w:r>
          </w:p>
        </w:tc>
      </w:tr>
      <w:tr w:rsidR="00B722F2" w:rsidRPr="00B57E80" w:rsidTr="00733405">
        <w:trPr>
          <w:trHeight w:val="300"/>
          <w:jc w:val="center"/>
        </w:trPr>
        <w:tc>
          <w:tcPr>
            <w:tcW w:w="1560" w:type="pct"/>
            <w:tcBorders>
              <w:top w:val="nil"/>
              <w:left w:val="nil"/>
              <w:bottom w:val="single" w:sz="4" w:space="0" w:color="FFFFFF"/>
              <w:right w:val="single" w:sz="4" w:space="0" w:color="FFFFFF"/>
            </w:tcBorders>
            <w:shd w:val="clear" w:color="DDEBF7" w:fill="DDEBF7"/>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CAQUETÁ</w:t>
            </w:r>
          </w:p>
        </w:tc>
        <w:tc>
          <w:tcPr>
            <w:tcW w:w="991" w:type="pct"/>
            <w:tcBorders>
              <w:top w:val="nil"/>
              <w:left w:val="nil"/>
              <w:bottom w:val="single" w:sz="4" w:space="0" w:color="FFFFFF"/>
              <w:right w:val="single" w:sz="4" w:space="0" w:color="FFFFFF"/>
            </w:tcBorders>
            <w:shd w:val="clear" w:color="DDEBF7" w:fill="DDEBF7"/>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9</w:t>
            </w:r>
          </w:p>
        </w:tc>
        <w:tc>
          <w:tcPr>
            <w:tcW w:w="758" w:type="pct"/>
            <w:tcBorders>
              <w:top w:val="nil"/>
              <w:left w:val="nil"/>
              <w:bottom w:val="single" w:sz="4" w:space="0" w:color="FFFFFF"/>
              <w:right w:val="single" w:sz="4" w:space="0" w:color="FFFFFF"/>
            </w:tcBorders>
            <w:shd w:val="clear" w:color="DDEBF7" w:fill="DDEBF7"/>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118</w:t>
            </w:r>
          </w:p>
        </w:tc>
        <w:tc>
          <w:tcPr>
            <w:tcW w:w="1691" w:type="pct"/>
            <w:tcBorders>
              <w:top w:val="nil"/>
              <w:left w:val="nil"/>
              <w:bottom w:val="single" w:sz="4" w:space="0" w:color="FFFFFF"/>
              <w:right w:val="single" w:sz="4" w:space="0" w:color="FFFFFF"/>
            </w:tcBorders>
            <w:shd w:val="clear" w:color="DDEBF7" w:fill="DDEBF7"/>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1844</w:t>
            </w:r>
          </w:p>
        </w:tc>
      </w:tr>
      <w:tr w:rsidR="00B722F2" w:rsidRPr="00B57E80" w:rsidTr="00733405">
        <w:trPr>
          <w:trHeight w:val="300"/>
          <w:jc w:val="center"/>
        </w:trPr>
        <w:tc>
          <w:tcPr>
            <w:tcW w:w="1560" w:type="pct"/>
            <w:tcBorders>
              <w:top w:val="nil"/>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CAUCA</w:t>
            </w:r>
          </w:p>
        </w:tc>
        <w:tc>
          <w:tcPr>
            <w:tcW w:w="991" w:type="pct"/>
            <w:tcBorders>
              <w:top w:val="nil"/>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9</w:t>
            </w:r>
          </w:p>
        </w:tc>
        <w:tc>
          <w:tcPr>
            <w:tcW w:w="758" w:type="pct"/>
            <w:tcBorders>
              <w:top w:val="nil"/>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126</w:t>
            </w:r>
          </w:p>
        </w:tc>
        <w:tc>
          <w:tcPr>
            <w:tcW w:w="1691" w:type="pct"/>
            <w:tcBorders>
              <w:top w:val="nil"/>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5582</w:t>
            </w:r>
          </w:p>
        </w:tc>
      </w:tr>
      <w:tr w:rsidR="00B722F2" w:rsidRPr="00B57E80" w:rsidTr="00733405">
        <w:trPr>
          <w:trHeight w:val="300"/>
          <w:jc w:val="center"/>
        </w:trPr>
        <w:tc>
          <w:tcPr>
            <w:tcW w:w="1560" w:type="pct"/>
            <w:tcBorders>
              <w:top w:val="nil"/>
              <w:left w:val="nil"/>
              <w:bottom w:val="single" w:sz="4" w:space="0" w:color="FFFFFF"/>
              <w:right w:val="single" w:sz="4" w:space="0" w:color="FFFFFF"/>
            </w:tcBorders>
            <w:shd w:val="clear" w:color="DDEBF7" w:fill="DDEBF7"/>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CHOCÓ</w:t>
            </w:r>
          </w:p>
        </w:tc>
        <w:tc>
          <w:tcPr>
            <w:tcW w:w="991" w:type="pct"/>
            <w:tcBorders>
              <w:top w:val="nil"/>
              <w:left w:val="nil"/>
              <w:bottom w:val="single" w:sz="4" w:space="0" w:color="FFFFFF"/>
              <w:right w:val="single" w:sz="4" w:space="0" w:color="FFFFFF"/>
            </w:tcBorders>
            <w:shd w:val="clear" w:color="DDEBF7" w:fill="DDEBF7"/>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6</w:t>
            </w:r>
          </w:p>
        </w:tc>
        <w:tc>
          <w:tcPr>
            <w:tcW w:w="758" w:type="pct"/>
            <w:tcBorders>
              <w:top w:val="nil"/>
              <w:left w:val="nil"/>
              <w:bottom w:val="single" w:sz="4" w:space="0" w:color="FFFFFF"/>
              <w:right w:val="single" w:sz="4" w:space="0" w:color="FFFFFF"/>
            </w:tcBorders>
            <w:shd w:val="clear" w:color="DDEBF7" w:fill="DDEBF7"/>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62</w:t>
            </w:r>
          </w:p>
        </w:tc>
        <w:tc>
          <w:tcPr>
            <w:tcW w:w="1691" w:type="pct"/>
            <w:tcBorders>
              <w:top w:val="nil"/>
              <w:left w:val="nil"/>
              <w:bottom w:val="single" w:sz="4" w:space="0" w:color="FFFFFF"/>
              <w:right w:val="single" w:sz="4" w:space="0" w:color="FFFFFF"/>
            </w:tcBorders>
            <w:shd w:val="clear" w:color="DDEBF7" w:fill="DDEBF7"/>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1857</w:t>
            </w:r>
          </w:p>
        </w:tc>
      </w:tr>
      <w:tr w:rsidR="00B722F2" w:rsidRPr="00B57E80" w:rsidTr="00733405">
        <w:trPr>
          <w:trHeight w:val="300"/>
          <w:jc w:val="center"/>
        </w:trPr>
        <w:tc>
          <w:tcPr>
            <w:tcW w:w="1560" w:type="pct"/>
            <w:tcBorders>
              <w:top w:val="nil"/>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CÓRDOBA</w:t>
            </w:r>
          </w:p>
        </w:tc>
        <w:tc>
          <w:tcPr>
            <w:tcW w:w="991" w:type="pct"/>
            <w:tcBorders>
              <w:top w:val="nil"/>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7</w:t>
            </w:r>
          </w:p>
        </w:tc>
        <w:tc>
          <w:tcPr>
            <w:tcW w:w="758" w:type="pct"/>
            <w:tcBorders>
              <w:top w:val="nil"/>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55</w:t>
            </w:r>
          </w:p>
        </w:tc>
        <w:tc>
          <w:tcPr>
            <w:tcW w:w="1691" w:type="pct"/>
            <w:tcBorders>
              <w:top w:val="nil"/>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1697</w:t>
            </w:r>
          </w:p>
        </w:tc>
      </w:tr>
      <w:tr w:rsidR="00B722F2" w:rsidRPr="00B57E80" w:rsidTr="00733405">
        <w:trPr>
          <w:trHeight w:val="300"/>
          <w:jc w:val="center"/>
        </w:trPr>
        <w:tc>
          <w:tcPr>
            <w:tcW w:w="1560" w:type="pct"/>
            <w:tcBorders>
              <w:top w:val="nil"/>
              <w:left w:val="nil"/>
              <w:bottom w:val="single" w:sz="4" w:space="0" w:color="FFFFFF"/>
              <w:right w:val="single" w:sz="4" w:space="0" w:color="FFFFFF"/>
            </w:tcBorders>
            <w:shd w:val="clear" w:color="DDEBF7" w:fill="DDEBF7"/>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GUAVIARE</w:t>
            </w:r>
          </w:p>
        </w:tc>
        <w:tc>
          <w:tcPr>
            <w:tcW w:w="991" w:type="pct"/>
            <w:tcBorders>
              <w:top w:val="nil"/>
              <w:left w:val="nil"/>
              <w:bottom w:val="single" w:sz="4" w:space="0" w:color="FFFFFF"/>
              <w:right w:val="single" w:sz="4" w:space="0" w:color="FFFFFF"/>
            </w:tcBorders>
            <w:shd w:val="clear" w:color="DDEBF7" w:fill="DDEBF7"/>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5</w:t>
            </w:r>
          </w:p>
        </w:tc>
        <w:tc>
          <w:tcPr>
            <w:tcW w:w="758" w:type="pct"/>
            <w:tcBorders>
              <w:top w:val="nil"/>
              <w:left w:val="nil"/>
              <w:bottom w:val="single" w:sz="4" w:space="0" w:color="FFFFFF"/>
              <w:right w:val="single" w:sz="4" w:space="0" w:color="FFFFFF"/>
            </w:tcBorders>
            <w:shd w:val="clear" w:color="DDEBF7" w:fill="DDEBF7"/>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25</w:t>
            </w:r>
          </w:p>
        </w:tc>
        <w:tc>
          <w:tcPr>
            <w:tcW w:w="1691" w:type="pct"/>
            <w:tcBorders>
              <w:top w:val="nil"/>
              <w:left w:val="nil"/>
              <w:bottom w:val="single" w:sz="4" w:space="0" w:color="FFFFFF"/>
              <w:right w:val="single" w:sz="4" w:space="0" w:color="FFFFFF"/>
            </w:tcBorders>
            <w:shd w:val="clear" w:color="DDEBF7" w:fill="DDEBF7"/>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693</w:t>
            </w:r>
          </w:p>
        </w:tc>
      </w:tr>
      <w:tr w:rsidR="00B722F2" w:rsidRPr="00B57E80" w:rsidTr="00733405">
        <w:trPr>
          <w:trHeight w:val="300"/>
          <w:jc w:val="center"/>
        </w:trPr>
        <w:tc>
          <w:tcPr>
            <w:tcW w:w="1560" w:type="pct"/>
            <w:tcBorders>
              <w:top w:val="nil"/>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LA GUAJIRA</w:t>
            </w:r>
          </w:p>
        </w:tc>
        <w:tc>
          <w:tcPr>
            <w:tcW w:w="991" w:type="pct"/>
            <w:tcBorders>
              <w:top w:val="nil"/>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w:t>
            </w:r>
          </w:p>
        </w:tc>
        <w:tc>
          <w:tcPr>
            <w:tcW w:w="758" w:type="pct"/>
            <w:tcBorders>
              <w:top w:val="nil"/>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10</w:t>
            </w:r>
          </w:p>
        </w:tc>
        <w:tc>
          <w:tcPr>
            <w:tcW w:w="1691" w:type="pct"/>
            <w:tcBorders>
              <w:top w:val="nil"/>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374</w:t>
            </w:r>
          </w:p>
        </w:tc>
      </w:tr>
      <w:tr w:rsidR="00B722F2" w:rsidRPr="00B57E80" w:rsidTr="00733405">
        <w:trPr>
          <w:trHeight w:val="300"/>
          <w:jc w:val="center"/>
        </w:trPr>
        <w:tc>
          <w:tcPr>
            <w:tcW w:w="1560" w:type="pct"/>
            <w:tcBorders>
              <w:top w:val="nil"/>
              <w:left w:val="nil"/>
              <w:bottom w:val="single" w:sz="4" w:space="0" w:color="FFFFFF"/>
              <w:right w:val="single" w:sz="4" w:space="0" w:color="FFFFFF"/>
            </w:tcBorders>
            <w:shd w:val="clear" w:color="DDEBF7" w:fill="DDEBF7"/>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MAGDALENA</w:t>
            </w:r>
          </w:p>
        </w:tc>
        <w:tc>
          <w:tcPr>
            <w:tcW w:w="991" w:type="pct"/>
            <w:tcBorders>
              <w:top w:val="nil"/>
              <w:left w:val="nil"/>
              <w:bottom w:val="single" w:sz="4" w:space="0" w:color="FFFFFF"/>
              <w:right w:val="single" w:sz="4" w:space="0" w:color="FFFFFF"/>
            </w:tcBorders>
            <w:shd w:val="clear" w:color="DDEBF7" w:fill="DDEBF7"/>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4</w:t>
            </w:r>
          </w:p>
        </w:tc>
        <w:tc>
          <w:tcPr>
            <w:tcW w:w="758" w:type="pct"/>
            <w:tcBorders>
              <w:top w:val="nil"/>
              <w:left w:val="nil"/>
              <w:bottom w:val="single" w:sz="4" w:space="0" w:color="FFFFFF"/>
              <w:right w:val="single" w:sz="4" w:space="0" w:color="FFFFFF"/>
            </w:tcBorders>
            <w:shd w:val="clear" w:color="DDEBF7" w:fill="DDEBF7"/>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19</w:t>
            </w:r>
          </w:p>
        </w:tc>
        <w:tc>
          <w:tcPr>
            <w:tcW w:w="1691" w:type="pct"/>
            <w:tcBorders>
              <w:top w:val="nil"/>
              <w:left w:val="nil"/>
              <w:bottom w:val="single" w:sz="4" w:space="0" w:color="FFFFFF"/>
              <w:right w:val="single" w:sz="4" w:space="0" w:color="FFFFFF"/>
            </w:tcBorders>
            <w:shd w:val="clear" w:color="DDEBF7" w:fill="DDEBF7"/>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659</w:t>
            </w:r>
          </w:p>
        </w:tc>
      </w:tr>
      <w:tr w:rsidR="00B722F2" w:rsidRPr="00B57E80" w:rsidTr="00733405">
        <w:trPr>
          <w:trHeight w:val="300"/>
          <w:jc w:val="center"/>
        </w:trPr>
        <w:tc>
          <w:tcPr>
            <w:tcW w:w="1560" w:type="pct"/>
            <w:tcBorders>
              <w:top w:val="nil"/>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META</w:t>
            </w:r>
          </w:p>
        </w:tc>
        <w:tc>
          <w:tcPr>
            <w:tcW w:w="991" w:type="pct"/>
            <w:tcBorders>
              <w:top w:val="nil"/>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5</w:t>
            </w:r>
          </w:p>
        </w:tc>
        <w:tc>
          <w:tcPr>
            <w:tcW w:w="758" w:type="pct"/>
            <w:tcBorders>
              <w:top w:val="nil"/>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42</w:t>
            </w:r>
          </w:p>
        </w:tc>
        <w:tc>
          <w:tcPr>
            <w:tcW w:w="1691" w:type="pct"/>
            <w:tcBorders>
              <w:top w:val="nil"/>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978</w:t>
            </w:r>
          </w:p>
        </w:tc>
      </w:tr>
      <w:tr w:rsidR="00B722F2" w:rsidRPr="00B57E80" w:rsidTr="00733405">
        <w:trPr>
          <w:trHeight w:val="300"/>
          <w:jc w:val="center"/>
        </w:trPr>
        <w:tc>
          <w:tcPr>
            <w:tcW w:w="1560" w:type="pct"/>
            <w:tcBorders>
              <w:top w:val="nil"/>
              <w:left w:val="nil"/>
              <w:bottom w:val="single" w:sz="4" w:space="0" w:color="FFFFFF"/>
              <w:right w:val="single" w:sz="4" w:space="0" w:color="FFFFFF"/>
            </w:tcBorders>
            <w:shd w:val="clear" w:color="DDEBF7" w:fill="DDEBF7"/>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NARIÑO</w:t>
            </w:r>
          </w:p>
        </w:tc>
        <w:tc>
          <w:tcPr>
            <w:tcW w:w="991" w:type="pct"/>
            <w:tcBorders>
              <w:top w:val="nil"/>
              <w:left w:val="nil"/>
              <w:bottom w:val="single" w:sz="4" w:space="0" w:color="FFFFFF"/>
              <w:right w:val="single" w:sz="4" w:space="0" w:color="FFFFFF"/>
            </w:tcBorders>
            <w:shd w:val="clear" w:color="DDEBF7" w:fill="DDEBF7"/>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20</w:t>
            </w:r>
          </w:p>
        </w:tc>
        <w:tc>
          <w:tcPr>
            <w:tcW w:w="758" w:type="pct"/>
            <w:tcBorders>
              <w:top w:val="nil"/>
              <w:left w:val="nil"/>
              <w:bottom w:val="single" w:sz="4" w:space="0" w:color="FFFFFF"/>
              <w:right w:val="single" w:sz="4" w:space="0" w:color="FFFFFF"/>
            </w:tcBorders>
            <w:shd w:val="clear" w:color="DDEBF7" w:fill="DDEBF7"/>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315</w:t>
            </w:r>
          </w:p>
        </w:tc>
        <w:tc>
          <w:tcPr>
            <w:tcW w:w="1691" w:type="pct"/>
            <w:tcBorders>
              <w:top w:val="nil"/>
              <w:left w:val="nil"/>
              <w:bottom w:val="single" w:sz="4" w:space="0" w:color="FFFFFF"/>
              <w:right w:val="single" w:sz="4" w:space="0" w:color="FFFFFF"/>
            </w:tcBorders>
            <w:shd w:val="clear" w:color="DDEBF7" w:fill="DDEBF7"/>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16046</w:t>
            </w:r>
          </w:p>
        </w:tc>
      </w:tr>
      <w:tr w:rsidR="00B722F2" w:rsidRPr="00B57E80" w:rsidTr="00733405">
        <w:trPr>
          <w:trHeight w:val="300"/>
          <w:jc w:val="center"/>
        </w:trPr>
        <w:tc>
          <w:tcPr>
            <w:tcW w:w="1560" w:type="pct"/>
            <w:tcBorders>
              <w:top w:val="nil"/>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NARIÑO C</w:t>
            </w:r>
          </w:p>
        </w:tc>
        <w:tc>
          <w:tcPr>
            <w:tcW w:w="991" w:type="pct"/>
            <w:tcBorders>
              <w:top w:val="nil"/>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w:t>
            </w:r>
          </w:p>
        </w:tc>
        <w:tc>
          <w:tcPr>
            <w:tcW w:w="758" w:type="pct"/>
            <w:tcBorders>
              <w:top w:val="nil"/>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5</w:t>
            </w:r>
          </w:p>
        </w:tc>
        <w:tc>
          <w:tcPr>
            <w:tcW w:w="1691" w:type="pct"/>
            <w:tcBorders>
              <w:top w:val="nil"/>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578</w:t>
            </w:r>
          </w:p>
        </w:tc>
      </w:tr>
      <w:tr w:rsidR="00B722F2" w:rsidRPr="00B57E80" w:rsidTr="00733405">
        <w:trPr>
          <w:trHeight w:val="300"/>
          <w:jc w:val="center"/>
        </w:trPr>
        <w:tc>
          <w:tcPr>
            <w:tcW w:w="1560" w:type="pct"/>
            <w:tcBorders>
              <w:top w:val="nil"/>
              <w:left w:val="nil"/>
              <w:bottom w:val="single" w:sz="4" w:space="0" w:color="FFFFFF"/>
              <w:right w:val="single" w:sz="4" w:space="0" w:color="FFFFFF"/>
            </w:tcBorders>
            <w:shd w:val="clear" w:color="DDEBF7" w:fill="DDEBF7"/>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NORTE DE SANTANDER</w:t>
            </w:r>
          </w:p>
        </w:tc>
        <w:tc>
          <w:tcPr>
            <w:tcW w:w="991" w:type="pct"/>
            <w:tcBorders>
              <w:top w:val="nil"/>
              <w:left w:val="nil"/>
              <w:bottom w:val="single" w:sz="4" w:space="0" w:color="FFFFFF"/>
              <w:right w:val="single" w:sz="4" w:space="0" w:color="FFFFFF"/>
            </w:tcBorders>
            <w:shd w:val="clear" w:color="DDEBF7" w:fill="DDEBF7"/>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9</w:t>
            </w:r>
          </w:p>
        </w:tc>
        <w:tc>
          <w:tcPr>
            <w:tcW w:w="758" w:type="pct"/>
            <w:tcBorders>
              <w:top w:val="nil"/>
              <w:left w:val="nil"/>
              <w:bottom w:val="single" w:sz="4" w:space="0" w:color="FFFFFF"/>
              <w:right w:val="single" w:sz="4" w:space="0" w:color="FFFFFF"/>
            </w:tcBorders>
            <w:shd w:val="clear" w:color="DDEBF7" w:fill="DDEBF7"/>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94</w:t>
            </w:r>
          </w:p>
        </w:tc>
        <w:tc>
          <w:tcPr>
            <w:tcW w:w="1691" w:type="pct"/>
            <w:tcBorders>
              <w:top w:val="nil"/>
              <w:left w:val="nil"/>
              <w:bottom w:val="single" w:sz="4" w:space="0" w:color="FFFFFF"/>
              <w:right w:val="single" w:sz="4" w:space="0" w:color="FFFFFF"/>
            </w:tcBorders>
            <w:shd w:val="clear" w:color="DDEBF7" w:fill="DDEBF7"/>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2855</w:t>
            </w:r>
          </w:p>
        </w:tc>
      </w:tr>
      <w:tr w:rsidR="00B722F2" w:rsidRPr="00B57E80" w:rsidTr="00733405">
        <w:trPr>
          <w:trHeight w:val="300"/>
          <w:jc w:val="center"/>
        </w:trPr>
        <w:tc>
          <w:tcPr>
            <w:tcW w:w="1560" w:type="pct"/>
            <w:tcBorders>
              <w:top w:val="nil"/>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PUTUMAYO</w:t>
            </w:r>
          </w:p>
        </w:tc>
        <w:tc>
          <w:tcPr>
            <w:tcW w:w="991" w:type="pct"/>
            <w:tcBorders>
              <w:top w:val="nil"/>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10</w:t>
            </w:r>
          </w:p>
        </w:tc>
        <w:tc>
          <w:tcPr>
            <w:tcW w:w="758" w:type="pct"/>
            <w:tcBorders>
              <w:top w:val="nil"/>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138</w:t>
            </w:r>
          </w:p>
        </w:tc>
        <w:tc>
          <w:tcPr>
            <w:tcW w:w="1691" w:type="pct"/>
            <w:tcBorders>
              <w:top w:val="nil"/>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5231</w:t>
            </w:r>
          </w:p>
        </w:tc>
      </w:tr>
      <w:tr w:rsidR="00B722F2" w:rsidRPr="00B57E80" w:rsidTr="00733405">
        <w:trPr>
          <w:trHeight w:val="300"/>
          <w:jc w:val="center"/>
        </w:trPr>
        <w:tc>
          <w:tcPr>
            <w:tcW w:w="1560" w:type="pct"/>
            <w:tcBorders>
              <w:top w:val="nil"/>
              <w:left w:val="nil"/>
              <w:bottom w:val="single" w:sz="4" w:space="0" w:color="FFFFFF"/>
              <w:right w:val="single" w:sz="4" w:space="0" w:color="FFFFFF"/>
            </w:tcBorders>
            <w:shd w:val="clear" w:color="DDEBF7" w:fill="DDEBF7"/>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SANTANDER</w:t>
            </w:r>
          </w:p>
        </w:tc>
        <w:tc>
          <w:tcPr>
            <w:tcW w:w="991" w:type="pct"/>
            <w:tcBorders>
              <w:top w:val="nil"/>
              <w:left w:val="nil"/>
              <w:bottom w:val="single" w:sz="4" w:space="0" w:color="FFFFFF"/>
              <w:right w:val="single" w:sz="4" w:space="0" w:color="FFFFFF"/>
            </w:tcBorders>
            <w:shd w:val="clear" w:color="DDEBF7" w:fill="DDEBF7"/>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3</w:t>
            </w:r>
          </w:p>
        </w:tc>
        <w:tc>
          <w:tcPr>
            <w:tcW w:w="758" w:type="pct"/>
            <w:tcBorders>
              <w:top w:val="nil"/>
              <w:left w:val="nil"/>
              <w:bottom w:val="single" w:sz="4" w:space="0" w:color="FFFFFF"/>
              <w:right w:val="single" w:sz="4" w:space="0" w:color="FFFFFF"/>
            </w:tcBorders>
            <w:shd w:val="clear" w:color="DDEBF7" w:fill="DDEBF7"/>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37</w:t>
            </w:r>
          </w:p>
        </w:tc>
        <w:tc>
          <w:tcPr>
            <w:tcW w:w="1691" w:type="pct"/>
            <w:tcBorders>
              <w:top w:val="nil"/>
              <w:left w:val="nil"/>
              <w:bottom w:val="single" w:sz="4" w:space="0" w:color="FFFFFF"/>
              <w:right w:val="single" w:sz="4" w:space="0" w:color="FFFFFF"/>
            </w:tcBorders>
            <w:shd w:val="clear" w:color="DDEBF7" w:fill="DDEBF7"/>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1081</w:t>
            </w:r>
          </w:p>
        </w:tc>
      </w:tr>
      <w:tr w:rsidR="00B722F2" w:rsidRPr="00B57E80" w:rsidTr="00733405">
        <w:trPr>
          <w:trHeight w:val="300"/>
          <w:jc w:val="center"/>
        </w:trPr>
        <w:tc>
          <w:tcPr>
            <w:tcW w:w="1560" w:type="pct"/>
            <w:tcBorders>
              <w:top w:val="nil"/>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rPr>
                <w:rFonts w:ascii="Verdana" w:eastAsia="Times New Roman" w:hAnsi="Verdana" w:cs="Times New Roman"/>
                <w:b/>
                <w:bCs/>
                <w:color w:val="000000"/>
                <w:sz w:val="16"/>
                <w:szCs w:val="16"/>
                <w:lang w:eastAsia="es-CO"/>
              </w:rPr>
            </w:pPr>
            <w:r w:rsidRPr="00B57E80">
              <w:rPr>
                <w:rFonts w:ascii="Verdana" w:eastAsia="Times New Roman" w:hAnsi="Verdana" w:cs="Times New Roman"/>
                <w:b/>
                <w:bCs/>
                <w:color w:val="000000"/>
                <w:sz w:val="16"/>
                <w:szCs w:val="16"/>
                <w:lang w:eastAsia="es-CO"/>
              </w:rPr>
              <w:t>Total general</w:t>
            </w:r>
          </w:p>
        </w:tc>
        <w:tc>
          <w:tcPr>
            <w:tcW w:w="991" w:type="pct"/>
            <w:tcBorders>
              <w:top w:val="nil"/>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jc w:val="right"/>
              <w:rPr>
                <w:rFonts w:ascii="Verdana" w:eastAsia="Times New Roman" w:hAnsi="Verdana" w:cs="Times New Roman"/>
                <w:b/>
                <w:bCs/>
                <w:color w:val="000000"/>
                <w:sz w:val="16"/>
                <w:szCs w:val="16"/>
                <w:lang w:eastAsia="es-CO"/>
              </w:rPr>
            </w:pPr>
            <w:r w:rsidRPr="00B57E80">
              <w:rPr>
                <w:rFonts w:ascii="Verdana" w:eastAsia="Times New Roman" w:hAnsi="Verdana" w:cs="Times New Roman"/>
                <w:b/>
                <w:bCs/>
                <w:color w:val="000000"/>
                <w:sz w:val="16"/>
                <w:szCs w:val="16"/>
                <w:lang w:eastAsia="es-CO"/>
              </w:rPr>
              <w:t>110</w:t>
            </w:r>
          </w:p>
        </w:tc>
        <w:tc>
          <w:tcPr>
            <w:tcW w:w="758" w:type="pct"/>
            <w:tcBorders>
              <w:top w:val="nil"/>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jc w:val="right"/>
              <w:rPr>
                <w:rFonts w:ascii="Verdana" w:eastAsia="Times New Roman" w:hAnsi="Verdana" w:cs="Times New Roman"/>
                <w:b/>
                <w:bCs/>
                <w:color w:val="000000"/>
                <w:sz w:val="16"/>
                <w:szCs w:val="16"/>
                <w:lang w:eastAsia="es-CO"/>
              </w:rPr>
            </w:pPr>
            <w:r w:rsidRPr="00B57E80">
              <w:rPr>
                <w:rFonts w:ascii="Verdana" w:eastAsia="Times New Roman" w:hAnsi="Verdana" w:cs="Times New Roman"/>
                <w:b/>
                <w:bCs/>
                <w:color w:val="000000"/>
                <w:sz w:val="16"/>
                <w:szCs w:val="16"/>
                <w:lang w:eastAsia="es-CO"/>
              </w:rPr>
              <w:t>1276</w:t>
            </w:r>
          </w:p>
        </w:tc>
        <w:tc>
          <w:tcPr>
            <w:tcW w:w="1691" w:type="pct"/>
            <w:tcBorders>
              <w:top w:val="nil"/>
              <w:left w:val="nil"/>
              <w:bottom w:val="single" w:sz="4" w:space="0" w:color="FFFFFF"/>
              <w:right w:val="single" w:sz="4" w:space="0" w:color="FFFFFF"/>
            </w:tcBorders>
            <w:shd w:val="clear" w:color="BDD7EE" w:fill="BDD7EE"/>
            <w:noWrap/>
            <w:vAlign w:val="bottom"/>
            <w:hideMark/>
          </w:tcPr>
          <w:p w:rsidR="00B722F2" w:rsidRPr="00B57E80" w:rsidRDefault="00B722F2" w:rsidP="00B722F2">
            <w:pPr>
              <w:spacing w:after="0" w:line="240" w:lineRule="auto"/>
              <w:jc w:val="right"/>
              <w:rPr>
                <w:rFonts w:ascii="Verdana" w:eastAsia="Times New Roman" w:hAnsi="Verdana" w:cs="Times New Roman"/>
                <w:b/>
                <w:bCs/>
                <w:color w:val="000000"/>
                <w:sz w:val="16"/>
                <w:szCs w:val="16"/>
                <w:lang w:eastAsia="es-CO"/>
              </w:rPr>
            </w:pPr>
            <w:r w:rsidRPr="00B57E80">
              <w:rPr>
                <w:rFonts w:ascii="Verdana" w:eastAsia="Times New Roman" w:hAnsi="Verdana" w:cs="Times New Roman"/>
                <w:b/>
                <w:bCs/>
                <w:color w:val="000000"/>
                <w:sz w:val="16"/>
                <w:szCs w:val="16"/>
                <w:lang w:eastAsia="es-CO"/>
              </w:rPr>
              <w:t>45129</w:t>
            </w:r>
          </w:p>
        </w:tc>
      </w:tr>
    </w:tbl>
    <w:p w:rsidR="00B722F2" w:rsidRPr="00B57E80" w:rsidRDefault="00B722F2" w:rsidP="00B722F2">
      <w:pPr>
        <w:spacing w:after="0"/>
        <w:jc w:val="both"/>
        <w:rPr>
          <w:rFonts w:ascii="Verdana" w:eastAsia="Calibri" w:hAnsi="Verdana" w:cs="Arial"/>
          <w:sz w:val="24"/>
          <w:szCs w:val="24"/>
          <w:u w:val="single"/>
        </w:rPr>
      </w:pPr>
    </w:p>
    <w:p w:rsidR="00B722F2" w:rsidRPr="0046368D" w:rsidRDefault="00B722F2" w:rsidP="00B722F2">
      <w:pPr>
        <w:spacing w:after="0"/>
        <w:jc w:val="both"/>
        <w:rPr>
          <w:rFonts w:ascii="Verdana" w:eastAsia="Calibri" w:hAnsi="Verdana" w:cs="Arial"/>
          <w:color w:val="4F81BD" w:themeColor="accent1"/>
          <w:sz w:val="24"/>
          <w:szCs w:val="24"/>
          <w:u w:val="single"/>
        </w:rPr>
      </w:pPr>
      <w:r w:rsidRPr="0046368D">
        <w:rPr>
          <w:rFonts w:ascii="Verdana" w:eastAsia="Calibri" w:hAnsi="Verdana" w:cs="Arial"/>
          <w:color w:val="4F81BD" w:themeColor="accent1"/>
          <w:sz w:val="24"/>
          <w:szCs w:val="24"/>
          <w:u w:val="single"/>
        </w:rPr>
        <w:t>Modelo de Graduación</w:t>
      </w:r>
    </w:p>
    <w:p w:rsidR="00B722F2" w:rsidRPr="00B57E80" w:rsidRDefault="00B722F2" w:rsidP="00B722F2">
      <w:pPr>
        <w:spacing w:after="0"/>
        <w:jc w:val="both"/>
        <w:rPr>
          <w:rFonts w:ascii="Verdana" w:eastAsia="Calibri" w:hAnsi="Verdana" w:cs="Arial"/>
          <w:sz w:val="24"/>
          <w:szCs w:val="24"/>
          <w:u w:val="single"/>
        </w:rPr>
      </w:pPr>
    </w:p>
    <w:p w:rsidR="00B722F2" w:rsidRPr="00B57E80" w:rsidRDefault="00B722F2" w:rsidP="00B722F2">
      <w:pPr>
        <w:jc w:val="both"/>
        <w:rPr>
          <w:rFonts w:ascii="Verdana" w:eastAsia="Calibri" w:hAnsi="Verdana" w:cs="Arial"/>
          <w:sz w:val="24"/>
          <w:szCs w:val="24"/>
        </w:rPr>
      </w:pPr>
      <w:r w:rsidRPr="00B57E80">
        <w:rPr>
          <w:rFonts w:ascii="Verdana" w:hAnsi="Verdana"/>
          <w:sz w:val="24"/>
          <w:szCs w:val="24"/>
          <w:lang w:val="es-MX"/>
        </w:rPr>
        <w:t xml:space="preserve">El Modelo de Graduación </w:t>
      </w:r>
      <w:r w:rsidRPr="00B57E80">
        <w:rPr>
          <w:rFonts w:ascii="Verdana" w:hAnsi="Verdana"/>
          <w:sz w:val="24"/>
          <w:szCs w:val="24"/>
        </w:rPr>
        <w:t>tiene como propósito consolidar organizaciones de productores que se han creado y/o fortalecido a partir de la implementación de los programas contra cultivos ilícitos en Colombia.</w:t>
      </w:r>
    </w:p>
    <w:p w:rsidR="00B722F2" w:rsidRPr="00B57E80" w:rsidRDefault="00B722F2" w:rsidP="00B722F2">
      <w:pPr>
        <w:jc w:val="both"/>
        <w:rPr>
          <w:rFonts w:ascii="Verdana" w:eastAsia="Calibri" w:hAnsi="Verdana" w:cs="Arial"/>
          <w:sz w:val="24"/>
          <w:szCs w:val="24"/>
        </w:rPr>
      </w:pPr>
      <w:r w:rsidRPr="00B57E80">
        <w:rPr>
          <w:rFonts w:ascii="Verdana" w:eastAsia="Calibri" w:hAnsi="Verdana" w:cs="Arial"/>
          <w:sz w:val="24"/>
          <w:szCs w:val="24"/>
        </w:rPr>
        <w:t xml:space="preserve">En el 2014 el Modelo de Graduación atendió a 65 organizaciones con proyectos productivos agropecuarios con una inversión de $ 8.588 millones de pesos, adicionalmente se financiaron 16 proyectos con igual número de organizaciones que se financiaron en conjunto con el Programa Alianzas Productivas del Ministerio de Agricultura y Desarrollo Rural, representando esto una inversión de $ 1.344 millones de pesos por parte de la UACT. </w:t>
      </w:r>
    </w:p>
    <w:p w:rsidR="00B722F2" w:rsidRPr="00B57E80" w:rsidRDefault="00B722F2" w:rsidP="00B722F2">
      <w:pPr>
        <w:jc w:val="both"/>
        <w:rPr>
          <w:rFonts w:ascii="Verdana" w:hAnsi="Verdana"/>
          <w:sz w:val="24"/>
          <w:szCs w:val="24"/>
        </w:rPr>
      </w:pPr>
      <w:r w:rsidRPr="00B57E80">
        <w:rPr>
          <w:rFonts w:ascii="Verdana" w:eastAsia="Calibri" w:hAnsi="Verdana" w:cs="Arial"/>
          <w:sz w:val="24"/>
          <w:szCs w:val="24"/>
        </w:rPr>
        <w:t xml:space="preserve">De igual forma y a través de la Cooperación Internacional, USAID- Programa </w:t>
      </w:r>
      <w:r w:rsidRPr="00B57E80">
        <w:rPr>
          <w:rFonts w:ascii="Verdana" w:hAnsi="Verdana"/>
          <w:sz w:val="24"/>
          <w:szCs w:val="24"/>
        </w:rPr>
        <w:t>para Afro descendientes e Indígenas,</w:t>
      </w:r>
      <w:r w:rsidRPr="00B57E80">
        <w:rPr>
          <w:rStyle w:val="apple-converted-space"/>
          <w:rFonts w:ascii="Verdana" w:hAnsi="Verdana"/>
          <w:sz w:val="26"/>
          <w:szCs w:val="26"/>
        </w:rPr>
        <w:t> </w:t>
      </w:r>
      <w:r w:rsidRPr="00B57E80">
        <w:rPr>
          <w:rStyle w:val="apple-converted-space"/>
          <w:rFonts w:ascii="Verdana" w:hAnsi="Verdana"/>
          <w:sz w:val="24"/>
          <w:szCs w:val="24"/>
        </w:rPr>
        <w:t>se ha logrado</w:t>
      </w:r>
      <w:r w:rsidRPr="00B57E80">
        <w:rPr>
          <w:rFonts w:ascii="Verdana" w:hAnsi="Verdana"/>
          <w:sz w:val="24"/>
          <w:szCs w:val="24"/>
        </w:rPr>
        <w:t xml:space="preserve"> apoyar a 4 consejos comunitarios en el municipio de Timbiquí, Cauca con $ 250 millones de pesos por parte de la UACT, para la reconciliación y construcción de tejido social, articulado a la atención de Familias Guardabosques para la Prosperidad. </w:t>
      </w:r>
    </w:p>
    <w:p w:rsidR="00B722F2" w:rsidRPr="00B57E80" w:rsidRDefault="00B722F2" w:rsidP="00B722F2">
      <w:pPr>
        <w:jc w:val="both"/>
        <w:rPr>
          <w:rFonts w:ascii="Verdana" w:eastAsia="Calibri" w:hAnsi="Verdana" w:cs="Arial"/>
          <w:sz w:val="24"/>
          <w:szCs w:val="24"/>
        </w:rPr>
      </w:pPr>
      <w:r w:rsidRPr="00B57E80">
        <w:rPr>
          <w:rFonts w:ascii="Verdana" w:hAnsi="Verdana"/>
          <w:sz w:val="24"/>
          <w:szCs w:val="24"/>
        </w:rPr>
        <w:t xml:space="preserve">Por otro lado y con el programa USAID-BIORED, </w:t>
      </w:r>
      <w:r w:rsidRPr="00B57E80">
        <w:rPr>
          <w:rFonts w:ascii="Verdana" w:eastAsia="Calibri" w:hAnsi="Verdana" w:cs="Arial"/>
          <w:sz w:val="24"/>
          <w:szCs w:val="24"/>
        </w:rPr>
        <w:t>se ha logrado apoyar con $ 620 millones de pesos por parte de la UACT a 7 consejos comunitarios con el proyecto productivo de Naidí en los departamentos del Chocó y Valle del Cauca, y con el proyecto productivo de achiote se ha logrado apoyar a 5 consejos comunitarios con $ 215 millones de pesos por parte de la UACT en el departamento del Chocó, aunando así esfuerzos a la estrategia de Desarrollo Alternativo.</w:t>
      </w:r>
    </w:p>
    <w:p w:rsidR="00B722F2" w:rsidRPr="00B57E80" w:rsidRDefault="00B722F2" w:rsidP="00B722F2">
      <w:pPr>
        <w:jc w:val="both"/>
        <w:rPr>
          <w:rFonts w:ascii="Verdana" w:eastAsia="Calibri" w:hAnsi="Verdana" w:cs="Arial"/>
          <w:sz w:val="24"/>
          <w:szCs w:val="24"/>
        </w:rPr>
      </w:pPr>
      <w:r w:rsidRPr="00B57E80">
        <w:rPr>
          <w:rFonts w:ascii="Verdana" w:eastAsia="Calibri" w:hAnsi="Verdana" w:cs="Arial"/>
          <w:sz w:val="24"/>
          <w:szCs w:val="24"/>
        </w:rPr>
        <w:t xml:space="preserve">En resumen tenemos </w:t>
      </w:r>
      <w:r w:rsidRPr="00B57E80">
        <w:rPr>
          <w:rFonts w:ascii="Verdana" w:eastAsia="Calibri" w:hAnsi="Verdana" w:cs="Times New Roman"/>
          <w:sz w:val="24"/>
          <w:szCs w:val="24"/>
        </w:rPr>
        <w:t>un total de 81 organizaciones apoyadas con una inversión de $ 10.116 millones</w:t>
      </w:r>
      <w:r w:rsidRPr="00B57E80">
        <w:rPr>
          <w:rFonts w:ascii="Verdana" w:eastAsia="Calibri" w:hAnsi="Verdana" w:cs="Arial"/>
          <w:sz w:val="24"/>
          <w:szCs w:val="24"/>
        </w:rPr>
        <w:t xml:space="preserve"> de pesos, reportando un beneficio para 7.093 familias. Para el 2015 se espera apoyar a 40 organizaciones con $10.000 millones de pesos.</w:t>
      </w:r>
    </w:p>
    <w:p w:rsidR="00B722F2" w:rsidRPr="00B57E80" w:rsidRDefault="00B722F2" w:rsidP="00B722F2">
      <w:pPr>
        <w:spacing w:after="0"/>
        <w:jc w:val="both"/>
        <w:rPr>
          <w:rFonts w:ascii="Verdana" w:eastAsia="Calibri" w:hAnsi="Verdana" w:cs="Arial"/>
          <w:sz w:val="24"/>
          <w:szCs w:val="24"/>
        </w:rPr>
      </w:pPr>
    </w:p>
    <w:p w:rsidR="00B722F2" w:rsidRPr="0046368D" w:rsidRDefault="00B722F2" w:rsidP="00B722F2">
      <w:pPr>
        <w:jc w:val="both"/>
        <w:rPr>
          <w:rFonts w:ascii="Verdana" w:eastAsia="Times New Roman" w:hAnsi="Verdana" w:cs="Arial"/>
          <w:color w:val="4F81BD" w:themeColor="accent1"/>
          <w:sz w:val="24"/>
          <w:szCs w:val="24"/>
          <w:lang w:eastAsia="es-CO"/>
        </w:rPr>
      </w:pPr>
      <w:r w:rsidRPr="0046368D">
        <w:rPr>
          <w:rFonts w:ascii="Verdana" w:eastAsia="Times New Roman" w:hAnsi="Verdana" w:cs="Arial"/>
          <w:color w:val="4F81BD" w:themeColor="accent1"/>
          <w:sz w:val="24"/>
          <w:szCs w:val="24"/>
          <w:lang w:eastAsia="es-CO"/>
        </w:rPr>
        <w:t>OTROS LOGROS 2014</w:t>
      </w:r>
    </w:p>
    <w:p w:rsidR="00B722F2" w:rsidRPr="0046368D" w:rsidRDefault="00B722F2" w:rsidP="00B722F2">
      <w:pPr>
        <w:jc w:val="both"/>
        <w:rPr>
          <w:rFonts w:ascii="Verdana" w:eastAsia="Times New Roman" w:hAnsi="Verdana" w:cs="Arial"/>
          <w:color w:val="1F497D" w:themeColor="text2"/>
          <w:sz w:val="24"/>
          <w:szCs w:val="24"/>
          <w:u w:val="single"/>
          <w:lang w:eastAsia="es-CO"/>
        </w:rPr>
      </w:pPr>
      <w:r w:rsidRPr="0046368D">
        <w:rPr>
          <w:rFonts w:ascii="Verdana" w:eastAsia="Times New Roman" w:hAnsi="Verdana" w:cs="Arial"/>
          <w:color w:val="1F497D" w:themeColor="text2"/>
          <w:sz w:val="24"/>
          <w:szCs w:val="24"/>
          <w:u w:val="single"/>
          <w:lang w:eastAsia="es-CO"/>
        </w:rPr>
        <w:t>ALIMENTEC</w:t>
      </w:r>
    </w:p>
    <w:p w:rsidR="00B722F2" w:rsidRPr="00DB1E86" w:rsidRDefault="00B722F2" w:rsidP="00905C49">
      <w:pPr>
        <w:pStyle w:val="Prrafodelista"/>
        <w:numPr>
          <w:ilvl w:val="0"/>
          <w:numId w:val="82"/>
        </w:numPr>
        <w:jc w:val="both"/>
        <w:rPr>
          <w:rFonts w:ascii="Verdana" w:eastAsia="Times New Roman" w:hAnsi="Verdana" w:cs="Arial"/>
          <w:color w:val="1E1E1E"/>
          <w:sz w:val="24"/>
          <w:szCs w:val="24"/>
          <w:lang w:eastAsia="es-CO"/>
        </w:rPr>
      </w:pPr>
      <w:r w:rsidRPr="00DB1E86">
        <w:rPr>
          <w:rFonts w:ascii="Verdana" w:eastAsia="Times New Roman" w:hAnsi="Verdana" w:cs="Arial"/>
          <w:color w:val="1E1E1E"/>
          <w:sz w:val="24"/>
          <w:szCs w:val="24"/>
          <w:lang w:eastAsia="es-CO"/>
        </w:rPr>
        <w:t>Se participó en la Feria de Alimentos y bebidas más importante de Colombia ALIMENTEC 2014, con 51 Organizaciones de Desarrollo Alternativo de 17 departamentos, representando 15 líneas productivas diferentes, logrando desarrollar un ejercicio de posicionamiento de marca sin precedentes para la UACT, que arrojó como resultado 12 negocios concretados por un valor total de $ 610.916.500 pesos.</w:t>
      </w:r>
    </w:p>
    <w:p w:rsidR="00B722F2" w:rsidRPr="0046368D" w:rsidRDefault="00B722F2" w:rsidP="00B722F2">
      <w:pPr>
        <w:jc w:val="both"/>
        <w:rPr>
          <w:rFonts w:ascii="Verdana" w:eastAsia="Times New Roman" w:hAnsi="Verdana" w:cs="Times New Roman"/>
          <w:color w:val="1F497D" w:themeColor="text2"/>
          <w:sz w:val="24"/>
          <w:szCs w:val="24"/>
          <w:u w:val="single"/>
          <w:lang w:val="es-MX" w:eastAsia="es-CO"/>
        </w:rPr>
      </w:pPr>
      <w:r w:rsidRPr="0046368D">
        <w:rPr>
          <w:rFonts w:ascii="Verdana" w:eastAsia="Times New Roman" w:hAnsi="Verdana" w:cs="Times New Roman"/>
          <w:color w:val="1F497D" w:themeColor="text2"/>
          <w:sz w:val="24"/>
          <w:szCs w:val="24"/>
          <w:u w:val="single"/>
          <w:lang w:val="es-MX" w:eastAsia="es-CO"/>
        </w:rPr>
        <w:t>Alianza del Buen Gobierno</w:t>
      </w:r>
    </w:p>
    <w:p w:rsidR="00B722F2" w:rsidRPr="00DB1E86" w:rsidRDefault="00B722F2" w:rsidP="00905C49">
      <w:pPr>
        <w:pStyle w:val="Prrafodelista"/>
        <w:numPr>
          <w:ilvl w:val="0"/>
          <w:numId w:val="82"/>
        </w:numPr>
        <w:jc w:val="both"/>
        <w:rPr>
          <w:rFonts w:ascii="Verdana" w:eastAsia="Times New Roman" w:hAnsi="Verdana" w:cs="Times New Roman"/>
          <w:sz w:val="24"/>
          <w:szCs w:val="24"/>
          <w:u w:val="single"/>
          <w:lang w:eastAsia="es-CO"/>
        </w:rPr>
      </w:pPr>
      <w:r w:rsidRPr="00DB1E86">
        <w:rPr>
          <w:rFonts w:ascii="Verdana" w:hAnsi="Verdana" w:cs="Arial"/>
          <w:color w:val="1E1E1E"/>
          <w:sz w:val="24"/>
          <w:szCs w:val="24"/>
        </w:rPr>
        <w:t xml:space="preserve">Se conformó la Alianza del Buen Gobierno entre el Ministerio de Justicia y el Derecho, la Unidad Administrativa para la Consolidación Territorial y la Oficina de las Naciones Unidas contra la Droga y el Delito- UNODC, con el fin de apoyar con proyectos productivos a más de 13 mil familias asociadas en 66 organizaciones de productores, con una inversión estimada en $ 13.000 millones de pesos. </w:t>
      </w:r>
    </w:p>
    <w:p w:rsidR="00B722F2" w:rsidRPr="0046368D" w:rsidRDefault="00B722F2" w:rsidP="00B722F2">
      <w:pPr>
        <w:jc w:val="both"/>
        <w:rPr>
          <w:rFonts w:ascii="Verdana" w:eastAsia="Times New Roman" w:hAnsi="Verdana" w:cs="Arial"/>
          <w:color w:val="1F497D" w:themeColor="text2"/>
          <w:sz w:val="24"/>
          <w:szCs w:val="24"/>
          <w:u w:val="single"/>
          <w:lang w:val="es-MX" w:eastAsia="es-CO"/>
        </w:rPr>
      </w:pPr>
      <w:r w:rsidRPr="0046368D">
        <w:rPr>
          <w:rFonts w:ascii="Verdana" w:eastAsia="Times New Roman" w:hAnsi="Verdana" w:cs="Arial"/>
          <w:color w:val="1F497D" w:themeColor="text2"/>
          <w:sz w:val="24"/>
          <w:szCs w:val="24"/>
          <w:u w:val="single"/>
          <w:lang w:val="es-MX" w:eastAsia="es-CO"/>
        </w:rPr>
        <w:t xml:space="preserve">Planes Territoriales contra Cultivos Ilícitos – PTCI </w:t>
      </w:r>
    </w:p>
    <w:p w:rsidR="00B722F2" w:rsidRPr="00B57E80" w:rsidRDefault="00B722F2" w:rsidP="00B722F2">
      <w:pPr>
        <w:jc w:val="both"/>
        <w:rPr>
          <w:rFonts w:ascii="Verdana" w:hAnsi="Verdana"/>
          <w:sz w:val="24"/>
          <w:szCs w:val="24"/>
        </w:rPr>
      </w:pPr>
      <w:r w:rsidRPr="00B57E80">
        <w:rPr>
          <w:rFonts w:ascii="Verdana" w:hAnsi="Verdana"/>
          <w:sz w:val="24"/>
          <w:szCs w:val="24"/>
        </w:rPr>
        <w:t>Los PTCI son un documento estratégico que tiene como objetivo conocer la dinámica de los cultivos ilícitos en los territorios focalizados, definiendo las estrategias y acciones necesarias para lograr superar esta problemática, buscando una acción interinstitucional y articulada con las diferentes entidades públicas del nivel nacional, regional, local y la comunidad en general.</w:t>
      </w:r>
    </w:p>
    <w:p w:rsidR="00B722F2" w:rsidRPr="00DB1E86" w:rsidRDefault="00B722F2" w:rsidP="00905C49">
      <w:pPr>
        <w:pStyle w:val="Prrafodelista"/>
        <w:numPr>
          <w:ilvl w:val="0"/>
          <w:numId w:val="82"/>
        </w:numPr>
        <w:jc w:val="both"/>
        <w:rPr>
          <w:rFonts w:ascii="Verdana" w:hAnsi="Verdana"/>
          <w:sz w:val="24"/>
          <w:szCs w:val="24"/>
        </w:rPr>
      </w:pPr>
      <w:r w:rsidRPr="00DB1E86">
        <w:rPr>
          <w:rFonts w:ascii="Verdana" w:hAnsi="Verdana"/>
          <w:sz w:val="24"/>
          <w:szCs w:val="24"/>
        </w:rPr>
        <w:t xml:space="preserve">Para el año 2014 la UACT cumplió con una meta del 100% en cuanto a la elaboración de estos planes, en los departamentos de: Boyacá, Meta, Magdalena, Guaviare, Cauca, Caldas, Nariño, Antioquia y Caquetá. Para el año 2015 en el marco del nuevo Plan Nacional de Desarrollo y de los objetivos estratégicos de la UACT, el reto del Programa contra Cultivos Ilícitos será que estos planes sean una parte integral de las estrategias y acciones implementadas en las regiones focalizadas. </w:t>
      </w:r>
    </w:p>
    <w:p w:rsidR="00B722F2" w:rsidRPr="00B716AE" w:rsidRDefault="00B722F2" w:rsidP="00B722F2">
      <w:pPr>
        <w:jc w:val="both"/>
        <w:rPr>
          <w:rFonts w:ascii="Verdana" w:hAnsi="Verdana"/>
          <w:color w:val="1F497D" w:themeColor="text2"/>
          <w:sz w:val="24"/>
          <w:szCs w:val="24"/>
        </w:rPr>
      </w:pPr>
      <w:r w:rsidRPr="00B716AE">
        <w:rPr>
          <w:rFonts w:ascii="Verdana" w:hAnsi="Verdana"/>
          <w:color w:val="1F497D" w:themeColor="text2"/>
          <w:sz w:val="24"/>
          <w:szCs w:val="24"/>
        </w:rPr>
        <w:t>GESTIÓN MISIONAL Y FINANCIERA</w:t>
      </w:r>
    </w:p>
    <w:p w:rsidR="00B722F2" w:rsidRPr="00B57E80" w:rsidRDefault="00B722F2" w:rsidP="00B722F2">
      <w:pPr>
        <w:jc w:val="both"/>
        <w:rPr>
          <w:rFonts w:ascii="Verdana" w:hAnsi="Verdana"/>
          <w:sz w:val="24"/>
          <w:szCs w:val="24"/>
        </w:rPr>
      </w:pPr>
      <w:r w:rsidRPr="00B57E80">
        <w:rPr>
          <w:rFonts w:ascii="Verdana" w:hAnsi="Verdana"/>
          <w:sz w:val="24"/>
          <w:szCs w:val="24"/>
        </w:rPr>
        <w:t>Al revisar los indicadores y metas del desempeño del Programa con respecto a lo planeado encontramos:</w:t>
      </w:r>
    </w:p>
    <w:p w:rsidR="00B722F2" w:rsidRPr="00B57E80" w:rsidRDefault="00B722F2" w:rsidP="00905C49">
      <w:pPr>
        <w:pStyle w:val="Prrafodelista"/>
        <w:numPr>
          <w:ilvl w:val="0"/>
          <w:numId w:val="83"/>
        </w:numPr>
        <w:spacing w:after="160" w:line="259" w:lineRule="auto"/>
        <w:jc w:val="both"/>
        <w:rPr>
          <w:rFonts w:ascii="Verdana" w:hAnsi="Verdana"/>
          <w:sz w:val="24"/>
          <w:szCs w:val="24"/>
        </w:rPr>
      </w:pPr>
      <w:r w:rsidRPr="00B57E80">
        <w:rPr>
          <w:rFonts w:ascii="Verdana" w:hAnsi="Verdana"/>
          <w:sz w:val="24"/>
          <w:szCs w:val="24"/>
        </w:rPr>
        <w:t>Se alcanzó un 78% de la meta de erradicación con 6.099 hectáreas erradicadas a través de los GME.</w:t>
      </w:r>
    </w:p>
    <w:p w:rsidR="00B722F2" w:rsidRPr="00B57E80" w:rsidRDefault="00B722F2" w:rsidP="00905C49">
      <w:pPr>
        <w:pStyle w:val="Prrafodelista"/>
        <w:numPr>
          <w:ilvl w:val="0"/>
          <w:numId w:val="83"/>
        </w:numPr>
        <w:spacing w:after="160" w:line="259" w:lineRule="auto"/>
        <w:jc w:val="both"/>
        <w:rPr>
          <w:rFonts w:ascii="Verdana" w:hAnsi="Verdana"/>
          <w:sz w:val="24"/>
          <w:szCs w:val="24"/>
        </w:rPr>
      </w:pPr>
      <w:r w:rsidRPr="00B57E80">
        <w:rPr>
          <w:rFonts w:ascii="Verdana" w:hAnsi="Verdana"/>
          <w:sz w:val="24"/>
          <w:szCs w:val="24"/>
        </w:rPr>
        <w:t xml:space="preserve">Se logró la atención del 93.5% de familias a través del modelo de </w:t>
      </w:r>
      <w:r>
        <w:rPr>
          <w:rFonts w:ascii="Verdana" w:hAnsi="Verdana"/>
          <w:sz w:val="24"/>
          <w:szCs w:val="24"/>
        </w:rPr>
        <w:t>Po</w:t>
      </w:r>
      <w:r w:rsidRPr="00B57E80">
        <w:rPr>
          <w:rFonts w:ascii="Verdana" w:hAnsi="Verdana"/>
          <w:sz w:val="24"/>
          <w:szCs w:val="24"/>
        </w:rPr>
        <w:t>sterradicación y contención: familias guardabosques para la prosperidad, con un total de 44.869 familias.</w:t>
      </w:r>
    </w:p>
    <w:p w:rsidR="00B722F2" w:rsidRPr="00B57E80" w:rsidRDefault="00B722F2" w:rsidP="00905C49">
      <w:pPr>
        <w:pStyle w:val="Prrafodelista"/>
        <w:numPr>
          <w:ilvl w:val="0"/>
          <w:numId w:val="83"/>
        </w:numPr>
        <w:spacing w:after="160" w:line="259" w:lineRule="auto"/>
        <w:jc w:val="both"/>
        <w:rPr>
          <w:rFonts w:ascii="Verdana" w:hAnsi="Verdana"/>
          <w:sz w:val="24"/>
          <w:szCs w:val="24"/>
        </w:rPr>
      </w:pPr>
      <w:r w:rsidRPr="00B57E80">
        <w:rPr>
          <w:rFonts w:ascii="Verdana" w:hAnsi="Verdana"/>
          <w:sz w:val="24"/>
          <w:szCs w:val="24"/>
        </w:rPr>
        <w:t>Respecto a organizaciones apoyadas se obtuvo un avance del 117% de cumplimiento, con el fortalecimiento a 35 organizaciones.</w:t>
      </w:r>
    </w:p>
    <w:p w:rsidR="00B722F2" w:rsidRPr="00B57E80" w:rsidRDefault="00B722F2" w:rsidP="00B722F2">
      <w:pPr>
        <w:spacing w:after="0" w:line="240" w:lineRule="auto"/>
        <w:jc w:val="both"/>
        <w:rPr>
          <w:rFonts w:ascii="Verdana" w:hAnsi="Verdana"/>
          <w:sz w:val="24"/>
          <w:szCs w:val="24"/>
        </w:rPr>
      </w:pPr>
    </w:p>
    <w:p w:rsidR="00B722F2" w:rsidRPr="0046368D" w:rsidRDefault="00B722F2" w:rsidP="00B722F2">
      <w:pPr>
        <w:spacing w:after="0" w:line="240" w:lineRule="auto"/>
        <w:jc w:val="both"/>
        <w:rPr>
          <w:rFonts w:ascii="Verdana" w:hAnsi="Verdana"/>
          <w:b/>
          <w:color w:val="4F81BD" w:themeColor="accent1"/>
          <w:sz w:val="24"/>
          <w:szCs w:val="24"/>
        </w:rPr>
      </w:pPr>
      <w:r w:rsidRPr="0046368D">
        <w:rPr>
          <w:rFonts w:ascii="Verdana" w:hAnsi="Verdana"/>
          <w:b/>
          <w:color w:val="4F81BD" w:themeColor="accent1"/>
          <w:sz w:val="24"/>
          <w:szCs w:val="24"/>
        </w:rPr>
        <w:t>DIRECCIÓN DE ARTICULACIÓN</w:t>
      </w:r>
    </w:p>
    <w:p w:rsidR="00B722F2" w:rsidRPr="00B57E80" w:rsidRDefault="00B722F2" w:rsidP="00B722F2">
      <w:pPr>
        <w:spacing w:after="0" w:line="240" w:lineRule="auto"/>
        <w:jc w:val="both"/>
        <w:rPr>
          <w:rFonts w:ascii="Verdana" w:hAnsi="Verdana"/>
          <w:b/>
          <w:sz w:val="24"/>
          <w:szCs w:val="24"/>
        </w:rPr>
      </w:pPr>
    </w:p>
    <w:p w:rsidR="00B722F2" w:rsidRPr="00B57E80" w:rsidRDefault="00B722F2" w:rsidP="00B722F2">
      <w:pPr>
        <w:spacing w:after="0" w:line="240" w:lineRule="auto"/>
        <w:jc w:val="both"/>
        <w:rPr>
          <w:rFonts w:ascii="Verdana" w:hAnsi="Verdana"/>
          <w:sz w:val="24"/>
          <w:szCs w:val="24"/>
        </w:rPr>
      </w:pPr>
      <w:r w:rsidRPr="00B57E80">
        <w:rPr>
          <w:rFonts w:ascii="Verdana" w:hAnsi="Verdana"/>
          <w:sz w:val="24"/>
          <w:szCs w:val="24"/>
        </w:rPr>
        <w:t>Con el fin de promover la inclusión de los propósitos y objetivos de la PNCRT en las políticas y programas estratégicos las entidades del nivel nacional, el sector privado y la cooperación internacional y definir metodologías, herramientas e indicadores para la implementación, monitoreo y seguimiento de la PNCRT La Dirección de Articulación en el 2014 trabajo con los siguientes Objetivos estratégicos y para su desarrollo tuvo una inversión inicial de $5.000.000.000 millones de pesos.</w:t>
      </w:r>
    </w:p>
    <w:p w:rsidR="00B722F2" w:rsidRPr="00B57E80" w:rsidRDefault="00B722F2" w:rsidP="00B722F2">
      <w:pPr>
        <w:spacing w:after="0" w:line="240" w:lineRule="auto"/>
        <w:jc w:val="both"/>
        <w:rPr>
          <w:rFonts w:ascii="Verdana" w:hAnsi="Verdana"/>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644"/>
        <w:gridCol w:w="4522"/>
      </w:tblGrid>
      <w:tr w:rsidR="00B722F2" w:rsidRPr="00B57E80" w:rsidTr="0046368D">
        <w:trPr>
          <w:trHeight w:val="390"/>
          <w:jc w:val="center"/>
        </w:trPr>
        <w:tc>
          <w:tcPr>
            <w:tcW w:w="2776" w:type="pct"/>
            <w:shd w:val="clear" w:color="4F81BD" w:fill="4F81BD"/>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Objetivo Estratégico</w:t>
            </w:r>
          </w:p>
        </w:tc>
        <w:tc>
          <w:tcPr>
            <w:tcW w:w="2224" w:type="pct"/>
            <w:shd w:val="clear" w:color="4F81BD" w:fill="4F81BD"/>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Estrategia</w:t>
            </w:r>
          </w:p>
        </w:tc>
      </w:tr>
      <w:tr w:rsidR="00B722F2" w:rsidRPr="00B57E80" w:rsidTr="0046368D">
        <w:trPr>
          <w:trHeight w:val="780"/>
          <w:jc w:val="center"/>
        </w:trPr>
        <w:tc>
          <w:tcPr>
            <w:tcW w:w="2776" w:type="pct"/>
            <w:vMerge w:val="restart"/>
            <w:shd w:val="clear" w:color="B8CCE4" w:fill="B8CCE4"/>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 O1 Promover de forma organizada y articulada  la presencia de las instituciones del Estado, el sector privado y la cooperación  para la consolidación del territorio</w:t>
            </w:r>
          </w:p>
        </w:tc>
        <w:tc>
          <w:tcPr>
            <w:tcW w:w="2224" w:type="pct"/>
            <w:shd w:val="clear" w:color="B8CCE4" w:fill="B8CCE4"/>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O1E2 Articular, vincular y gestionar recursos para PNCRT y la Política De Cultivos Ilícitos con el sector privado.</w:t>
            </w:r>
          </w:p>
        </w:tc>
      </w:tr>
      <w:tr w:rsidR="00B722F2" w:rsidRPr="00B57E80" w:rsidTr="0046368D">
        <w:trPr>
          <w:trHeight w:val="780"/>
          <w:jc w:val="center"/>
        </w:trPr>
        <w:tc>
          <w:tcPr>
            <w:tcW w:w="2776" w:type="pct"/>
            <w:vMerge/>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p>
        </w:tc>
        <w:tc>
          <w:tcPr>
            <w:tcW w:w="2224" w:type="pct"/>
            <w:shd w:val="clear" w:color="DBE5F1" w:fill="DBE5F1"/>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O1E3 Articular, vincular y gestionar recursos para la PNCRT y la Política de Cultivos Ilícitos con la cooperación internacional</w:t>
            </w:r>
          </w:p>
        </w:tc>
      </w:tr>
      <w:tr w:rsidR="00B722F2" w:rsidRPr="00B57E80" w:rsidTr="0046368D">
        <w:trPr>
          <w:trHeight w:val="780"/>
          <w:jc w:val="center"/>
        </w:trPr>
        <w:tc>
          <w:tcPr>
            <w:tcW w:w="2776" w:type="pct"/>
            <w:vMerge/>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p>
        </w:tc>
        <w:tc>
          <w:tcPr>
            <w:tcW w:w="2224" w:type="pct"/>
            <w:shd w:val="clear" w:color="B8CCE4" w:fill="B8CCE4"/>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O1E4 Articular, vincular y gestionar recursos para la PNCRT y la Política de Cultivos Ilícitos con  el sector público nacional y territorial</w:t>
            </w:r>
          </w:p>
        </w:tc>
      </w:tr>
      <w:tr w:rsidR="00B722F2" w:rsidRPr="00B57E80" w:rsidTr="0046368D">
        <w:trPr>
          <w:trHeight w:val="885"/>
          <w:jc w:val="center"/>
        </w:trPr>
        <w:tc>
          <w:tcPr>
            <w:tcW w:w="2776" w:type="pct"/>
            <w:shd w:val="clear" w:color="DBE5F1" w:fill="DBE5F1"/>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 O4 Realizar  seguimiento a la PNCRT, la Política Nacional de Erradicación Manual de Cultivos ilícitos y Desarrollo Alternativo y a la Gestión de la UAECT</w:t>
            </w:r>
          </w:p>
        </w:tc>
        <w:tc>
          <w:tcPr>
            <w:tcW w:w="2224" w:type="pct"/>
            <w:shd w:val="clear" w:color="DBE5F1" w:fill="DBE5F1"/>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O4E1 Realizar seguimiento a la implementación de la PNCRT</w:t>
            </w:r>
          </w:p>
        </w:tc>
      </w:tr>
    </w:tbl>
    <w:p w:rsidR="00B722F2" w:rsidRPr="00B57E80" w:rsidRDefault="00B722F2" w:rsidP="00B722F2">
      <w:pPr>
        <w:spacing w:after="0" w:line="240" w:lineRule="auto"/>
        <w:jc w:val="both"/>
        <w:rPr>
          <w:rFonts w:ascii="Verdana" w:hAnsi="Verdana"/>
          <w:sz w:val="24"/>
          <w:szCs w:val="24"/>
        </w:rPr>
      </w:pPr>
    </w:p>
    <w:p w:rsidR="00B722F2" w:rsidRPr="00B57E80" w:rsidRDefault="00B722F2" w:rsidP="00B722F2">
      <w:pPr>
        <w:spacing w:after="0" w:line="240" w:lineRule="auto"/>
        <w:jc w:val="both"/>
        <w:rPr>
          <w:rFonts w:ascii="Verdana" w:hAnsi="Verdana"/>
          <w:sz w:val="24"/>
          <w:szCs w:val="24"/>
        </w:rPr>
      </w:pPr>
    </w:p>
    <w:p w:rsidR="00B722F2" w:rsidRPr="00EB21C6" w:rsidRDefault="00B722F2" w:rsidP="00B722F2">
      <w:pPr>
        <w:spacing w:after="0" w:line="240" w:lineRule="auto"/>
        <w:jc w:val="both"/>
        <w:rPr>
          <w:rFonts w:ascii="Verdana" w:hAnsi="Verdana"/>
          <w:color w:val="4F81BD" w:themeColor="accent1"/>
          <w:sz w:val="24"/>
          <w:szCs w:val="24"/>
        </w:rPr>
      </w:pPr>
      <w:r w:rsidRPr="00EB21C6">
        <w:rPr>
          <w:rFonts w:ascii="Verdana" w:hAnsi="Verdana"/>
          <w:color w:val="4F81BD" w:themeColor="accent1"/>
          <w:sz w:val="24"/>
          <w:szCs w:val="24"/>
        </w:rPr>
        <w:t>LOGROS</w:t>
      </w:r>
    </w:p>
    <w:p w:rsidR="00B722F2" w:rsidRPr="00B57E80" w:rsidRDefault="00B722F2" w:rsidP="00B722F2">
      <w:pPr>
        <w:spacing w:after="0" w:line="240" w:lineRule="auto"/>
        <w:jc w:val="both"/>
        <w:rPr>
          <w:rFonts w:ascii="Verdana" w:hAnsi="Verdana"/>
          <w:b/>
          <w:color w:val="4F81BD" w:themeColor="accent1"/>
          <w:sz w:val="24"/>
          <w:szCs w:val="24"/>
        </w:rPr>
      </w:pPr>
    </w:p>
    <w:p w:rsidR="00B722F2" w:rsidRPr="00EB21C6" w:rsidRDefault="00B722F2" w:rsidP="00EB21C6">
      <w:pPr>
        <w:spacing w:after="0"/>
        <w:ind w:left="360"/>
        <w:jc w:val="both"/>
        <w:rPr>
          <w:rFonts w:ascii="Verdana" w:hAnsi="Verdana"/>
          <w:color w:val="000000" w:themeColor="text1"/>
          <w:sz w:val="24"/>
          <w:szCs w:val="24"/>
        </w:rPr>
      </w:pPr>
      <w:r w:rsidRPr="00EB21C6">
        <w:rPr>
          <w:rFonts w:ascii="Verdana" w:hAnsi="Verdana"/>
          <w:color w:val="000000" w:themeColor="text1"/>
          <w:sz w:val="24"/>
          <w:szCs w:val="24"/>
        </w:rPr>
        <w:t>Ministerio de Minas y Energía - Viceministerio de Energía</w:t>
      </w:r>
    </w:p>
    <w:p w:rsidR="00B722F2" w:rsidRPr="00EB21C6" w:rsidRDefault="00B722F2" w:rsidP="00905C49">
      <w:pPr>
        <w:pStyle w:val="Prrafodelista"/>
        <w:numPr>
          <w:ilvl w:val="0"/>
          <w:numId w:val="82"/>
        </w:numPr>
        <w:spacing w:after="0" w:line="240" w:lineRule="auto"/>
        <w:ind w:left="1080"/>
        <w:jc w:val="both"/>
        <w:rPr>
          <w:rFonts w:ascii="Verdana" w:hAnsi="Verdana"/>
          <w:sz w:val="24"/>
          <w:szCs w:val="24"/>
        </w:rPr>
      </w:pPr>
      <w:r w:rsidRPr="00EB21C6">
        <w:rPr>
          <w:rFonts w:ascii="Verdana" w:hAnsi="Verdana"/>
          <w:sz w:val="24"/>
          <w:szCs w:val="24"/>
        </w:rPr>
        <w:t>Proyectos financiados con recursos 2014 del Ministerio de Minas y energía, por valor de $24.765 millones.</w:t>
      </w:r>
    </w:p>
    <w:p w:rsidR="00B722F2" w:rsidRPr="00B57E80" w:rsidRDefault="00B722F2" w:rsidP="00EB21C6">
      <w:pPr>
        <w:spacing w:after="0" w:line="240" w:lineRule="auto"/>
        <w:ind w:left="360"/>
        <w:jc w:val="both"/>
        <w:rPr>
          <w:rFonts w:ascii="Verdana" w:hAnsi="Verdana"/>
          <w:sz w:val="24"/>
          <w:szCs w:val="24"/>
        </w:rPr>
      </w:pPr>
    </w:p>
    <w:p w:rsidR="00B722F2" w:rsidRPr="00EB21C6" w:rsidRDefault="00B722F2" w:rsidP="00EB21C6">
      <w:pPr>
        <w:spacing w:after="0"/>
        <w:ind w:left="360"/>
        <w:jc w:val="both"/>
        <w:rPr>
          <w:rFonts w:ascii="Verdana" w:hAnsi="Verdana"/>
          <w:color w:val="000000" w:themeColor="text1"/>
          <w:sz w:val="24"/>
          <w:szCs w:val="24"/>
        </w:rPr>
      </w:pPr>
      <w:r w:rsidRPr="00EB21C6">
        <w:rPr>
          <w:rFonts w:ascii="Verdana" w:hAnsi="Verdana"/>
          <w:color w:val="000000" w:themeColor="text1"/>
          <w:sz w:val="24"/>
          <w:szCs w:val="24"/>
        </w:rPr>
        <w:t>INVIAS - Min Transporte</w:t>
      </w:r>
    </w:p>
    <w:p w:rsidR="00B722F2" w:rsidRPr="00EB21C6" w:rsidRDefault="00B722F2" w:rsidP="00905C49">
      <w:pPr>
        <w:pStyle w:val="Prrafodelista"/>
        <w:numPr>
          <w:ilvl w:val="0"/>
          <w:numId w:val="82"/>
        </w:numPr>
        <w:spacing w:after="0" w:line="240" w:lineRule="auto"/>
        <w:ind w:left="1080"/>
        <w:jc w:val="both"/>
        <w:rPr>
          <w:rFonts w:ascii="Verdana" w:hAnsi="Verdana"/>
          <w:sz w:val="24"/>
          <w:szCs w:val="24"/>
        </w:rPr>
      </w:pPr>
      <w:r w:rsidRPr="00EB21C6">
        <w:rPr>
          <w:rFonts w:ascii="Verdana" w:hAnsi="Verdana"/>
          <w:sz w:val="24"/>
          <w:szCs w:val="24"/>
        </w:rPr>
        <w:t>56 proyectos (INVIAS – Caminos para la Prosperidad) - $62.210 millones</w:t>
      </w:r>
    </w:p>
    <w:p w:rsidR="00B722F2" w:rsidRPr="00B57E80" w:rsidRDefault="00B722F2" w:rsidP="00EB21C6">
      <w:pPr>
        <w:spacing w:after="0" w:line="240" w:lineRule="auto"/>
        <w:ind w:left="360"/>
        <w:jc w:val="both"/>
        <w:rPr>
          <w:rFonts w:ascii="Verdana" w:hAnsi="Verdana"/>
          <w:sz w:val="24"/>
          <w:szCs w:val="24"/>
        </w:rPr>
      </w:pPr>
    </w:p>
    <w:p w:rsidR="00B722F2" w:rsidRPr="00EB21C6" w:rsidRDefault="00B722F2" w:rsidP="00EB21C6">
      <w:pPr>
        <w:spacing w:after="0"/>
        <w:ind w:left="360"/>
        <w:jc w:val="both"/>
        <w:rPr>
          <w:rFonts w:ascii="Verdana" w:hAnsi="Verdana"/>
          <w:color w:val="000000" w:themeColor="text1"/>
          <w:sz w:val="24"/>
          <w:szCs w:val="24"/>
        </w:rPr>
      </w:pPr>
      <w:r w:rsidRPr="00EB21C6">
        <w:rPr>
          <w:rFonts w:ascii="Verdana" w:hAnsi="Verdana"/>
          <w:color w:val="000000" w:themeColor="text1"/>
          <w:sz w:val="24"/>
          <w:szCs w:val="24"/>
        </w:rPr>
        <w:t>Aeronáutica Civil</w:t>
      </w:r>
    </w:p>
    <w:p w:rsidR="00B722F2" w:rsidRPr="00EB21C6" w:rsidRDefault="00B722F2" w:rsidP="00905C49">
      <w:pPr>
        <w:pStyle w:val="Prrafodelista"/>
        <w:numPr>
          <w:ilvl w:val="0"/>
          <w:numId w:val="82"/>
        </w:numPr>
        <w:spacing w:after="0" w:line="240" w:lineRule="auto"/>
        <w:ind w:left="1080"/>
        <w:jc w:val="both"/>
        <w:rPr>
          <w:rFonts w:ascii="Verdana" w:hAnsi="Verdana"/>
          <w:sz w:val="24"/>
          <w:szCs w:val="24"/>
        </w:rPr>
      </w:pPr>
      <w:r w:rsidRPr="00EB21C6">
        <w:rPr>
          <w:rFonts w:ascii="Verdana" w:hAnsi="Verdana"/>
          <w:sz w:val="24"/>
          <w:szCs w:val="24"/>
        </w:rPr>
        <w:t>Intervención en aeropuertos para el año 2014 (Puerto Asís – Tumaco)</w:t>
      </w:r>
    </w:p>
    <w:p w:rsidR="00B722F2" w:rsidRPr="00EB21C6" w:rsidRDefault="00B722F2" w:rsidP="00905C49">
      <w:pPr>
        <w:pStyle w:val="Prrafodelista"/>
        <w:numPr>
          <w:ilvl w:val="0"/>
          <w:numId w:val="82"/>
        </w:numPr>
        <w:spacing w:after="0" w:line="240" w:lineRule="auto"/>
        <w:ind w:left="1080"/>
        <w:jc w:val="both"/>
        <w:rPr>
          <w:rFonts w:ascii="Verdana" w:hAnsi="Verdana"/>
          <w:sz w:val="24"/>
          <w:szCs w:val="24"/>
        </w:rPr>
      </w:pPr>
      <w:r w:rsidRPr="00EB21C6">
        <w:rPr>
          <w:rFonts w:ascii="Verdana" w:hAnsi="Verdana"/>
          <w:sz w:val="24"/>
          <w:szCs w:val="24"/>
        </w:rPr>
        <w:t>Compromiso de parte del Director General para priorización municipios de Consolidación, recursos año 2016</w:t>
      </w:r>
    </w:p>
    <w:p w:rsidR="00B722F2" w:rsidRPr="00B57E80" w:rsidRDefault="00B722F2" w:rsidP="00EB21C6">
      <w:pPr>
        <w:spacing w:after="0" w:line="240" w:lineRule="auto"/>
        <w:ind w:left="360"/>
        <w:jc w:val="both"/>
        <w:rPr>
          <w:rFonts w:ascii="Verdana" w:hAnsi="Verdana"/>
          <w:sz w:val="24"/>
          <w:szCs w:val="24"/>
        </w:rPr>
      </w:pPr>
    </w:p>
    <w:p w:rsidR="00B722F2" w:rsidRPr="00EB21C6" w:rsidRDefault="00B722F2" w:rsidP="00EB21C6">
      <w:pPr>
        <w:spacing w:after="0" w:line="240" w:lineRule="auto"/>
        <w:ind w:left="360"/>
        <w:jc w:val="both"/>
        <w:rPr>
          <w:rFonts w:ascii="Verdana" w:hAnsi="Verdana"/>
          <w:color w:val="000000" w:themeColor="text1"/>
          <w:sz w:val="24"/>
          <w:szCs w:val="24"/>
        </w:rPr>
      </w:pPr>
      <w:r w:rsidRPr="00EB21C6">
        <w:rPr>
          <w:rFonts w:ascii="Verdana" w:hAnsi="Verdana"/>
          <w:color w:val="000000" w:themeColor="text1"/>
          <w:sz w:val="24"/>
          <w:szCs w:val="24"/>
        </w:rPr>
        <w:t>FONADE</w:t>
      </w:r>
    </w:p>
    <w:p w:rsidR="00B722F2" w:rsidRPr="00EB21C6" w:rsidRDefault="00B722F2" w:rsidP="00905C49">
      <w:pPr>
        <w:pStyle w:val="Prrafodelista"/>
        <w:numPr>
          <w:ilvl w:val="0"/>
          <w:numId w:val="94"/>
        </w:numPr>
        <w:spacing w:after="0" w:line="240" w:lineRule="auto"/>
        <w:ind w:left="1080"/>
        <w:jc w:val="both"/>
        <w:rPr>
          <w:rFonts w:ascii="Verdana" w:hAnsi="Verdana"/>
          <w:sz w:val="24"/>
          <w:szCs w:val="24"/>
        </w:rPr>
      </w:pPr>
      <w:r w:rsidRPr="00EB21C6">
        <w:rPr>
          <w:rFonts w:ascii="Verdana" w:hAnsi="Verdana"/>
          <w:sz w:val="24"/>
          <w:szCs w:val="24"/>
        </w:rPr>
        <w:t>Estructuración proyectos por FONADE – Convenio UACT / FONADE</w:t>
      </w:r>
    </w:p>
    <w:p w:rsidR="00B722F2" w:rsidRPr="00EB21C6" w:rsidRDefault="00B722F2" w:rsidP="00905C49">
      <w:pPr>
        <w:pStyle w:val="Prrafodelista"/>
        <w:numPr>
          <w:ilvl w:val="0"/>
          <w:numId w:val="94"/>
        </w:numPr>
        <w:spacing w:after="0" w:line="240" w:lineRule="auto"/>
        <w:ind w:left="1080"/>
        <w:jc w:val="both"/>
        <w:rPr>
          <w:rFonts w:ascii="Verdana" w:hAnsi="Verdana"/>
          <w:sz w:val="24"/>
          <w:szCs w:val="24"/>
        </w:rPr>
      </w:pPr>
      <w:r w:rsidRPr="00EB21C6">
        <w:rPr>
          <w:rFonts w:ascii="Verdana" w:hAnsi="Verdana"/>
          <w:sz w:val="24"/>
          <w:szCs w:val="24"/>
        </w:rPr>
        <w:t>4 Proyectos: 2 Agua y Saneamiento, 1 Electrificación y 1 Ciencia y Tecnología - $463 millones</w:t>
      </w:r>
    </w:p>
    <w:p w:rsidR="00B722F2" w:rsidRPr="00B57E80" w:rsidRDefault="00B722F2" w:rsidP="00EB21C6">
      <w:pPr>
        <w:spacing w:after="0" w:line="240" w:lineRule="auto"/>
        <w:ind w:left="360"/>
        <w:jc w:val="both"/>
        <w:rPr>
          <w:rFonts w:ascii="Verdana" w:hAnsi="Verdana"/>
          <w:sz w:val="24"/>
          <w:szCs w:val="24"/>
        </w:rPr>
      </w:pPr>
    </w:p>
    <w:p w:rsidR="00B722F2" w:rsidRPr="00B57E80" w:rsidRDefault="00B722F2" w:rsidP="00EB21C6">
      <w:pPr>
        <w:spacing w:after="0" w:line="240" w:lineRule="auto"/>
        <w:ind w:left="360"/>
        <w:jc w:val="both"/>
        <w:rPr>
          <w:rFonts w:ascii="Verdana" w:hAnsi="Verdana"/>
          <w:sz w:val="24"/>
          <w:szCs w:val="24"/>
        </w:rPr>
      </w:pPr>
    </w:p>
    <w:p w:rsidR="00B722F2" w:rsidRPr="00EB21C6" w:rsidRDefault="00B722F2" w:rsidP="00EB21C6">
      <w:pPr>
        <w:spacing w:after="0" w:line="240" w:lineRule="auto"/>
        <w:ind w:left="360"/>
        <w:jc w:val="both"/>
        <w:rPr>
          <w:rFonts w:ascii="Verdana" w:hAnsi="Verdana"/>
          <w:color w:val="000000" w:themeColor="text1"/>
          <w:sz w:val="24"/>
          <w:szCs w:val="24"/>
        </w:rPr>
      </w:pPr>
      <w:r w:rsidRPr="00EB21C6">
        <w:rPr>
          <w:rFonts w:ascii="Verdana" w:hAnsi="Verdana"/>
          <w:color w:val="000000" w:themeColor="text1"/>
          <w:sz w:val="24"/>
          <w:szCs w:val="24"/>
        </w:rPr>
        <w:t>Computadores para Educar - Mintic</w:t>
      </w:r>
    </w:p>
    <w:p w:rsidR="00B722F2" w:rsidRPr="00EB21C6" w:rsidRDefault="00B722F2" w:rsidP="00905C49">
      <w:pPr>
        <w:pStyle w:val="Prrafodelista"/>
        <w:numPr>
          <w:ilvl w:val="0"/>
          <w:numId w:val="95"/>
        </w:numPr>
        <w:spacing w:after="0" w:line="240" w:lineRule="auto"/>
        <w:jc w:val="both"/>
        <w:rPr>
          <w:rFonts w:ascii="Verdana" w:hAnsi="Verdana"/>
          <w:sz w:val="24"/>
          <w:szCs w:val="24"/>
          <w:lang w:val="es-ES"/>
        </w:rPr>
      </w:pPr>
      <w:r w:rsidRPr="00EB21C6">
        <w:rPr>
          <w:rFonts w:ascii="Verdana" w:hAnsi="Verdana"/>
          <w:sz w:val="24"/>
          <w:szCs w:val="24"/>
          <w:lang w:val="es-ES"/>
        </w:rPr>
        <w:t>Convenio que logro apalancar la política de consolidación y garantizar el acceso, uso y apropiación de las TIC en las comunidades educativas de los municipios de influencia.</w:t>
      </w:r>
    </w:p>
    <w:p w:rsidR="00B722F2" w:rsidRPr="00B57E80" w:rsidRDefault="00B722F2" w:rsidP="00B722F2">
      <w:pPr>
        <w:spacing w:after="0" w:line="240" w:lineRule="auto"/>
        <w:jc w:val="both"/>
        <w:rPr>
          <w:rFonts w:ascii="Verdana" w:hAnsi="Verdana"/>
          <w:sz w:val="24"/>
          <w:szCs w:val="24"/>
          <w:lang w:val="es-ES"/>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823"/>
        <w:gridCol w:w="3095"/>
        <w:gridCol w:w="3000"/>
      </w:tblGrid>
      <w:tr w:rsidR="00B722F2" w:rsidRPr="00B57E80" w:rsidTr="00B722F2">
        <w:trPr>
          <w:trHeight w:val="361"/>
          <w:jc w:val="center"/>
        </w:trPr>
        <w:tc>
          <w:tcPr>
            <w:tcW w:w="3823" w:type="dxa"/>
            <w:shd w:val="clear" w:color="4F81BD" w:fill="4F81BD"/>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p>
        </w:tc>
        <w:tc>
          <w:tcPr>
            <w:tcW w:w="3095" w:type="dxa"/>
            <w:shd w:val="clear" w:color="4F81BD" w:fill="4F81BD"/>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COMPUTADORES ENTREGADOS</w:t>
            </w:r>
          </w:p>
        </w:tc>
        <w:tc>
          <w:tcPr>
            <w:tcW w:w="3000" w:type="dxa"/>
            <w:shd w:val="clear" w:color="4F81BD" w:fill="4F81BD"/>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VIDEO BEAM ENTREGADOS</w:t>
            </w:r>
          </w:p>
        </w:tc>
      </w:tr>
      <w:tr w:rsidR="00B722F2" w:rsidRPr="00B57E80" w:rsidTr="00B722F2">
        <w:trPr>
          <w:trHeight w:val="300"/>
          <w:jc w:val="center"/>
        </w:trPr>
        <w:tc>
          <w:tcPr>
            <w:tcW w:w="3823" w:type="dxa"/>
            <w:shd w:val="clear" w:color="DBE5F1" w:fill="DBE5F1"/>
            <w:noWrap/>
            <w:vAlign w:val="center"/>
            <w:hideMark/>
          </w:tcPr>
          <w:p w:rsidR="00B722F2" w:rsidRPr="00B57E80" w:rsidRDefault="00B722F2" w:rsidP="00B722F2">
            <w:pPr>
              <w:spacing w:after="0" w:line="240" w:lineRule="auto"/>
              <w:jc w:val="center"/>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Beneficio Programa CPE 2014 UACT TOTAL</w:t>
            </w:r>
          </w:p>
        </w:tc>
        <w:tc>
          <w:tcPr>
            <w:tcW w:w="3095" w:type="dxa"/>
            <w:shd w:val="clear" w:color="DBE5F1" w:fill="DBE5F1"/>
            <w:noWrap/>
            <w:vAlign w:val="center"/>
            <w:hideMark/>
          </w:tcPr>
          <w:p w:rsidR="00B722F2" w:rsidRPr="00B57E80" w:rsidRDefault="00B722F2" w:rsidP="00B722F2">
            <w:pPr>
              <w:spacing w:after="0" w:line="240" w:lineRule="auto"/>
              <w:jc w:val="center"/>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9602</w:t>
            </w:r>
          </w:p>
        </w:tc>
        <w:tc>
          <w:tcPr>
            <w:tcW w:w="3000" w:type="dxa"/>
            <w:shd w:val="clear" w:color="DBE5F1" w:fill="DBE5F1"/>
            <w:noWrap/>
            <w:vAlign w:val="center"/>
            <w:hideMark/>
          </w:tcPr>
          <w:p w:rsidR="00B722F2" w:rsidRPr="00B57E80" w:rsidRDefault="00B722F2" w:rsidP="00B722F2">
            <w:pPr>
              <w:spacing w:after="0" w:line="240" w:lineRule="auto"/>
              <w:jc w:val="center"/>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5188</w:t>
            </w:r>
          </w:p>
        </w:tc>
      </w:tr>
      <w:tr w:rsidR="00B722F2" w:rsidRPr="00B57E80" w:rsidTr="00B722F2">
        <w:trPr>
          <w:trHeight w:val="300"/>
          <w:jc w:val="center"/>
        </w:trPr>
        <w:tc>
          <w:tcPr>
            <w:tcW w:w="3823" w:type="dxa"/>
            <w:shd w:val="clear" w:color="B8CCE4" w:fill="B8CCE4"/>
            <w:noWrap/>
            <w:vAlign w:val="center"/>
            <w:hideMark/>
          </w:tcPr>
          <w:p w:rsidR="00B722F2" w:rsidRPr="00B57E80" w:rsidRDefault="00B722F2" w:rsidP="00B722F2">
            <w:pPr>
              <w:spacing w:after="0" w:line="240" w:lineRule="auto"/>
              <w:jc w:val="center"/>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Convenio 0119-2014</w:t>
            </w:r>
          </w:p>
        </w:tc>
        <w:tc>
          <w:tcPr>
            <w:tcW w:w="3095" w:type="dxa"/>
            <w:shd w:val="clear" w:color="B8CCE4" w:fill="B8CCE4"/>
            <w:noWrap/>
            <w:vAlign w:val="center"/>
            <w:hideMark/>
          </w:tcPr>
          <w:p w:rsidR="00B722F2" w:rsidRPr="00B57E80" w:rsidRDefault="00B722F2" w:rsidP="00B722F2">
            <w:pPr>
              <w:spacing w:after="0" w:line="240" w:lineRule="auto"/>
              <w:jc w:val="center"/>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2299</w:t>
            </w:r>
          </w:p>
        </w:tc>
        <w:tc>
          <w:tcPr>
            <w:tcW w:w="3000" w:type="dxa"/>
            <w:shd w:val="clear" w:color="B8CCE4" w:fill="B8CCE4"/>
            <w:noWrap/>
            <w:vAlign w:val="center"/>
            <w:hideMark/>
          </w:tcPr>
          <w:p w:rsidR="00B722F2" w:rsidRPr="00B57E80" w:rsidRDefault="00B722F2" w:rsidP="00B722F2">
            <w:pPr>
              <w:spacing w:after="0" w:line="240" w:lineRule="auto"/>
              <w:jc w:val="center"/>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1177</w:t>
            </w:r>
          </w:p>
        </w:tc>
      </w:tr>
    </w:tbl>
    <w:p w:rsidR="00B722F2" w:rsidRPr="00B57E80" w:rsidRDefault="00B722F2" w:rsidP="00B722F2">
      <w:pPr>
        <w:spacing w:after="0" w:line="240" w:lineRule="auto"/>
        <w:jc w:val="both"/>
        <w:rPr>
          <w:rFonts w:ascii="Verdana" w:hAnsi="Verdana"/>
          <w:sz w:val="24"/>
          <w:szCs w:val="24"/>
        </w:rPr>
      </w:pPr>
    </w:p>
    <w:p w:rsidR="00B722F2" w:rsidRPr="00B57E80" w:rsidRDefault="00B722F2" w:rsidP="00B722F2">
      <w:pPr>
        <w:spacing w:after="0" w:line="240" w:lineRule="auto"/>
        <w:jc w:val="both"/>
        <w:rPr>
          <w:rFonts w:ascii="Verdana" w:hAnsi="Verdana"/>
          <w:sz w:val="24"/>
          <w:szCs w:val="24"/>
        </w:rPr>
      </w:pPr>
    </w:p>
    <w:p w:rsidR="00B722F2" w:rsidRPr="00EB21C6" w:rsidRDefault="00B722F2" w:rsidP="00EB21C6">
      <w:pPr>
        <w:spacing w:after="0" w:line="240" w:lineRule="auto"/>
        <w:ind w:left="426"/>
        <w:jc w:val="both"/>
        <w:rPr>
          <w:rFonts w:ascii="Verdana" w:hAnsi="Verdana"/>
          <w:color w:val="000000" w:themeColor="text1"/>
          <w:sz w:val="24"/>
          <w:szCs w:val="24"/>
        </w:rPr>
      </w:pPr>
      <w:r w:rsidRPr="00EB21C6">
        <w:rPr>
          <w:rFonts w:ascii="Verdana" w:hAnsi="Verdana"/>
          <w:color w:val="000000" w:themeColor="text1"/>
          <w:sz w:val="24"/>
          <w:szCs w:val="24"/>
        </w:rPr>
        <w:t>Ministerio de Vivienda - Viceministerio de Agua y Saneamiento</w:t>
      </w:r>
    </w:p>
    <w:p w:rsidR="00B722F2" w:rsidRPr="00EB21C6" w:rsidRDefault="00B722F2" w:rsidP="00905C49">
      <w:pPr>
        <w:pStyle w:val="Prrafodelista"/>
        <w:numPr>
          <w:ilvl w:val="0"/>
          <w:numId w:val="95"/>
        </w:numPr>
        <w:spacing w:after="0" w:line="240" w:lineRule="auto"/>
        <w:ind w:left="1134" w:hanging="425"/>
        <w:jc w:val="both"/>
        <w:rPr>
          <w:rFonts w:ascii="Verdana" w:hAnsi="Verdana"/>
          <w:color w:val="000000" w:themeColor="text1"/>
          <w:sz w:val="24"/>
          <w:szCs w:val="24"/>
        </w:rPr>
      </w:pPr>
      <w:r w:rsidRPr="00EB21C6">
        <w:rPr>
          <w:rFonts w:ascii="Verdana" w:hAnsi="Verdana"/>
          <w:color w:val="000000" w:themeColor="text1"/>
          <w:sz w:val="24"/>
          <w:szCs w:val="24"/>
        </w:rPr>
        <w:t>Asignación de recursos por parte del Ministerio para 2 Proyectos de agua y saneamiento de los 4 priorizados en el Consejo de Ministros de 2013: i) San Onofre: recursos de cooperación española y ii) Planadas: recursos PAP-PDA / Contrato Plan.</w:t>
      </w:r>
    </w:p>
    <w:p w:rsidR="00B722F2" w:rsidRPr="00EB21C6" w:rsidRDefault="00B722F2" w:rsidP="00905C49">
      <w:pPr>
        <w:pStyle w:val="Prrafodelista"/>
        <w:numPr>
          <w:ilvl w:val="0"/>
          <w:numId w:val="95"/>
        </w:numPr>
        <w:spacing w:after="0" w:line="240" w:lineRule="auto"/>
        <w:ind w:left="1134" w:hanging="425"/>
        <w:jc w:val="both"/>
        <w:rPr>
          <w:rFonts w:ascii="Verdana" w:hAnsi="Verdana"/>
          <w:color w:val="000000" w:themeColor="text1"/>
          <w:sz w:val="24"/>
          <w:szCs w:val="24"/>
        </w:rPr>
      </w:pPr>
      <w:r w:rsidRPr="00EB21C6">
        <w:rPr>
          <w:rFonts w:ascii="Verdana" w:hAnsi="Verdana"/>
          <w:color w:val="000000" w:themeColor="text1"/>
          <w:sz w:val="24"/>
          <w:szCs w:val="24"/>
        </w:rPr>
        <w:t>Estructuración de dos proyectos de agua y saneamiento básico en el marco del Convenio suscrito entre la UACT y FONADE: San Onofre y La Montañita</w:t>
      </w:r>
    </w:p>
    <w:p w:rsidR="00B722F2" w:rsidRPr="00EB21C6" w:rsidRDefault="00B722F2" w:rsidP="00905C49">
      <w:pPr>
        <w:pStyle w:val="Prrafodelista"/>
        <w:numPr>
          <w:ilvl w:val="0"/>
          <w:numId w:val="95"/>
        </w:numPr>
        <w:spacing w:after="0" w:line="240" w:lineRule="auto"/>
        <w:ind w:left="1134" w:hanging="425"/>
        <w:jc w:val="both"/>
        <w:rPr>
          <w:rFonts w:ascii="Verdana" w:hAnsi="Verdana"/>
          <w:color w:val="000000" w:themeColor="text1"/>
          <w:sz w:val="24"/>
          <w:szCs w:val="24"/>
        </w:rPr>
      </w:pPr>
      <w:r w:rsidRPr="00EB21C6">
        <w:rPr>
          <w:rFonts w:ascii="Verdana" w:hAnsi="Verdana"/>
          <w:color w:val="000000" w:themeColor="text1"/>
          <w:sz w:val="24"/>
          <w:szCs w:val="24"/>
        </w:rPr>
        <w:t>Participación en Mesa Interinstitucional de Agua Potable y Saneamiento Básico Rural, en dos componentes: Articulación e Innovación para implementación del Conpes 3810 de 2104 “Política para el Suministro de Agua Potable y Saneamiento Básico en la Zona Rural”</w:t>
      </w:r>
    </w:p>
    <w:p w:rsidR="00B722F2" w:rsidRPr="00EB21C6" w:rsidRDefault="00B722F2" w:rsidP="00EB21C6">
      <w:pPr>
        <w:spacing w:after="0" w:line="240" w:lineRule="auto"/>
        <w:ind w:left="284" w:firstLine="424"/>
        <w:jc w:val="both"/>
        <w:rPr>
          <w:rFonts w:ascii="Verdana" w:hAnsi="Verdana"/>
          <w:color w:val="000000" w:themeColor="text1"/>
          <w:sz w:val="24"/>
          <w:szCs w:val="24"/>
        </w:rPr>
      </w:pPr>
    </w:p>
    <w:p w:rsidR="00B722F2" w:rsidRPr="00EB21C6" w:rsidRDefault="00B722F2" w:rsidP="00EB21C6">
      <w:pPr>
        <w:spacing w:after="0" w:line="240" w:lineRule="auto"/>
        <w:ind w:left="426"/>
        <w:jc w:val="both"/>
        <w:rPr>
          <w:rFonts w:ascii="Verdana" w:hAnsi="Verdana"/>
          <w:color w:val="000000" w:themeColor="text1"/>
          <w:sz w:val="24"/>
          <w:szCs w:val="24"/>
        </w:rPr>
      </w:pPr>
      <w:r w:rsidRPr="00EB21C6">
        <w:rPr>
          <w:rFonts w:ascii="Verdana" w:hAnsi="Verdana"/>
          <w:color w:val="000000" w:themeColor="text1"/>
          <w:sz w:val="24"/>
          <w:szCs w:val="24"/>
        </w:rPr>
        <w:t>Banco Agrario - Créditos</w:t>
      </w:r>
    </w:p>
    <w:p w:rsidR="00B722F2" w:rsidRPr="00EB21C6" w:rsidRDefault="00B722F2" w:rsidP="00905C49">
      <w:pPr>
        <w:pStyle w:val="Prrafodelista"/>
        <w:numPr>
          <w:ilvl w:val="0"/>
          <w:numId w:val="96"/>
        </w:numPr>
        <w:spacing w:after="0" w:line="240" w:lineRule="auto"/>
        <w:ind w:left="1134" w:hanging="426"/>
        <w:jc w:val="both"/>
        <w:rPr>
          <w:rFonts w:ascii="Verdana" w:hAnsi="Verdana"/>
          <w:color w:val="000000" w:themeColor="text1"/>
          <w:sz w:val="24"/>
          <w:szCs w:val="24"/>
        </w:rPr>
      </w:pPr>
      <w:r w:rsidRPr="00EB21C6">
        <w:rPr>
          <w:rFonts w:ascii="Verdana" w:hAnsi="Verdana"/>
          <w:color w:val="000000" w:themeColor="text1"/>
          <w:sz w:val="24"/>
          <w:szCs w:val="24"/>
        </w:rPr>
        <w:t>Gestión de cerdito año 2014: 772 operaciones.</w:t>
      </w:r>
    </w:p>
    <w:p w:rsidR="00B722F2" w:rsidRPr="00EB21C6" w:rsidRDefault="00B722F2" w:rsidP="00905C49">
      <w:pPr>
        <w:pStyle w:val="Prrafodelista"/>
        <w:numPr>
          <w:ilvl w:val="0"/>
          <w:numId w:val="96"/>
        </w:numPr>
        <w:spacing w:after="0" w:line="240" w:lineRule="auto"/>
        <w:ind w:left="1134" w:hanging="426"/>
        <w:jc w:val="both"/>
        <w:rPr>
          <w:rFonts w:ascii="Verdana" w:hAnsi="Verdana"/>
          <w:color w:val="000000" w:themeColor="text1"/>
          <w:sz w:val="24"/>
          <w:szCs w:val="24"/>
        </w:rPr>
      </w:pPr>
      <w:r w:rsidRPr="00EB21C6">
        <w:rPr>
          <w:rFonts w:ascii="Verdana" w:hAnsi="Verdana"/>
          <w:color w:val="000000" w:themeColor="text1"/>
          <w:sz w:val="24"/>
          <w:szCs w:val="24"/>
        </w:rPr>
        <w:t>Operaciones desembolsadas 432 por valor de $5.368 millones</w:t>
      </w:r>
      <w:r w:rsidRPr="00EB21C6">
        <w:rPr>
          <w:rFonts w:ascii="Verdana" w:hAnsi="Verdana"/>
          <w:b/>
          <w:bCs/>
          <w:color w:val="000000" w:themeColor="text1"/>
          <w:sz w:val="24"/>
          <w:szCs w:val="24"/>
        </w:rPr>
        <w:t xml:space="preserve"> </w:t>
      </w:r>
    </w:p>
    <w:p w:rsidR="00B722F2" w:rsidRPr="00EB21C6" w:rsidRDefault="00B722F2" w:rsidP="00EB21C6">
      <w:pPr>
        <w:spacing w:after="0" w:line="240" w:lineRule="auto"/>
        <w:ind w:left="284" w:firstLine="424"/>
        <w:jc w:val="both"/>
        <w:rPr>
          <w:rFonts w:ascii="Verdana" w:hAnsi="Verdana"/>
          <w:b/>
          <w:bCs/>
          <w:color w:val="000000" w:themeColor="text1"/>
          <w:sz w:val="24"/>
          <w:szCs w:val="24"/>
          <w:lang w:val="es-ES_tradnl"/>
        </w:rPr>
      </w:pPr>
    </w:p>
    <w:p w:rsidR="00B722F2" w:rsidRPr="00EB21C6" w:rsidRDefault="00B722F2" w:rsidP="00C746F3">
      <w:pPr>
        <w:spacing w:after="0" w:line="240" w:lineRule="auto"/>
        <w:ind w:left="284" w:firstLine="142"/>
        <w:jc w:val="both"/>
        <w:rPr>
          <w:rFonts w:ascii="Verdana" w:hAnsi="Verdana"/>
          <w:color w:val="000000" w:themeColor="text1"/>
          <w:sz w:val="24"/>
          <w:szCs w:val="24"/>
        </w:rPr>
      </w:pPr>
      <w:r w:rsidRPr="00EB21C6">
        <w:rPr>
          <w:rFonts w:ascii="Verdana" w:hAnsi="Verdana"/>
          <w:color w:val="000000" w:themeColor="text1"/>
          <w:sz w:val="24"/>
          <w:szCs w:val="24"/>
        </w:rPr>
        <w:t>Banca de las Oportunidades</w:t>
      </w:r>
    </w:p>
    <w:p w:rsidR="00B722F2" w:rsidRPr="00EB21C6" w:rsidRDefault="00B722F2" w:rsidP="00905C49">
      <w:pPr>
        <w:pStyle w:val="Prrafodelista"/>
        <w:numPr>
          <w:ilvl w:val="0"/>
          <w:numId w:val="97"/>
        </w:numPr>
        <w:spacing w:after="0" w:line="240" w:lineRule="auto"/>
        <w:ind w:left="1134" w:hanging="425"/>
        <w:jc w:val="both"/>
        <w:rPr>
          <w:rFonts w:ascii="Verdana" w:hAnsi="Verdana"/>
          <w:color w:val="000000" w:themeColor="text1"/>
          <w:sz w:val="24"/>
          <w:szCs w:val="24"/>
        </w:rPr>
      </w:pPr>
      <w:r w:rsidRPr="00EB21C6">
        <w:rPr>
          <w:rFonts w:ascii="Verdana" w:hAnsi="Verdana"/>
          <w:color w:val="000000" w:themeColor="text1"/>
          <w:sz w:val="24"/>
          <w:szCs w:val="24"/>
        </w:rPr>
        <w:t>Apertura de 09 cooperativas en los Municipios de Consolidación, como parte de la estrategia de inclusión financiera (Ampliación de cobertura) de la UACT.</w:t>
      </w:r>
    </w:p>
    <w:p w:rsidR="00B722F2" w:rsidRPr="00EB21C6" w:rsidRDefault="00B722F2" w:rsidP="00905C49">
      <w:pPr>
        <w:pStyle w:val="Prrafodelista"/>
        <w:numPr>
          <w:ilvl w:val="0"/>
          <w:numId w:val="97"/>
        </w:numPr>
        <w:spacing w:after="0" w:line="240" w:lineRule="auto"/>
        <w:ind w:left="1134" w:hanging="425"/>
        <w:jc w:val="both"/>
        <w:rPr>
          <w:rFonts w:ascii="Verdana" w:hAnsi="Verdana"/>
          <w:color w:val="000000" w:themeColor="text1"/>
          <w:sz w:val="24"/>
          <w:szCs w:val="24"/>
        </w:rPr>
      </w:pPr>
      <w:r w:rsidRPr="00EB21C6">
        <w:rPr>
          <w:rFonts w:ascii="Verdana" w:hAnsi="Verdana"/>
          <w:color w:val="000000" w:themeColor="text1"/>
          <w:sz w:val="24"/>
          <w:szCs w:val="24"/>
        </w:rPr>
        <w:t>Se capacitaron en educación financiera presencial 41.820 personas, en tres fases, con recursos de la UACT por $325.5 millones y de Bancoldex – Programa de Inversión Banca de las Oportunidades $250 millones, como parte de la estrategia de inclusión financiera (Educación Financiera) de la UACT.</w:t>
      </w:r>
      <w:r w:rsidRPr="00C746F3">
        <w:rPr>
          <w:rFonts w:ascii="Verdana" w:hAnsi="Verdana"/>
          <w:color w:val="000000" w:themeColor="text1"/>
          <w:sz w:val="24"/>
          <w:szCs w:val="24"/>
        </w:rPr>
        <w:t xml:space="preserve"> </w:t>
      </w:r>
    </w:p>
    <w:p w:rsidR="00B722F2" w:rsidRPr="00EB21C6" w:rsidRDefault="00B722F2" w:rsidP="00EB21C6">
      <w:pPr>
        <w:spacing w:after="0" w:line="240" w:lineRule="auto"/>
        <w:ind w:left="284" w:firstLine="424"/>
        <w:jc w:val="both"/>
        <w:rPr>
          <w:rFonts w:ascii="Verdana" w:hAnsi="Verdana"/>
          <w:color w:val="000000" w:themeColor="text1"/>
          <w:sz w:val="24"/>
          <w:szCs w:val="24"/>
        </w:rPr>
      </w:pPr>
    </w:p>
    <w:p w:rsidR="00B722F2" w:rsidRPr="00EB21C6" w:rsidRDefault="00B722F2" w:rsidP="00EB21C6">
      <w:pPr>
        <w:spacing w:after="0" w:line="240" w:lineRule="auto"/>
        <w:ind w:left="284" w:firstLine="424"/>
        <w:jc w:val="both"/>
        <w:rPr>
          <w:rFonts w:ascii="Verdana" w:hAnsi="Verdana"/>
          <w:color w:val="000000" w:themeColor="text1"/>
          <w:sz w:val="24"/>
          <w:szCs w:val="24"/>
        </w:rPr>
      </w:pPr>
    </w:p>
    <w:p w:rsidR="00B722F2" w:rsidRPr="00EB21C6" w:rsidRDefault="00B722F2" w:rsidP="00C746F3">
      <w:pPr>
        <w:spacing w:after="0" w:line="240" w:lineRule="auto"/>
        <w:ind w:left="284" w:firstLine="142"/>
        <w:jc w:val="both"/>
        <w:rPr>
          <w:rFonts w:ascii="Verdana" w:hAnsi="Verdana"/>
          <w:color w:val="000000" w:themeColor="text1"/>
          <w:sz w:val="24"/>
          <w:szCs w:val="24"/>
        </w:rPr>
      </w:pPr>
      <w:r w:rsidRPr="00EB21C6">
        <w:rPr>
          <w:rFonts w:ascii="Verdana" w:hAnsi="Verdana"/>
          <w:color w:val="000000" w:themeColor="text1"/>
          <w:sz w:val="24"/>
          <w:szCs w:val="24"/>
        </w:rPr>
        <w:t>Bancolombia</w:t>
      </w:r>
    </w:p>
    <w:p w:rsidR="00B722F2" w:rsidRPr="00EB21C6" w:rsidRDefault="00EB21C6" w:rsidP="00905C49">
      <w:pPr>
        <w:pStyle w:val="Prrafodelista"/>
        <w:numPr>
          <w:ilvl w:val="0"/>
          <w:numId w:val="97"/>
        </w:numPr>
        <w:spacing w:after="0" w:line="240" w:lineRule="auto"/>
        <w:ind w:left="1134" w:hanging="425"/>
        <w:jc w:val="both"/>
        <w:rPr>
          <w:rFonts w:ascii="Verdana" w:hAnsi="Verdana"/>
          <w:color w:val="000000" w:themeColor="text1"/>
          <w:sz w:val="24"/>
          <w:szCs w:val="24"/>
        </w:rPr>
      </w:pPr>
      <w:r w:rsidRPr="00EB21C6">
        <w:rPr>
          <w:rFonts w:ascii="Verdana" w:hAnsi="Verdana"/>
          <w:color w:val="000000" w:themeColor="text1"/>
          <w:sz w:val="24"/>
          <w:szCs w:val="24"/>
        </w:rPr>
        <w:t>A</w:t>
      </w:r>
      <w:r w:rsidR="00B722F2" w:rsidRPr="00EB21C6">
        <w:rPr>
          <w:rFonts w:ascii="Verdana" w:hAnsi="Verdana"/>
          <w:color w:val="000000" w:themeColor="text1"/>
          <w:sz w:val="24"/>
          <w:szCs w:val="24"/>
        </w:rPr>
        <w:t>pertura de 15 corresponsales bancarios y la atención de 3 puntos de asesores móviles en los Municipios de Consolidación, como parte de la estrategia de inclusión financiera (Ampliación de cobertura) de la UACT.</w:t>
      </w:r>
    </w:p>
    <w:p w:rsidR="00B722F2" w:rsidRPr="00EB21C6" w:rsidRDefault="00B722F2" w:rsidP="00905C49">
      <w:pPr>
        <w:pStyle w:val="Prrafodelista"/>
        <w:numPr>
          <w:ilvl w:val="0"/>
          <w:numId w:val="97"/>
        </w:numPr>
        <w:spacing w:after="0" w:line="240" w:lineRule="auto"/>
        <w:ind w:left="1134" w:hanging="425"/>
        <w:jc w:val="both"/>
        <w:rPr>
          <w:rFonts w:ascii="Verdana" w:hAnsi="Verdana"/>
          <w:color w:val="000000" w:themeColor="text1"/>
          <w:sz w:val="24"/>
          <w:szCs w:val="24"/>
        </w:rPr>
      </w:pPr>
      <w:r w:rsidRPr="00EB21C6">
        <w:rPr>
          <w:rFonts w:ascii="Verdana" w:hAnsi="Verdana"/>
          <w:color w:val="000000" w:themeColor="text1"/>
          <w:sz w:val="24"/>
          <w:szCs w:val="24"/>
        </w:rPr>
        <w:t>Se realizaron 18 talleres de educación financiera en los Municipios de Consolidación, como parte de la estrategia de inclusión financiera (Educación Financiera) de la UACT.</w:t>
      </w:r>
      <w:r w:rsidRPr="00C746F3">
        <w:rPr>
          <w:rFonts w:ascii="Verdana" w:hAnsi="Verdana"/>
          <w:color w:val="000000" w:themeColor="text1"/>
          <w:sz w:val="24"/>
          <w:szCs w:val="24"/>
        </w:rPr>
        <w:t xml:space="preserve"> </w:t>
      </w:r>
    </w:p>
    <w:p w:rsidR="00B722F2" w:rsidRPr="00EB21C6" w:rsidRDefault="00B722F2" w:rsidP="00EB21C6">
      <w:pPr>
        <w:spacing w:after="0" w:line="240" w:lineRule="auto"/>
        <w:ind w:left="284" w:firstLine="424"/>
        <w:jc w:val="both"/>
        <w:rPr>
          <w:rFonts w:ascii="Verdana" w:hAnsi="Verdana"/>
          <w:color w:val="000000" w:themeColor="text1"/>
          <w:sz w:val="24"/>
          <w:szCs w:val="24"/>
        </w:rPr>
      </w:pPr>
    </w:p>
    <w:p w:rsidR="00B722F2" w:rsidRPr="00EB21C6" w:rsidRDefault="00B722F2" w:rsidP="00C746F3">
      <w:pPr>
        <w:spacing w:after="0" w:line="240" w:lineRule="auto"/>
        <w:ind w:left="1134" w:hanging="708"/>
        <w:jc w:val="both"/>
        <w:rPr>
          <w:rFonts w:ascii="Verdana" w:hAnsi="Verdana"/>
          <w:color w:val="000000" w:themeColor="text1"/>
          <w:sz w:val="24"/>
          <w:szCs w:val="24"/>
        </w:rPr>
      </w:pPr>
      <w:r w:rsidRPr="00EB21C6">
        <w:rPr>
          <w:rFonts w:ascii="Verdana" w:hAnsi="Verdana"/>
          <w:color w:val="000000" w:themeColor="text1"/>
          <w:sz w:val="24"/>
          <w:szCs w:val="24"/>
        </w:rPr>
        <w:t>Davivienda</w:t>
      </w:r>
    </w:p>
    <w:p w:rsidR="00B722F2" w:rsidRPr="00C746F3" w:rsidRDefault="00B722F2" w:rsidP="00905C49">
      <w:pPr>
        <w:pStyle w:val="Prrafodelista"/>
        <w:numPr>
          <w:ilvl w:val="0"/>
          <w:numId w:val="97"/>
        </w:numPr>
        <w:spacing w:after="0" w:line="240" w:lineRule="auto"/>
        <w:ind w:left="1134" w:hanging="425"/>
        <w:jc w:val="both"/>
        <w:rPr>
          <w:rFonts w:ascii="Verdana" w:hAnsi="Verdana"/>
          <w:color w:val="000000" w:themeColor="text1"/>
          <w:sz w:val="24"/>
          <w:szCs w:val="24"/>
        </w:rPr>
      </w:pPr>
      <w:r w:rsidRPr="00EB21C6">
        <w:rPr>
          <w:rFonts w:ascii="Verdana" w:hAnsi="Verdana"/>
          <w:color w:val="000000" w:themeColor="text1"/>
          <w:sz w:val="24"/>
          <w:szCs w:val="24"/>
        </w:rPr>
        <w:t>Proceso de apertura de 01 corresponsal bancarios en los Municipios de Consolidación, como parte de la estrategia de inclusión financiera (Ampliación de cobertura) de la UACT.</w:t>
      </w:r>
      <w:r w:rsidRPr="00C746F3">
        <w:rPr>
          <w:rFonts w:ascii="Verdana" w:hAnsi="Verdana"/>
          <w:color w:val="000000" w:themeColor="text1"/>
          <w:sz w:val="24"/>
          <w:szCs w:val="24"/>
        </w:rPr>
        <w:t xml:space="preserve"> </w:t>
      </w:r>
    </w:p>
    <w:p w:rsidR="00B722F2" w:rsidRPr="00B57E80" w:rsidRDefault="00B722F2" w:rsidP="00B722F2">
      <w:pPr>
        <w:spacing w:after="0" w:line="240" w:lineRule="auto"/>
        <w:jc w:val="both"/>
        <w:rPr>
          <w:rFonts w:ascii="Verdana" w:hAnsi="Verdana"/>
          <w:sz w:val="24"/>
          <w:szCs w:val="24"/>
        </w:rPr>
      </w:pPr>
    </w:p>
    <w:p w:rsidR="00B722F2" w:rsidRPr="00B57E80" w:rsidRDefault="00B722F2" w:rsidP="00B722F2">
      <w:pPr>
        <w:spacing w:after="0" w:line="240" w:lineRule="auto"/>
        <w:jc w:val="both"/>
        <w:rPr>
          <w:rFonts w:ascii="Verdana" w:hAnsi="Verdana"/>
          <w:sz w:val="24"/>
          <w:szCs w:val="24"/>
        </w:rPr>
      </w:pPr>
      <w:r w:rsidRPr="00B57E80">
        <w:rPr>
          <w:rFonts w:ascii="Verdana" w:hAnsi="Verdana"/>
          <w:noProof/>
          <w:sz w:val="24"/>
          <w:szCs w:val="24"/>
          <w:lang w:eastAsia="es-CO"/>
        </w:rPr>
        <w:drawing>
          <wp:inline distT="0" distB="0" distL="0" distR="0">
            <wp:extent cx="6320404" cy="2120348"/>
            <wp:effectExtent l="19050" t="0" r="23246" b="0"/>
            <wp:docPr id="31"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722F2" w:rsidRPr="00B57E80" w:rsidRDefault="00B722F2" w:rsidP="00B722F2">
      <w:pPr>
        <w:rPr>
          <w:rFonts w:ascii="Verdana" w:hAnsi="Verdana"/>
          <w:sz w:val="24"/>
          <w:szCs w:val="24"/>
        </w:rPr>
      </w:pPr>
    </w:p>
    <w:p w:rsidR="00B722F2" w:rsidRPr="00B57E80" w:rsidRDefault="00B722F2" w:rsidP="00B722F2">
      <w:pPr>
        <w:spacing w:after="0" w:line="240" w:lineRule="auto"/>
        <w:jc w:val="both"/>
        <w:rPr>
          <w:rFonts w:ascii="Verdana" w:hAnsi="Verdana"/>
          <w:sz w:val="24"/>
          <w:szCs w:val="24"/>
        </w:rPr>
      </w:pPr>
      <w:r w:rsidRPr="00B57E80">
        <w:rPr>
          <w:rFonts w:ascii="Verdana" w:hAnsi="Verdana"/>
          <w:noProof/>
          <w:sz w:val="24"/>
          <w:szCs w:val="24"/>
          <w:lang w:eastAsia="es-CO"/>
        </w:rPr>
        <w:drawing>
          <wp:inline distT="0" distB="0" distL="0" distR="0">
            <wp:extent cx="6259941" cy="2232991"/>
            <wp:effectExtent l="19050" t="0" r="26559" b="0"/>
            <wp:docPr id="32"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B722F2" w:rsidRPr="00B57E80" w:rsidRDefault="00B722F2" w:rsidP="00B722F2">
      <w:pPr>
        <w:spacing w:after="0" w:line="240" w:lineRule="auto"/>
        <w:jc w:val="both"/>
        <w:rPr>
          <w:rFonts w:ascii="Verdana" w:hAnsi="Verdana"/>
          <w:sz w:val="24"/>
          <w:szCs w:val="24"/>
        </w:rPr>
      </w:pPr>
    </w:p>
    <w:p w:rsidR="00B722F2" w:rsidRPr="00B57E80" w:rsidRDefault="00B722F2" w:rsidP="00B722F2">
      <w:pPr>
        <w:spacing w:after="0" w:line="240" w:lineRule="auto"/>
        <w:jc w:val="both"/>
        <w:rPr>
          <w:rFonts w:ascii="Verdana" w:hAnsi="Verdana"/>
          <w:sz w:val="24"/>
          <w:szCs w:val="24"/>
        </w:rPr>
      </w:pPr>
    </w:p>
    <w:p w:rsidR="00B722F2" w:rsidRPr="00DB1E86" w:rsidRDefault="00B722F2" w:rsidP="00DB1E86">
      <w:pPr>
        <w:spacing w:after="0" w:line="240" w:lineRule="auto"/>
        <w:jc w:val="both"/>
        <w:rPr>
          <w:rFonts w:ascii="Verdana" w:hAnsi="Verdana"/>
          <w:color w:val="4F81BD" w:themeColor="accent1"/>
          <w:sz w:val="24"/>
          <w:szCs w:val="24"/>
        </w:rPr>
      </w:pPr>
      <w:r w:rsidRPr="00DB1E86">
        <w:rPr>
          <w:rFonts w:ascii="Verdana" w:hAnsi="Verdana"/>
          <w:color w:val="4F81BD" w:themeColor="accent1"/>
          <w:sz w:val="24"/>
          <w:szCs w:val="24"/>
        </w:rPr>
        <w:t>RESTITUCIÓN DE TIERRAS - AVANCES – MICROFOCALIZACIÓN</w:t>
      </w:r>
    </w:p>
    <w:p w:rsidR="00B722F2" w:rsidRPr="00D7418A" w:rsidRDefault="00B722F2" w:rsidP="00905C49">
      <w:pPr>
        <w:pStyle w:val="Prrafodelista"/>
        <w:numPr>
          <w:ilvl w:val="0"/>
          <w:numId w:val="97"/>
        </w:numPr>
        <w:spacing w:after="0" w:line="240" w:lineRule="auto"/>
        <w:ind w:left="1080"/>
        <w:jc w:val="both"/>
        <w:rPr>
          <w:rFonts w:ascii="Verdana" w:hAnsi="Verdana"/>
          <w:bCs/>
          <w:sz w:val="24"/>
          <w:szCs w:val="24"/>
        </w:rPr>
      </w:pPr>
      <w:r w:rsidRPr="00D7418A">
        <w:rPr>
          <w:rFonts w:ascii="Verdana" w:hAnsi="Verdana"/>
          <w:bCs/>
          <w:sz w:val="24"/>
          <w:szCs w:val="24"/>
        </w:rPr>
        <w:t>Los municipios de Consolidación representan el 12% del total de los municipios microfocalizados en el País.</w:t>
      </w:r>
    </w:p>
    <w:p w:rsidR="00B722F2" w:rsidRPr="00B57E80" w:rsidRDefault="00B722F2" w:rsidP="00B722F2">
      <w:pPr>
        <w:spacing w:after="0" w:line="240" w:lineRule="auto"/>
        <w:jc w:val="both"/>
        <w:rPr>
          <w:rFonts w:ascii="Verdana" w:hAnsi="Verdana"/>
          <w:sz w:val="24"/>
          <w:szCs w:val="24"/>
        </w:rPr>
      </w:pPr>
    </w:p>
    <w:tbl>
      <w:tblPr>
        <w:tblW w:w="5000" w:type="pct"/>
        <w:jc w:val="center"/>
        <w:tblCellMar>
          <w:left w:w="70" w:type="dxa"/>
          <w:right w:w="70" w:type="dxa"/>
        </w:tblCellMar>
        <w:tblLook w:val="04A0"/>
      </w:tblPr>
      <w:tblGrid>
        <w:gridCol w:w="5126"/>
        <w:gridCol w:w="5040"/>
      </w:tblGrid>
      <w:tr w:rsidR="00B722F2" w:rsidRPr="00B57E80" w:rsidTr="00C746F3">
        <w:trPr>
          <w:trHeight w:val="375"/>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4F81BD" w:fill="4F81BD"/>
            <w:noWrap/>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MICROFOCALIZACIÓN EN CONSOLIDACIÓN</w:t>
            </w:r>
          </w:p>
        </w:tc>
      </w:tr>
      <w:tr w:rsidR="00B722F2" w:rsidRPr="00B57E80" w:rsidTr="00C746F3">
        <w:trPr>
          <w:trHeight w:val="300"/>
          <w:jc w:val="center"/>
        </w:trPr>
        <w:tc>
          <w:tcPr>
            <w:tcW w:w="2521" w:type="pct"/>
            <w:tcBorders>
              <w:top w:val="nil"/>
              <w:left w:val="single" w:sz="4" w:space="0" w:color="auto"/>
              <w:bottom w:val="single" w:sz="4" w:space="0" w:color="auto"/>
              <w:right w:val="single" w:sz="4" w:space="0" w:color="auto"/>
            </w:tcBorders>
            <w:shd w:val="clear" w:color="B8CCE4" w:fill="FFFFFF"/>
            <w:noWrap/>
            <w:vAlign w:val="center"/>
            <w:hideMark/>
          </w:tcPr>
          <w:p w:rsidR="00B722F2" w:rsidRPr="00B57E80" w:rsidRDefault="00B722F2" w:rsidP="00B722F2">
            <w:pPr>
              <w:spacing w:after="0" w:line="240" w:lineRule="auto"/>
              <w:jc w:val="center"/>
              <w:rPr>
                <w:rFonts w:ascii="Verdana" w:eastAsia="Times New Roman" w:hAnsi="Verdana" w:cs="Times New Roman"/>
                <w:b/>
                <w:bCs/>
                <w:color w:val="000000"/>
                <w:sz w:val="16"/>
                <w:szCs w:val="16"/>
                <w:lang w:eastAsia="es-CO"/>
              </w:rPr>
            </w:pPr>
            <w:r w:rsidRPr="00B57E80">
              <w:rPr>
                <w:rFonts w:ascii="Verdana" w:eastAsia="Times New Roman" w:hAnsi="Verdana" w:cs="Times New Roman"/>
                <w:b/>
                <w:bCs/>
                <w:color w:val="000000"/>
                <w:sz w:val="16"/>
                <w:szCs w:val="16"/>
                <w:lang w:eastAsia="es-CO"/>
              </w:rPr>
              <w:t>DEPTO</w:t>
            </w:r>
          </w:p>
        </w:tc>
        <w:tc>
          <w:tcPr>
            <w:tcW w:w="2479" w:type="pct"/>
            <w:tcBorders>
              <w:top w:val="nil"/>
              <w:left w:val="nil"/>
              <w:bottom w:val="single" w:sz="4" w:space="0" w:color="auto"/>
              <w:right w:val="single" w:sz="4" w:space="0" w:color="auto"/>
            </w:tcBorders>
            <w:shd w:val="clear" w:color="B8CCE4" w:fill="FFFFFF"/>
            <w:noWrap/>
            <w:vAlign w:val="center"/>
            <w:hideMark/>
          </w:tcPr>
          <w:p w:rsidR="00B722F2" w:rsidRPr="00B57E80" w:rsidRDefault="00B722F2" w:rsidP="00B722F2">
            <w:pPr>
              <w:spacing w:after="0" w:line="240" w:lineRule="auto"/>
              <w:jc w:val="center"/>
              <w:rPr>
                <w:rFonts w:ascii="Verdana" w:eastAsia="Times New Roman" w:hAnsi="Verdana" w:cs="Times New Roman"/>
                <w:b/>
                <w:bCs/>
                <w:color w:val="000000"/>
                <w:sz w:val="16"/>
                <w:szCs w:val="16"/>
                <w:lang w:eastAsia="es-CO"/>
              </w:rPr>
            </w:pPr>
            <w:r w:rsidRPr="00B57E80">
              <w:rPr>
                <w:rFonts w:ascii="Verdana" w:eastAsia="Times New Roman" w:hAnsi="Verdana" w:cs="Times New Roman"/>
                <w:b/>
                <w:bCs/>
                <w:color w:val="000000"/>
                <w:sz w:val="16"/>
                <w:szCs w:val="16"/>
                <w:lang w:eastAsia="es-CO"/>
              </w:rPr>
              <w:t>MUNICIPIO</w:t>
            </w:r>
          </w:p>
        </w:tc>
      </w:tr>
      <w:tr w:rsidR="00B722F2" w:rsidRPr="00B57E80" w:rsidTr="00C746F3">
        <w:trPr>
          <w:trHeight w:val="300"/>
          <w:jc w:val="center"/>
        </w:trPr>
        <w:tc>
          <w:tcPr>
            <w:tcW w:w="2521" w:type="pct"/>
            <w:tcBorders>
              <w:top w:val="nil"/>
              <w:left w:val="single" w:sz="4" w:space="0" w:color="auto"/>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Tolima </w:t>
            </w:r>
          </w:p>
        </w:tc>
        <w:tc>
          <w:tcPr>
            <w:tcW w:w="2479" w:type="pct"/>
            <w:tcBorders>
              <w:top w:val="nil"/>
              <w:left w:val="nil"/>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Ataco </w:t>
            </w:r>
          </w:p>
        </w:tc>
      </w:tr>
      <w:tr w:rsidR="00B722F2" w:rsidRPr="00B57E80" w:rsidTr="00C746F3">
        <w:trPr>
          <w:trHeight w:val="300"/>
          <w:jc w:val="center"/>
        </w:trPr>
        <w:tc>
          <w:tcPr>
            <w:tcW w:w="2521" w:type="pct"/>
            <w:tcBorders>
              <w:top w:val="nil"/>
              <w:left w:val="single" w:sz="4" w:space="0" w:color="auto"/>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Tolima </w:t>
            </w:r>
          </w:p>
        </w:tc>
        <w:tc>
          <w:tcPr>
            <w:tcW w:w="2479" w:type="pct"/>
            <w:tcBorders>
              <w:top w:val="nil"/>
              <w:left w:val="nil"/>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Chaparral </w:t>
            </w:r>
          </w:p>
        </w:tc>
      </w:tr>
      <w:tr w:rsidR="00B722F2" w:rsidRPr="00B57E80" w:rsidTr="00C746F3">
        <w:trPr>
          <w:trHeight w:val="300"/>
          <w:jc w:val="center"/>
        </w:trPr>
        <w:tc>
          <w:tcPr>
            <w:tcW w:w="2521" w:type="pct"/>
            <w:tcBorders>
              <w:top w:val="nil"/>
              <w:left w:val="single" w:sz="4" w:space="0" w:color="auto"/>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Antioquia </w:t>
            </w:r>
          </w:p>
        </w:tc>
        <w:tc>
          <w:tcPr>
            <w:tcW w:w="2479" w:type="pct"/>
            <w:tcBorders>
              <w:top w:val="nil"/>
              <w:left w:val="nil"/>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Cáceres </w:t>
            </w:r>
          </w:p>
        </w:tc>
      </w:tr>
      <w:tr w:rsidR="00B722F2" w:rsidRPr="00B57E80" w:rsidTr="00C746F3">
        <w:trPr>
          <w:trHeight w:val="300"/>
          <w:jc w:val="center"/>
        </w:trPr>
        <w:tc>
          <w:tcPr>
            <w:tcW w:w="2521" w:type="pct"/>
            <w:tcBorders>
              <w:top w:val="nil"/>
              <w:left w:val="single" w:sz="4" w:space="0" w:color="auto"/>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Antioquia </w:t>
            </w:r>
          </w:p>
        </w:tc>
        <w:tc>
          <w:tcPr>
            <w:tcW w:w="2479" w:type="pct"/>
            <w:tcBorders>
              <w:top w:val="nil"/>
              <w:left w:val="nil"/>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Caucasia </w:t>
            </w:r>
          </w:p>
        </w:tc>
      </w:tr>
      <w:tr w:rsidR="00B722F2" w:rsidRPr="00B57E80" w:rsidTr="00C746F3">
        <w:trPr>
          <w:trHeight w:val="300"/>
          <w:jc w:val="center"/>
        </w:trPr>
        <w:tc>
          <w:tcPr>
            <w:tcW w:w="2521" w:type="pct"/>
            <w:tcBorders>
              <w:top w:val="nil"/>
              <w:left w:val="single" w:sz="4" w:space="0" w:color="auto"/>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Antioquia </w:t>
            </w:r>
          </w:p>
        </w:tc>
        <w:tc>
          <w:tcPr>
            <w:tcW w:w="2479" w:type="pct"/>
            <w:tcBorders>
              <w:top w:val="nil"/>
              <w:left w:val="nil"/>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El Bagre </w:t>
            </w:r>
          </w:p>
        </w:tc>
      </w:tr>
      <w:tr w:rsidR="00B722F2" w:rsidRPr="00B57E80" w:rsidTr="00C746F3">
        <w:trPr>
          <w:trHeight w:val="300"/>
          <w:jc w:val="center"/>
        </w:trPr>
        <w:tc>
          <w:tcPr>
            <w:tcW w:w="2521" w:type="pct"/>
            <w:tcBorders>
              <w:top w:val="nil"/>
              <w:left w:val="single" w:sz="4" w:space="0" w:color="auto"/>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Norte de Santander </w:t>
            </w:r>
          </w:p>
        </w:tc>
        <w:tc>
          <w:tcPr>
            <w:tcW w:w="2479" w:type="pct"/>
            <w:tcBorders>
              <w:top w:val="nil"/>
              <w:left w:val="nil"/>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Tibú </w:t>
            </w:r>
          </w:p>
        </w:tc>
      </w:tr>
      <w:tr w:rsidR="00B722F2" w:rsidRPr="00B57E80" w:rsidTr="00C746F3">
        <w:trPr>
          <w:trHeight w:val="300"/>
          <w:jc w:val="center"/>
        </w:trPr>
        <w:tc>
          <w:tcPr>
            <w:tcW w:w="2521" w:type="pct"/>
            <w:tcBorders>
              <w:top w:val="nil"/>
              <w:left w:val="single" w:sz="4" w:space="0" w:color="auto"/>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Norte de Santander </w:t>
            </w:r>
          </w:p>
        </w:tc>
        <w:tc>
          <w:tcPr>
            <w:tcW w:w="2479" w:type="pct"/>
            <w:tcBorders>
              <w:top w:val="nil"/>
              <w:left w:val="nil"/>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 El Carmen </w:t>
            </w:r>
          </w:p>
        </w:tc>
      </w:tr>
      <w:tr w:rsidR="00B722F2" w:rsidRPr="00B57E80" w:rsidTr="00C746F3">
        <w:trPr>
          <w:trHeight w:val="300"/>
          <w:jc w:val="center"/>
        </w:trPr>
        <w:tc>
          <w:tcPr>
            <w:tcW w:w="2521" w:type="pct"/>
            <w:tcBorders>
              <w:top w:val="nil"/>
              <w:left w:val="single" w:sz="4" w:space="0" w:color="auto"/>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Bolívar </w:t>
            </w:r>
          </w:p>
        </w:tc>
        <w:tc>
          <w:tcPr>
            <w:tcW w:w="2479" w:type="pct"/>
            <w:tcBorders>
              <w:top w:val="nil"/>
              <w:left w:val="nil"/>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El Carmen de Bolívar </w:t>
            </w:r>
          </w:p>
        </w:tc>
      </w:tr>
      <w:tr w:rsidR="00B722F2" w:rsidRPr="00B57E80" w:rsidTr="00C746F3">
        <w:trPr>
          <w:trHeight w:val="300"/>
          <w:jc w:val="center"/>
        </w:trPr>
        <w:tc>
          <w:tcPr>
            <w:tcW w:w="2521" w:type="pct"/>
            <w:tcBorders>
              <w:top w:val="nil"/>
              <w:left w:val="single" w:sz="4" w:space="0" w:color="auto"/>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Bolívar </w:t>
            </w:r>
          </w:p>
        </w:tc>
        <w:tc>
          <w:tcPr>
            <w:tcW w:w="2479" w:type="pct"/>
            <w:tcBorders>
              <w:top w:val="nil"/>
              <w:left w:val="nil"/>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San Jacinto </w:t>
            </w:r>
          </w:p>
        </w:tc>
      </w:tr>
      <w:tr w:rsidR="00B722F2" w:rsidRPr="00B57E80" w:rsidTr="00C746F3">
        <w:trPr>
          <w:trHeight w:val="300"/>
          <w:jc w:val="center"/>
        </w:trPr>
        <w:tc>
          <w:tcPr>
            <w:tcW w:w="2521" w:type="pct"/>
            <w:tcBorders>
              <w:top w:val="nil"/>
              <w:left w:val="single" w:sz="4" w:space="0" w:color="auto"/>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Sucre </w:t>
            </w:r>
          </w:p>
        </w:tc>
        <w:tc>
          <w:tcPr>
            <w:tcW w:w="2479" w:type="pct"/>
            <w:tcBorders>
              <w:top w:val="nil"/>
              <w:left w:val="nil"/>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Ovejas </w:t>
            </w:r>
          </w:p>
        </w:tc>
      </w:tr>
      <w:tr w:rsidR="00B722F2" w:rsidRPr="00B57E80" w:rsidTr="00C746F3">
        <w:trPr>
          <w:trHeight w:val="300"/>
          <w:jc w:val="center"/>
        </w:trPr>
        <w:tc>
          <w:tcPr>
            <w:tcW w:w="2521" w:type="pct"/>
            <w:tcBorders>
              <w:top w:val="nil"/>
              <w:left w:val="single" w:sz="4" w:space="0" w:color="auto"/>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Sucre </w:t>
            </w:r>
          </w:p>
        </w:tc>
        <w:tc>
          <w:tcPr>
            <w:tcW w:w="2479" w:type="pct"/>
            <w:tcBorders>
              <w:top w:val="nil"/>
              <w:left w:val="nil"/>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San Onofre </w:t>
            </w:r>
          </w:p>
        </w:tc>
      </w:tr>
      <w:tr w:rsidR="00B722F2" w:rsidRPr="00B57E80" w:rsidTr="00C746F3">
        <w:trPr>
          <w:trHeight w:val="300"/>
          <w:jc w:val="center"/>
        </w:trPr>
        <w:tc>
          <w:tcPr>
            <w:tcW w:w="2521" w:type="pct"/>
            <w:tcBorders>
              <w:top w:val="nil"/>
              <w:left w:val="single" w:sz="4" w:space="0" w:color="auto"/>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Meta </w:t>
            </w:r>
          </w:p>
        </w:tc>
        <w:tc>
          <w:tcPr>
            <w:tcW w:w="2479" w:type="pct"/>
            <w:tcBorders>
              <w:top w:val="nil"/>
              <w:left w:val="nil"/>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San Juan de Arama </w:t>
            </w:r>
          </w:p>
        </w:tc>
      </w:tr>
      <w:tr w:rsidR="00B722F2" w:rsidRPr="00B57E80" w:rsidTr="00C746F3">
        <w:trPr>
          <w:trHeight w:val="300"/>
          <w:jc w:val="center"/>
        </w:trPr>
        <w:tc>
          <w:tcPr>
            <w:tcW w:w="2521" w:type="pct"/>
            <w:tcBorders>
              <w:top w:val="nil"/>
              <w:left w:val="single" w:sz="4" w:space="0" w:color="auto"/>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Cauca </w:t>
            </w:r>
          </w:p>
        </w:tc>
        <w:tc>
          <w:tcPr>
            <w:tcW w:w="2479" w:type="pct"/>
            <w:tcBorders>
              <w:top w:val="nil"/>
              <w:left w:val="nil"/>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Santander de Quilichao </w:t>
            </w:r>
          </w:p>
        </w:tc>
      </w:tr>
      <w:tr w:rsidR="00B722F2" w:rsidRPr="00B57E80" w:rsidTr="00C746F3">
        <w:trPr>
          <w:trHeight w:val="300"/>
          <w:jc w:val="center"/>
        </w:trPr>
        <w:tc>
          <w:tcPr>
            <w:tcW w:w="2521" w:type="pct"/>
            <w:tcBorders>
              <w:top w:val="nil"/>
              <w:left w:val="single" w:sz="4" w:space="0" w:color="auto"/>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Córdoba </w:t>
            </w:r>
          </w:p>
        </w:tc>
        <w:tc>
          <w:tcPr>
            <w:tcW w:w="2479" w:type="pct"/>
            <w:tcBorders>
              <w:top w:val="nil"/>
              <w:left w:val="nil"/>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Tierralta </w:t>
            </w:r>
          </w:p>
        </w:tc>
      </w:tr>
      <w:tr w:rsidR="00B722F2" w:rsidRPr="00B57E80" w:rsidTr="00C746F3">
        <w:trPr>
          <w:trHeight w:val="300"/>
          <w:jc w:val="center"/>
        </w:trPr>
        <w:tc>
          <w:tcPr>
            <w:tcW w:w="2521" w:type="pct"/>
            <w:tcBorders>
              <w:top w:val="nil"/>
              <w:left w:val="single" w:sz="4" w:space="0" w:color="auto"/>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Córdoba </w:t>
            </w:r>
          </w:p>
        </w:tc>
        <w:tc>
          <w:tcPr>
            <w:tcW w:w="2479" w:type="pct"/>
            <w:tcBorders>
              <w:top w:val="nil"/>
              <w:left w:val="nil"/>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Valencia </w:t>
            </w:r>
          </w:p>
        </w:tc>
      </w:tr>
      <w:tr w:rsidR="00B722F2" w:rsidRPr="00B57E80" w:rsidTr="00C746F3">
        <w:trPr>
          <w:trHeight w:val="300"/>
          <w:jc w:val="center"/>
        </w:trPr>
        <w:tc>
          <w:tcPr>
            <w:tcW w:w="2521" w:type="pct"/>
            <w:tcBorders>
              <w:top w:val="single" w:sz="4" w:space="0" w:color="auto"/>
              <w:left w:val="single" w:sz="4" w:space="0" w:color="auto"/>
              <w:bottom w:val="single" w:sz="4" w:space="0" w:color="auto"/>
              <w:right w:val="single" w:sz="4" w:space="0" w:color="auto"/>
            </w:tcBorders>
            <w:shd w:val="clear" w:color="B8CCE4" w:fill="auto"/>
            <w:noWrap/>
            <w:vAlign w:val="center"/>
            <w:hideMark/>
          </w:tcPr>
          <w:p w:rsidR="00B722F2" w:rsidRPr="00B57E80" w:rsidRDefault="00B722F2" w:rsidP="00B722F2">
            <w:pPr>
              <w:spacing w:after="0" w:line="240" w:lineRule="auto"/>
              <w:jc w:val="center"/>
              <w:rPr>
                <w:rFonts w:ascii="Verdana" w:eastAsia="Times New Roman" w:hAnsi="Verdana" w:cs="Times New Roman"/>
                <w:b/>
                <w:bCs/>
                <w:color w:val="000000"/>
                <w:sz w:val="16"/>
                <w:szCs w:val="16"/>
                <w:lang w:eastAsia="es-CO"/>
              </w:rPr>
            </w:pPr>
            <w:r w:rsidRPr="00B57E80">
              <w:rPr>
                <w:rFonts w:ascii="Verdana" w:eastAsia="Times New Roman" w:hAnsi="Verdana" w:cs="Times New Roman"/>
                <w:b/>
                <w:bCs/>
                <w:color w:val="000000"/>
                <w:sz w:val="16"/>
                <w:szCs w:val="16"/>
                <w:lang w:eastAsia="es-CO"/>
              </w:rPr>
              <w:t>TOTAL MUNICIPIOS</w:t>
            </w:r>
          </w:p>
        </w:tc>
        <w:tc>
          <w:tcPr>
            <w:tcW w:w="2479" w:type="pct"/>
            <w:tcBorders>
              <w:top w:val="single" w:sz="4" w:space="0" w:color="auto"/>
              <w:left w:val="nil"/>
              <w:bottom w:val="single" w:sz="4" w:space="0" w:color="auto"/>
              <w:right w:val="single" w:sz="4" w:space="0" w:color="auto"/>
            </w:tcBorders>
            <w:shd w:val="clear" w:color="B8CCE4" w:fill="auto"/>
            <w:noWrap/>
            <w:vAlign w:val="center"/>
            <w:hideMark/>
          </w:tcPr>
          <w:p w:rsidR="00B722F2" w:rsidRPr="00B57E80" w:rsidRDefault="00B722F2" w:rsidP="00B722F2">
            <w:pPr>
              <w:spacing w:after="0" w:line="240" w:lineRule="auto"/>
              <w:jc w:val="center"/>
              <w:rPr>
                <w:rFonts w:ascii="Verdana" w:eastAsia="Times New Roman" w:hAnsi="Verdana" w:cs="Times New Roman"/>
                <w:b/>
                <w:bCs/>
                <w:color w:val="000000"/>
                <w:sz w:val="16"/>
                <w:szCs w:val="16"/>
                <w:lang w:eastAsia="es-CO"/>
              </w:rPr>
            </w:pPr>
            <w:r w:rsidRPr="00B57E80">
              <w:rPr>
                <w:rFonts w:ascii="Verdana" w:eastAsia="Times New Roman" w:hAnsi="Verdana" w:cs="Times New Roman"/>
                <w:b/>
                <w:bCs/>
                <w:color w:val="000000"/>
                <w:sz w:val="16"/>
                <w:szCs w:val="16"/>
                <w:lang w:eastAsia="es-CO"/>
              </w:rPr>
              <w:t>15</w:t>
            </w:r>
          </w:p>
        </w:tc>
      </w:tr>
    </w:tbl>
    <w:p w:rsidR="00B722F2" w:rsidRPr="00B57E80" w:rsidRDefault="00B722F2" w:rsidP="00B722F2">
      <w:pPr>
        <w:spacing w:after="0" w:line="240" w:lineRule="auto"/>
        <w:jc w:val="both"/>
        <w:rPr>
          <w:rFonts w:ascii="Verdana" w:hAnsi="Verdana"/>
          <w:sz w:val="24"/>
          <w:szCs w:val="24"/>
        </w:rPr>
      </w:pPr>
    </w:p>
    <w:p w:rsidR="00B722F2" w:rsidRPr="00B57E80" w:rsidRDefault="00B722F2" w:rsidP="00B722F2">
      <w:pPr>
        <w:spacing w:after="0" w:line="240" w:lineRule="auto"/>
        <w:jc w:val="both"/>
        <w:rPr>
          <w:rFonts w:ascii="Verdana" w:hAnsi="Verdana"/>
          <w:sz w:val="24"/>
          <w:szCs w:val="24"/>
        </w:rPr>
      </w:pPr>
    </w:p>
    <w:tbl>
      <w:tblPr>
        <w:tblW w:w="5000" w:type="pct"/>
        <w:jc w:val="center"/>
        <w:tblCellMar>
          <w:left w:w="70" w:type="dxa"/>
          <w:right w:w="70" w:type="dxa"/>
        </w:tblCellMar>
        <w:tblLook w:val="04A0"/>
      </w:tblPr>
      <w:tblGrid>
        <w:gridCol w:w="5165"/>
        <w:gridCol w:w="3582"/>
        <w:gridCol w:w="1419"/>
      </w:tblGrid>
      <w:tr w:rsidR="00B722F2" w:rsidRPr="00B57E80" w:rsidTr="00C746F3">
        <w:trPr>
          <w:trHeight w:val="375"/>
          <w:jc w:val="center"/>
        </w:trPr>
        <w:tc>
          <w:tcPr>
            <w:tcW w:w="5000" w:type="pct"/>
            <w:gridSpan w:val="3"/>
            <w:tcBorders>
              <w:top w:val="single" w:sz="4" w:space="0" w:color="auto"/>
              <w:left w:val="single" w:sz="4" w:space="0" w:color="auto"/>
              <w:bottom w:val="single" w:sz="4" w:space="0" w:color="auto"/>
              <w:right w:val="nil"/>
            </w:tcBorders>
            <w:shd w:val="clear" w:color="4F81BD" w:fill="4F81BD"/>
            <w:vAlign w:val="center"/>
            <w:hideMark/>
          </w:tcPr>
          <w:p w:rsidR="00B722F2" w:rsidRPr="00B57E80" w:rsidRDefault="00C746F3" w:rsidP="00B722F2">
            <w:pPr>
              <w:spacing w:after="0" w:line="240" w:lineRule="auto"/>
              <w:jc w:val="center"/>
              <w:rPr>
                <w:rFonts w:ascii="Verdana" w:eastAsia="Times New Roman" w:hAnsi="Verdana" w:cs="Times New Roman"/>
                <w:b/>
                <w:bCs/>
                <w:color w:val="FFFFFF"/>
                <w:sz w:val="16"/>
                <w:szCs w:val="16"/>
                <w:lang w:eastAsia="es-CO"/>
              </w:rPr>
            </w:pPr>
            <w:r>
              <w:rPr>
                <w:rFonts w:ascii="Verdana" w:eastAsia="Times New Roman" w:hAnsi="Verdana" w:cs="Times New Roman"/>
                <w:b/>
                <w:bCs/>
                <w:color w:val="FFFFFF"/>
                <w:sz w:val="16"/>
                <w:szCs w:val="16"/>
                <w:lang w:eastAsia="es-CO"/>
              </w:rPr>
              <w:t xml:space="preserve">MICROFOCALIZACIÓN DE </w:t>
            </w:r>
            <w:r w:rsidR="00B722F2" w:rsidRPr="00B57E80">
              <w:rPr>
                <w:rFonts w:ascii="Verdana" w:eastAsia="Times New Roman" w:hAnsi="Verdana" w:cs="Times New Roman"/>
                <w:b/>
                <w:bCs/>
                <w:color w:val="FFFFFF"/>
                <w:sz w:val="16"/>
                <w:szCs w:val="16"/>
                <w:lang w:eastAsia="es-CO"/>
              </w:rPr>
              <w:t>LA RESTITUCIÓN DE TIERRAS</w:t>
            </w:r>
          </w:p>
        </w:tc>
      </w:tr>
      <w:tr w:rsidR="00B722F2" w:rsidRPr="00B57E80" w:rsidTr="00C746F3">
        <w:trPr>
          <w:trHeight w:val="300"/>
          <w:jc w:val="center"/>
        </w:trPr>
        <w:tc>
          <w:tcPr>
            <w:tcW w:w="2540" w:type="pct"/>
            <w:tcBorders>
              <w:top w:val="nil"/>
              <w:left w:val="single" w:sz="4" w:space="0" w:color="auto"/>
              <w:bottom w:val="single" w:sz="4" w:space="0" w:color="auto"/>
              <w:right w:val="single" w:sz="4" w:space="0" w:color="auto"/>
            </w:tcBorders>
            <w:shd w:val="clear" w:color="B8CCE4" w:fill="FFFFFF"/>
            <w:vAlign w:val="bottom"/>
            <w:hideMark/>
          </w:tcPr>
          <w:p w:rsidR="00B722F2" w:rsidRPr="00B57E80" w:rsidRDefault="00B722F2" w:rsidP="00B722F2">
            <w:pPr>
              <w:spacing w:after="0" w:line="240" w:lineRule="auto"/>
              <w:jc w:val="center"/>
              <w:rPr>
                <w:rFonts w:ascii="Verdana" w:eastAsia="Times New Roman" w:hAnsi="Verdana" w:cs="Times New Roman"/>
                <w:b/>
                <w:bCs/>
                <w:color w:val="000000"/>
                <w:sz w:val="16"/>
                <w:szCs w:val="16"/>
                <w:lang w:eastAsia="es-CO"/>
              </w:rPr>
            </w:pPr>
            <w:r w:rsidRPr="00B57E80">
              <w:rPr>
                <w:rFonts w:ascii="Verdana" w:eastAsia="Times New Roman" w:hAnsi="Verdana" w:cs="Times New Roman"/>
                <w:b/>
                <w:bCs/>
                <w:color w:val="000000"/>
                <w:sz w:val="16"/>
                <w:szCs w:val="16"/>
                <w:lang w:eastAsia="es-CO"/>
              </w:rPr>
              <w:t>A NIVEL NACIONAL</w:t>
            </w:r>
          </w:p>
        </w:tc>
        <w:tc>
          <w:tcPr>
            <w:tcW w:w="1762" w:type="pct"/>
            <w:tcBorders>
              <w:top w:val="nil"/>
              <w:left w:val="nil"/>
              <w:bottom w:val="single" w:sz="4" w:space="0" w:color="auto"/>
              <w:right w:val="single" w:sz="4" w:space="0" w:color="auto"/>
            </w:tcBorders>
            <w:shd w:val="clear" w:color="B8CCE4" w:fill="FFFFFF"/>
            <w:vAlign w:val="bottom"/>
            <w:hideMark/>
          </w:tcPr>
          <w:p w:rsidR="00B722F2" w:rsidRPr="00B57E80" w:rsidRDefault="00B722F2" w:rsidP="00B722F2">
            <w:pPr>
              <w:spacing w:after="0" w:line="240" w:lineRule="auto"/>
              <w:jc w:val="center"/>
              <w:rPr>
                <w:rFonts w:ascii="Verdana" w:eastAsia="Times New Roman" w:hAnsi="Verdana" w:cs="Times New Roman"/>
                <w:b/>
                <w:bCs/>
                <w:color w:val="000000"/>
                <w:sz w:val="16"/>
                <w:szCs w:val="16"/>
                <w:lang w:eastAsia="es-CO"/>
              </w:rPr>
            </w:pPr>
            <w:r w:rsidRPr="00B57E80">
              <w:rPr>
                <w:rFonts w:ascii="Verdana" w:eastAsia="Times New Roman" w:hAnsi="Verdana" w:cs="Times New Roman"/>
                <w:b/>
                <w:bCs/>
                <w:color w:val="000000"/>
                <w:sz w:val="16"/>
                <w:szCs w:val="16"/>
                <w:lang w:eastAsia="es-CO"/>
              </w:rPr>
              <w:t>EN CONSOLIDACIÓN</w:t>
            </w:r>
          </w:p>
        </w:tc>
        <w:tc>
          <w:tcPr>
            <w:tcW w:w="698" w:type="pct"/>
            <w:tcBorders>
              <w:top w:val="nil"/>
              <w:left w:val="nil"/>
              <w:bottom w:val="single" w:sz="4" w:space="0" w:color="auto"/>
              <w:right w:val="single" w:sz="4" w:space="0" w:color="auto"/>
            </w:tcBorders>
            <w:shd w:val="clear" w:color="B8CCE4" w:fill="FFFFFF"/>
            <w:vAlign w:val="bottom"/>
            <w:hideMark/>
          </w:tcPr>
          <w:p w:rsidR="00B722F2" w:rsidRPr="00B57E80" w:rsidRDefault="00B722F2" w:rsidP="00B722F2">
            <w:pPr>
              <w:spacing w:after="0" w:line="240" w:lineRule="auto"/>
              <w:jc w:val="center"/>
              <w:rPr>
                <w:rFonts w:ascii="Verdana" w:eastAsia="Times New Roman" w:hAnsi="Verdana" w:cs="Times New Roman"/>
                <w:b/>
                <w:bCs/>
                <w:color w:val="000000"/>
                <w:sz w:val="16"/>
                <w:szCs w:val="16"/>
                <w:lang w:eastAsia="es-CO"/>
              </w:rPr>
            </w:pPr>
            <w:r w:rsidRPr="00B57E80">
              <w:rPr>
                <w:rFonts w:ascii="Verdana" w:eastAsia="Times New Roman" w:hAnsi="Verdana" w:cs="Times New Roman"/>
                <w:b/>
                <w:bCs/>
                <w:color w:val="000000"/>
                <w:sz w:val="16"/>
                <w:szCs w:val="16"/>
                <w:lang w:eastAsia="es-CO"/>
              </w:rPr>
              <w:t>%</w:t>
            </w:r>
          </w:p>
        </w:tc>
      </w:tr>
      <w:tr w:rsidR="00B722F2" w:rsidRPr="00B57E80" w:rsidTr="00C746F3">
        <w:trPr>
          <w:trHeight w:val="705"/>
          <w:jc w:val="center"/>
        </w:trPr>
        <w:tc>
          <w:tcPr>
            <w:tcW w:w="2540" w:type="pct"/>
            <w:tcBorders>
              <w:top w:val="nil"/>
              <w:left w:val="single" w:sz="4" w:space="0" w:color="auto"/>
              <w:bottom w:val="single" w:sz="4" w:space="0" w:color="auto"/>
              <w:right w:val="single" w:sz="4" w:space="0" w:color="auto"/>
            </w:tcBorders>
            <w:shd w:val="clear" w:color="DBE5F1" w:fill="DBE5F1"/>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123 Municipios, que representa el 9% de los municipios de Colombia</w:t>
            </w:r>
          </w:p>
        </w:tc>
        <w:tc>
          <w:tcPr>
            <w:tcW w:w="1762" w:type="pct"/>
            <w:tcBorders>
              <w:top w:val="nil"/>
              <w:left w:val="nil"/>
              <w:bottom w:val="single" w:sz="4" w:space="0" w:color="auto"/>
              <w:right w:val="single" w:sz="4" w:space="0" w:color="auto"/>
            </w:tcBorders>
            <w:shd w:val="clear" w:color="DBE5F1" w:fill="DBE5F1"/>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15 Municipios microfocalizados</w:t>
            </w:r>
          </w:p>
        </w:tc>
        <w:tc>
          <w:tcPr>
            <w:tcW w:w="698" w:type="pct"/>
            <w:tcBorders>
              <w:top w:val="nil"/>
              <w:left w:val="nil"/>
              <w:bottom w:val="single" w:sz="4" w:space="0" w:color="auto"/>
              <w:right w:val="single" w:sz="4" w:space="0" w:color="auto"/>
            </w:tcBorders>
            <w:shd w:val="clear" w:color="DBE5F1" w:fill="DBE5F1"/>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12</w:t>
            </w:r>
          </w:p>
        </w:tc>
      </w:tr>
    </w:tbl>
    <w:p w:rsidR="00B722F2" w:rsidRPr="00B57E80" w:rsidRDefault="00B722F2" w:rsidP="00B722F2">
      <w:pPr>
        <w:spacing w:after="0" w:line="240" w:lineRule="auto"/>
        <w:jc w:val="both"/>
        <w:rPr>
          <w:rFonts w:ascii="Verdana" w:hAnsi="Verdana"/>
          <w:sz w:val="24"/>
          <w:szCs w:val="24"/>
        </w:rPr>
      </w:pPr>
    </w:p>
    <w:p w:rsidR="00B722F2" w:rsidRPr="00B57E80" w:rsidRDefault="00B722F2" w:rsidP="00B722F2">
      <w:pPr>
        <w:spacing w:after="0" w:line="240" w:lineRule="auto"/>
        <w:jc w:val="both"/>
        <w:rPr>
          <w:rFonts w:ascii="Verdana" w:hAnsi="Verdana"/>
          <w:b/>
          <w:color w:val="E36C0A" w:themeColor="accent6" w:themeShade="BF"/>
          <w:sz w:val="24"/>
          <w:szCs w:val="24"/>
        </w:rPr>
      </w:pPr>
    </w:p>
    <w:p w:rsidR="00B722F2" w:rsidRPr="00D7418A" w:rsidRDefault="00B722F2" w:rsidP="00B722F2">
      <w:pPr>
        <w:spacing w:after="0" w:line="240" w:lineRule="auto"/>
        <w:jc w:val="both"/>
        <w:rPr>
          <w:rFonts w:ascii="Verdana" w:hAnsi="Verdana"/>
          <w:color w:val="4F81BD" w:themeColor="accent1"/>
          <w:sz w:val="24"/>
          <w:szCs w:val="24"/>
        </w:rPr>
      </w:pPr>
      <w:r w:rsidRPr="00D7418A">
        <w:rPr>
          <w:rFonts w:ascii="Verdana" w:hAnsi="Verdana"/>
          <w:color w:val="4F81BD" w:themeColor="accent1"/>
          <w:sz w:val="24"/>
          <w:szCs w:val="24"/>
        </w:rPr>
        <w:t>RESTITUCIÓN DE TIERRAS – FALLOS</w:t>
      </w:r>
    </w:p>
    <w:p w:rsidR="00B722F2" w:rsidRPr="00B57E80" w:rsidRDefault="00B722F2" w:rsidP="00B722F2">
      <w:pPr>
        <w:spacing w:after="0" w:line="240" w:lineRule="auto"/>
        <w:jc w:val="both"/>
        <w:rPr>
          <w:rFonts w:ascii="Verdana" w:hAnsi="Verdana"/>
          <w:sz w:val="24"/>
          <w:szCs w:val="24"/>
        </w:rPr>
      </w:pPr>
      <w:r w:rsidRPr="00C746F3">
        <w:rPr>
          <w:rFonts w:ascii="Verdana" w:hAnsi="Verdana"/>
          <w:color w:val="000000" w:themeColor="text1"/>
          <w:sz w:val="24"/>
          <w:szCs w:val="24"/>
        </w:rPr>
        <w:t>Con menor número de municipios donde se ha proferido fallos de restitución de tierras, se han proferido, porcentualmente, mayor número de fallos a favor de las comunidades</w:t>
      </w:r>
      <w:r w:rsidRPr="00B57E80">
        <w:rPr>
          <w:rFonts w:ascii="Verdana" w:hAnsi="Verdana"/>
          <w:sz w:val="24"/>
          <w:szCs w:val="24"/>
        </w:rPr>
        <w:t>.</w:t>
      </w:r>
      <w:r w:rsidRPr="00B57E80">
        <w:rPr>
          <w:rFonts w:ascii="Verdana" w:hAnsi="Verdana"/>
          <w:b/>
          <w:bCs/>
          <w:sz w:val="24"/>
          <w:szCs w:val="24"/>
        </w:rPr>
        <w:t xml:space="preserve"> </w:t>
      </w:r>
    </w:p>
    <w:p w:rsidR="00B722F2" w:rsidRPr="00B57E80" w:rsidRDefault="00B722F2" w:rsidP="00B722F2">
      <w:pPr>
        <w:spacing w:after="0" w:line="240" w:lineRule="auto"/>
        <w:jc w:val="both"/>
        <w:rPr>
          <w:rFonts w:ascii="Verdana" w:hAnsi="Verdana"/>
          <w:sz w:val="24"/>
          <w:szCs w:val="24"/>
        </w:rPr>
      </w:pPr>
    </w:p>
    <w:p w:rsidR="00B722F2" w:rsidRPr="00B57E80" w:rsidRDefault="00B722F2" w:rsidP="00B722F2">
      <w:pPr>
        <w:spacing w:after="0" w:line="240" w:lineRule="auto"/>
        <w:jc w:val="both"/>
        <w:rPr>
          <w:rFonts w:ascii="Verdana" w:hAnsi="Verdana"/>
          <w:sz w:val="24"/>
          <w:szCs w:val="24"/>
        </w:rPr>
      </w:pPr>
    </w:p>
    <w:tbl>
      <w:tblPr>
        <w:tblW w:w="5000" w:type="pct"/>
        <w:jc w:val="center"/>
        <w:tblCellMar>
          <w:left w:w="70" w:type="dxa"/>
          <w:right w:w="70" w:type="dxa"/>
        </w:tblCellMar>
        <w:tblLook w:val="04A0"/>
      </w:tblPr>
      <w:tblGrid>
        <w:gridCol w:w="3485"/>
        <w:gridCol w:w="4119"/>
        <w:gridCol w:w="2562"/>
      </w:tblGrid>
      <w:tr w:rsidR="00B722F2" w:rsidRPr="00B57E80" w:rsidTr="00D7418A">
        <w:trPr>
          <w:trHeight w:val="375"/>
          <w:jc w:val="center"/>
        </w:trPr>
        <w:tc>
          <w:tcPr>
            <w:tcW w:w="5000" w:type="pct"/>
            <w:gridSpan w:val="3"/>
            <w:tcBorders>
              <w:top w:val="single" w:sz="4" w:space="0" w:color="auto"/>
              <w:left w:val="single" w:sz="4" w:space="0" w:color="auto"/>
              <w:bottom w:val="single" w:sz="4" w:space="0" w:color="auto"/>
              <w:right w:val="nil"/>
            </w:tcBorders>
            <w:shd w:val="clear" w:color="4F81BD" w:fill="4F81BD"/>
            <w:noWrap/>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SENTENCIAS DE RESTITUCIÓN EN CONSOLIDACIÓN</w:t>
            </w:r>
          </w:p>
        </w:tc>
      </w:tr>
      <w:tr w:rsidR="00B722F2" w:rsidRPr="00B57E80" w:rsidTr="00D7418A">
        <w:trPr>
          <w:trHeight w:val="300"/>
          <w:jc w:val="center"/>
        </w:trPr>
        <w:tc>
          <w:tcPr>
            <w:tcW w:w="1714" w:type="pct"/>
            <w:tcBorders>
              <w:top w:val="nil"/>
              <w:left w:val="single" w:sz="4" w:space="0" w:color="auto"/>
              <w:bottom w:val="single" w:sz="4" w:space="0" w:color="auto"/>
              <w:right w:val="single" w:sz="4" w:space="0" w:color="auto"/>
            </w:tcBorders>
            <w:shd w:val="clear" w:color="B8CCE4" w:fill="FFFFFF"/>
            <w:noWrap/>
            <w:vAlign w:val="bottom"/>
            <w:hideMark/>
          </w:tcPr>
          <w:p w:rsidR="00B722F2" w:rsidRPr="00B57E80" w:rsidRDefault="00B722F2" w:rsidP="00B722F2">
            <w:pPr>
              <w:spacing w:after="0" w:line="240" w:lineRule="auto"/>
              <w:jc w:val="center"/>
              <w:rPr>
                <w:rFonts w:ascii="Verdana" w:eastAsia="Times New Roman" w:hAnsi="Verdana" w:cs="Times New Roman"/>
                <w:b/>
                <w:bCs/>
                <w:color w:val="000000"/>
                <w:sz w:val="16"/>
                <w:szCs w:val="16"/>
                <w:lang w:eastAsia="es-CO"/>
              </w:rPr>
            </w:pPr>
            <w:r w:rsidRPr="00B57E80">
              <w:rPr>
                <w:rFonts w:ascii="Verdana" w:eastAsia="Times New Roman" w:hAnsi="Verdana" w:cs="Times New Roman"/>
                <w:b/>
                <w:bCs/>
                <w:color w:val="000000"/>
                <w:sz w:val="16"/>
                <w:szCs w:val="16"/>
                <w:lang w:eastAsia="es-CO"/>
              </w:rPr>
              <w:t>DEPTO</w:t>
            </w:r>
          </w:p>
        </w:tc>
        <w:tc>
          <w:tcPr>
            <w:tcW w:w="2026" w:type="pct"/>
            <w:tcBorders>
              <w:top w:val="nil"/>
              <w:left w:val="nil"/>
              <w:bottom w:val="single" w:sz="4" w:space="0" w:color="auto"/>
              <w:right w:val="single" w:sz="4" w:space="0" w:color="auto"/>
            </w:tcBorders>
            <w:shd w:val="clear" w:color="B8CCE4" w:fill="FFFFFF"/>
            <w:noWrap/>
            <w:vAlign w:val="bottom"/>
            <w:hideMark/>
          </w:tcPr>
          <w:p w:rsidR="00B722F2" w:rsidRPr="00B57E80" w:rsidRDefault="00B722F2" w:rsidP="00B722F2">
            <w:pPr>
              <w:spacing w:after="0" w:line="240" w:lineRule="auto"/>
              <w:jc w:val="center"/>
              <w:rPr>
                <w:rFonts w:ascii="Verdana" w:eastAsia="Times New Roman" w:hAnsi="Verdana" w:cs="Times New Roman"/>
                <w:b/>
                <w:bCs/>
                <w:color w:val="000000"/>
                <w:sz w:val="16"/>
                <w:szCs w:val="16"/>
                <w:lang w:eastAsia="es-CO"/>
              </w:rPr>
            </w:pPr>
            <w:r w:rsidRPr="00B57E80">
              <w:rPr>
                <w:rFonts w:ascii="Verdana" w:eastAsia="Times New Roman" w:hAnsi="Verdana" w:cs="Times New Roman"/>
                <w:b/>
                <w:bCs/>
                <w:color w:val="000000"/>
                <w:sz w:val="16"/>
                <w:szCs w:val="16"/>
                <w:lang w:eastAsia="es-CO"/>
              </w:rPr>
              <w:t>MUNICIPIO</w:t>
            </w:r>
          </w:p>
        </w:tc>
        <w:tc>
          <w:tcPr>
            <w:tcW w:w="1260" w:type="pct"/>
            <w:tcBorders>
              <w:top w:val="nil"/>
              <w:left w:val="nil"/>
              <w:bottom w:val="single" w:sz="4" w:space="0" w:color="auto"/>
              <w:right w:val="single" w:sz="4" w:space="0" w:color="auto"/>
            </w:tcBorders>
            <w:shd w:val="clear" w:color="B8CCE4" w:fill="FFFFFF"/>
            <w:noWrap/>
            <w:vAlign w:val="bottom"/>
            <w:hideMark/>
          </w:tcPr>
          <w:p w:rsidR="00B722F2" w:rsidRPr="00B57E80" w:rsidRDefault="00B722F2" w:rsidP="00B722F2">
            <w:pPr>
              <w:spacing w:after="0" w:line="240" w:lineRule="auto"/>
              <w:jc w:val="center"/>
              <w:rPr>
                <w:rFonts w:ascii="Verdana" w:eastAsia="Times New Roman" w:hAnsi="Verdana" w:cs="Times New Roman"/>
                <w:b/>
                <w:bCs/>
                <w:color w:val="000000"/>
                <w:sz w:val="16"/>
                <w:szCs w:val="16"/>
                <w:lang w:eastAsia="es-CO"/>
              </w:rPr>
            </w:pPr>
            <w:r w:rsidRPr="00B57E80">
              <w:rPr>
                <w:rFonts w:ascii="Verdana" w:eastAsia="Times New Roman" w:hAnsi="Verdana" w:cs="Times New Roman"/>
                <w:b/>
                <w:bCs/>
                <w:color w:val="000000"/>
                <w:sz w:val="16"/>
                <w:szCs w:val="16"/>
                <w:lang w:eastAsia="es-CO"/>
              </w:rPr>
              <w:t>SENTENCIAS</w:t>
            </w:r>
          </w:p>
        </w:tc>
      </w:tr>
      <w:tr w:rsidR="00B722F2" w:rsidRPr="00B57E80" w:rsidTr="00D7418A">
        <w:trPr>
          <w:trHeight w:val="300"/>
          <w:jc w:val="center"/>
        </w:trPr>
        <w:tc>
          <w:tcPr>
            <w:tcW w:w="1714" w:type="pct"/>
            <w:tcBorders>
              <w:top w:val="nil"/>
              <w:left w:val="single" w:sz="4" w:space="0" w:color="auto"/>
              <w:bottom w:val="single" w:sz="4" w:space="0" w:color="auto"/>
              <w:right w:val="single" w:sz="4" w:space="0" w:color="auto"/>
            </w:tcBorders>
            <w:shd w:val="clear" w:color="DBE5F1" w:fill="DBE5F1"/>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  Bolívar </w:t>
            </w:r>
          </w:p>
        </w:tc>
        <w:tc>
          <w:tcPr>
            <w:tcW w:w="2026" w:type="pct"/>
            <w:tcBorders>
              <w:top w:val="nil"/>
              <w:left w:val="nil"/>
              <w:bottom w:val="single" w:sz="4" w:space="0" w:color="auto"/>
              <w:right w:val="single" w:sz="4" w:space="0" w:color="auto"/>
            </w:tcBorders>
            <w:shd w:val="clear" w:color="DBE5F1" w:fill="DBE5F1"/>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Carmen de Bolívar</w:t>
            </w:r>
          </w:p>
        </w:tc>
        <w:tc>
          <w:tcPr>
            <w:tcW w:w="1260" w:type="pct"/>
            <w:tcBorders>
              <w:top w:val="nil"/>
              <w:left w:val="nil"/>
              <w:bottom w:val="single" w:sz="4" w:space="0" w:color="auto"/>
              <w:right w:val="single" w:sz="4" w:space="0" w:color="auto"/>
            </w:tcBorders>
            <w:shd w:val="clear" w:color="DBE5F1" w:fill="DBE5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14</w:t>
            </w:r>
          </w:p>
        </w:tc>
      </w:tr>
      <w:tr w:rsidR="00B722F2" w:rsidRPr="00B57E80" w:rsidTr="00D7418A">
        <w:trPr>
          <w:trHeight w:val="300"/>
          <w:jc w:val="center"/>
        </w:trPr>
        <w:tc>
          <w:tcPr>
            <w:tcW w:w="1714" w:type="pct"/>
            <w:tcBorders>
              <w:top w:val="nil"/>
              <w:left w:val="single" w:sz="4" w:space="0" w:color="auto"/>
              <w:bottom w:val="single" w:sz="4" w:space="0" w:color="auto"/>
              <w:right w:val="single" w:sz="4" w:space="0" w:color="auto"/>
            </w:tcBorders>
            <w:shd w:val="clear" w:color="B8CCE4" w:fill="B8CCE4"/>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  Córdoba </w:t>
            </w:r>
          </w:p>
        </w:tc>
        <w:tc>
          <w:tcPr>
            <w:tcW w:w="2026" w:type="pct"/>
            <w:tcBorders>
              <w:top w:val="nil"/>
              <w:left w:val="nil"/>
              <w:bottom w:val="single" w:sz="4" w:space="0" w:color="auto"/>
              <w:right w:val="single" w:sz="4" w:space="0" w:color="auto"/>
            </w:tcBorders>
            <w:shd w:val="clear" w:color="B8CCE4" w:fill="B8CCE4"/>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Valencia </w:t>
            </w:r>
          </w:p>
        </w:tc>
        <w:tc>
          <w:tcPr>
            <w:tcW w:w="1260" w:type="pct"/>
            <w:tcBorders>
              <w:top w:val="nil"/>
              <w:left w:val="nil"/>
              <w:bottom w:val="single" w:sz="4" w:space="0" w:color="auto"/>
              <w:right w:val="single" w:sz="4" w:space="0" w:color="auto"/>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7</w:t>
            </w:r>
          </w:p>
        </w:tc>
      </w:tr>
      <w:tr w:rsidR="00B722F2" w:rsidRPr="00B57E80" w:rsidTr="00D7418A">
        <w:trPr>
          <w:trHeight w:val="300"/>
          <w:jc w:val="center"/>
        </w:trPr>
        <w:tc>
          <w:tcPr>
            <w:tcW w:w="1714" w:type="pct"/>
            <w:tcBorders>
              <w:top w:val="nil"/>
              <w:left w:val="single" w:sz="4" w:space="0" w:color="auto"/>
              <w:bottom w:val="single" w:sz="4" w:space="0" w:color="auto"/>
              <w:right w:val="single" w:sz="4" w:space="0" w:color="auto"/>
            </w:tcBorders>
            <w:shd w:val="clear" w:color="DBE5F1" w:fill="DBE5F1"/>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Norte de Santander</w:t>
            </w:r>
          </w:p>
        </w:tc>
        <w:tc>
          <w:tcPr>
            <w:tcW w:w="2026" w:type="pct"/>
            <w:tcBorders>
              <w:top w:val="nil"/>
              <w:left w:val="nil"/>
              <w:bottom w:val="single" w:sz="4" w:space="0" w:color="auto"/>
              <w:right w:val="single" w:sz="4" w:space="0" w:color="auto"/>
            </w:tcBorders>
            <w:shd w:val="clear" w:color="DBE5F1" w:fill="DBE5F1"/>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Tibú </w:t>
            </w:r>
          </w:p>
        </w:tc>
        <w:tc>
          <w:tcPr>
            <w:tcW w:w="1260" w:type="pct"/>
            <w:tcBorders>
              <w:top w:val="nil"/>
              <w:left w:val="nil"/>
              <w:bottom w:val="single" w:sz="4" w:space="0" w:color="auto"/>
              <w:right w:val="single" w:sz="4" w:space="0" w:color="auto"/>
            </w:tcBorders>
            <w:shd w:val="clear" w:color="DBE5F1" w:fill="DBE5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8</w:t>
            </w:r>
          </w:p>
        </w:tc>
      </w:tr>
      <w:tr w:rsidR="00B722F2" w:rsidRPr="00B57E80" w:rsidTr="00D7418A">
        <w:trPr>
          <w:trHeight w:val="300"/>
          <w:jc w:val="center"/>
        </w:trPr>
        <w:tc>
          <w:tcPr>
            <w:tcW w:w="1714" w:type="pct"/>
            <w:tcBorders>
              <w:top w:val="nil"/>
              <w:left w:val="single" w:sz="4" w:space="0" w:color="auto"/>
              <w:bottom w:val="single" w:sz="4" w:space="0" w:color="auto"/>
              <w:right w:val="single" w:sz="4" w:space="0" w:color="auto"/>
            </w:tcBorders>
            <w:shd w:val="clear" w:color="B8CCE4" w:fill="B8CCE4"/>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  Putumayo </w:t>
            </w:r>
          </w:p>
        </w:tc>
        <w:tc>
          <w:tcPr>
            <w:tcW w:w="2026" w:type="pct"/>
            <w:tcBorders>
              <w:top w:val="nil"/>
              <w:left w:val="nil"/>
              <w:bottom w:val="single" w:sz="4" w:space="0" w:color="auto"/>
              <w:right w:val="single" w:sz="4" w:space="0" w:color="auto"/>
            </w:tcBorders>
            <w:shd w:val="clear" w:color="B8CCE4" w:fill="B8CCE4"/>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Valle del Guamuez</w:t>
            </w:r>
          </w:p>
        </w:tc>
        <w:tc>
          <w:tcPr>
            <w:tcW w:w="1260" w:type="pct"/>
            <w:tcBorders>
              <w:top w:val="nil"/>
              <w:left w:val="nil"/>
              <w:bottom w:val="single" w:sz="4" w:space="0" w:color="auto"/>
              <w:right w:val="single" w:sz="4" w:space="0" w:color="auto"/>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64</w:t>
            </w:r>
          </w:p>
        </w:tc>
      </w:tr>
      <w:tr w:rsidR="00B722F2" w:rsidRPr="00B57E80" w:rsidTr="00D7418A">
        <w:trPr>
          <w:trHeight w:val="300"/>
          <w:jc w:val="center"/>
        </w:trPr>
        <w:tc>
          <w:tcPr>
            <w:tcW w:w="1714" w:type="pct"/>
            <w:tcBorders>
              <w:top w:val="nil"/>
              <w:left w:val="single" w:sz="4" w:space="0" w:color="auto"/>
              <w:bottom w:val="single" w:sz="4" w:space="0" w:color="auto"/>
              <w:right w:val="single" w:sz="4" w:space="0" w:color="auto"/>
            </w:tcBorders>
            <w:shd w:val="clear" w:color="DBE5F1" w:fill="DBE5F1"/>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  Sucre </w:t>
            </w:r>
          </w:p>
        </w:tc>
        <w:tc>
          <w:tcPr>
            <w:tcW w:w="2026" w:type="pct"/>
            <w:tcBorders>
              <w:top w:val="nil"/>
              <w:left w:val="nil"/>
              <w:bottom w:val="single" w:sz="4" w:space="0" w:color="auto"/>
              <w:right w:val="single" w:sz="4" w:space="0" w:color="auto"/>
            </w:tcBorders>
            <w:shd w:val="clear" w:color="DBE5F1" w:fill="DBE5F1"/>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  Ovejas </w:t>
            </w:r>
          </w:p>
        </w:tc>
        <w:tc>
          <w:tcPr>
            <w:tcW w:w="1260" w:type="pct"/>
            <w:tcBorders>
              <w:top w:val="nil"/>
              <w:left w:val="nil"/>
              <w:bottom w:val="single" w:sz="4" w:space="0" w:color="auto"/>
              <w:right w:val="single" w:sz="4" w:space="0" w:color="auto"/>
            </w:tcBorders>
            <w:shd w:val="clear" w:color="DBE5F1" w:fill="DBE5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18</w:t>
            </w:r>
          </w:p>
        </w:tc>
      </w:tr>
      <w:tr w:rsidR="00B722F2" w:rsidRPr="00B57E80" w:rsidTr="00D7418A">
        <w:trPr>
          <w:trHeight w:val="300"/>
          <w:jc w:val="center"/>
        </w:trPr>
        <w:tc>
          <w:tcPr>
            <w:tcW w:w="1714" w:type="pct"/>
            <w:tcBorders>
              <w:top w:val="nil"/>
              <w:left w:val="single" w:sz="4" w:space="0" w:color="auto"/>
              <w:bottom w:val="single" w:sz="4" w:space="0" w:color="auto"/>
              <w:right w:val="single" w:sz="4" w:space="0" w:color="auto"/>
            </w:tcBorders>
            <w:shd w:val="clear" w:color="B8CCE4" w:fill="B8CCE4"/>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  Tolima </w:t>
            </w:r>
          </w:p>
        </w:tc>
        <w:tc>
          <w:tcPr>
            <w:tcW w:w="2026" w:type="pct"/>
            <w:tcBorders>
              <w:top w:val="nil"/>
              <w:left w:val="nil"/>
              <w:bottom w:val="single" w:sz="4" w:space="0" w:color="auto"/>
              <w:right w:val="single" w:sz="4" w:space="0" w:color="auto"/>
            </w:tcBorders>
            <w:shd w:val="clear" w:color="B8CCE4" w:fill="B8CCE4"/>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  Ataco </w:t>
            </w:r>
          </w:p>
        </w:tc>
        <w:tc>
          <w:tcPr>
            <w:tcW w:w="1260" w:type="pct"/>
            <w:tcBorders>
              <w:top w:val="nil"/>
              <w:left w:val="nil"/>
              <w:bottom w:val="single" w:sz="4" w:space="0" w:color="auto"/>
              <w:right w:val="single" w:sz="4" w:space="0" w:color="auto"/>
            </w:tcBorders>
            <w:shd w:val="clear" w:color="B8CCE4" w:fill="B8CCE4"/>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84</w:t>
            </w:r>
          </w:p>
        </w:tc>
      </w:tr>
      <w:tr w:rsidR="00B722F2" w:rsidRPr="00B57E80" w:rsidTr="00D7418A">
        <w:trPr>
          <w:trHeight w:val="300"/>
          <w:jc w:val="center"/>
        </w:trPr>
        <w:tc>
          <w:tcPr>
            <w:tcW w:w="1714" w:type="pct"/>
            <w:tcBorders>
              <w:top w:val="nil"/>
              <w:left w:val="single" w:sz="4" w:space="0" w:color="auto"/>
              <w:bottom w:val="single" w:sz="4" w:space="0" w:color="auto"/>
              <w:right w:val="single" w:sz="4" w:space="0" w:color="auto"/>
            </w:tcBorders>
            <w:shd w:val="clear" w:color="DBE5F1" w:fill="DBE5F1"/>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  Cauca </w:t>
            </w:r>
          </w:p>
        </w:tc>
        <w:tc>
          <w:tcPr>
            <w:tcW w:w="2026" w:type="pct"/>
            <w:tcBorders>
              <w:top w:val="nil"/>
              <w:left w:val="nil"/>
              <w:bottom w:val="single" w:sz="4" w:space="0" w:color="auto"/>
              <w:right w:val="single" w:sz="4" w:space="0" w:color="auto"/>
            </w:tcBorders>
            <w:shd w:val="clear" w:color="DBE5F1" w:fill="DBE5F1"/>
            <w:noWrap/>
            <w:vAlign w:val="bottom"/>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Santander de Quilichao</w:t>
            </w:r>
          </w:p>
        </w:tc>
        <w:tc>
          <w:tcPr>
            <w:tcW w:w="1260" w:type="pct"/>
            <w:tcBorders>
              <w:top w:val="nil"/>
              <w:left w:val="nil"/>
              <w:bottom w:val="single" w:sz="4" w:space="0" w:color="auto"/>
              <w:right w:val="single" w:sz="4" w:space="0" w:color="auto"/>
            </w:tcBorders>
            <w:shd w:val="clear" w:color="DBE5F1" w:fill="DBE5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4</w:t>
            </w:r>
          </w:p>
        </w:tc>
      </w:tr>
      <w:tr w:rsidR="00B722F2" w:rsidRPr="00B57E80" w:rsidTr="00D7418A">
        <w:trPr>
          <w:trHeight w:val="375"/>
          <w:jc w:val="center"/>
        </w:trPr>
        <w:tc>
          <w:tcPr>
            <w:tcW w:w="3740" w:type="pct"/>
            <w:gridSpan w:val="2"/>
            <w:tcBorders>
              <w:top w:val="single" w:sz="4" w:space="0" w:color="auto"/>
              <w:left w:val="single" w:sz="4" w:space="0" w:color="auto"/>
              <w:bottom w:val="single" w:sz="4" w:space="0" w:color="auto"/>
              <w:right w:val="single" w:sz="4" w:space="0" w:color="000000"/>
            </w:tcBorders>
            <w:shd w:val="clear" w:color="B8CCE4" w:fill="FFFFFF"/>
            <w:noWrap/>
            <w:vAlign w:val="bottom"/>
            <w:hideMark/>
          </w:tcPr>
          <w:p w:rsidR="00B722F2" w:rsidRPr="00B57E80" w:rsidRDefault="00B722F2" w:rsidP="00B722F2">
            <w:pPr>
              <w:spacing w:after="0" w:line="240" w:lineRule="auto"/>
              <w:jc w:val="center"/>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TOTAL</w:t>
            </w:r>
          </w:p>
        </w:tc>
        <w:tc>
          <w:tcPr>
            <w:tcW w:w="1260" w:type="pct"/>
            <w:tcBorders>
              <w:top w:val="nil"/>
              <w:left w:val="nil"/>
              <w:bottom w:val="single" w:sz="4" w:space="0" w:color="auto"/>
              <w:right w:val="single" w:sz="4" w:space="0" w:color="auto"/>
            </w:tcBorders>
            <w:shd w:val="clear" w:color="B8CCE4" w:fill="FFFFFF"/>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199</w:t>
            </w:r>
          </w:p>
        </w:tc>
      </w:tr>
    </w:tbl>
    <w:p w:rsidR="00B722F2" w:rsidRPr="00B57E80" w:rsidRDefault="00B722F2" w:rsidP="00B722F2">
      <w:pPr>
        <w:spacing w:after="0" w:line="240" w:lineRule="auto"/>
        <w:jc w:val="both"/>
        <w:rPr>
          <w:rFonts w:ascii="Verdana" w:hAnsi="Verdana"/>
          <w:sz w:val="24"/>
          <w:szCs w:val="24"/>
        </w:rPr>
      </w:pPr>
    </w:p>
    <w:p w:rsidR="00B722F2" w:rsidRPr="00B57E80" w:rsidRDefault="00B722F2" w:rsidP="00B722F2">
      <w:pPr>
        <w:spacing w:after="0" w:line="240" w:lineRule="auto"/>
        <w:jc w:val="both"/>
        <w:rPr>
          <w:rFonts w:ascii="Verdana" w:hAnsi="Verdana"/>
          <w:sz w:val="24"/>
          <w:szCs w:val="24"/>
        </w:rPr>
      </w:pPr>
    </w:p>
    <w:tbl>
      <w:tblPr>
        <w:tblW w:w="5000" w:type="pct"/>
        <w:jc w:val="center"/>
        <w:tblCellMar>
          <w:left w:w="70" w:type="dxa"/>
          <w:right w:w="70" w:type="dxa"/>
        </w:tblCellMar>
        <w:tblLook w:val="04A0"/>
      </w:tblPr>
      <w:tblGrid>
        <w:gridCol w:w="4579"/>
        <w:gridCol w:w="4623"/>
        <w:gridCol w:w="964"/>
      </w:tblGrid>
      <w:tr w:rsidR="00B722F2" w:rsidRPr="00B57E80" w:rsidTr="00D7418A">
        <w:trPr>
          <w:trHeight w:val="375"/>
          <w:jc w:val="center"/>
        </w:trPr>
        <w:tc>
          <w:tcPr>
            <w:tcW w:w="5000" w:type="pct"/>
            <w:gridSpan w:val="3"/>
            <w:tcBorders>
              <w:top w:val="single" w:sz="4" w:space="0" w:color="auto"/>
              <w:left w:val="single" w:sz="4" w:space="0" w:color="auto"/>
              <w:bottom w:val="single" w:sz="4" w:space="0" w:color="auto"/>
              <w:right w:val="nil"/>
            </w:tcBorders>
            <w:shd w:val="clear" w:color="4F81BD" w:fill="4F81BD"/>
            <w:noWrap/>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 xml:space="preserve">FALLOS DE RESTITUCIÓN DE TIERRAS </w:t>
            </w:r>
          </w:p>
        </w:tc>
      </w:tr>
      <w:tr w:rsidR="00B722F2" w:rsidRPr="00B57E80" w:rsidTr="00D7418A">
        <w:trPr>
          <w:trHeight w:val="300"/>
          <w:jc w:val="center"/>
        </w:trPr>
        <w:tc>
          <w:tcPr>
            <w:tcW w:w="2252" w:type="pct"/>
            <w:tcBorders>
              <w:top w:val="nil"/>
              <w:left w:val="single" w:sz="4" w:space="0" w:color="auto"/>
              <w:bottom w:val="single" w:sz="4" w:space="0" w:color="auto"/>
              <w:right w:val="single" w:sz="4" w:space="0" w:color="auto"/>
            </w:tcBorders>
            <w:shd w:val="clear" w:color="B8CCE4" w:fill="FFFFFF"/>
            <w:noWrap/>
            <w:vAlign w:val="bottom"/>
            <w:hideMark/>
          </w:tcPr>
          <w:p w:rsidR="00B722F2" w:rsidRPr="00B57E80" w:rsidRDefault="00B722F2" w:rsidP="00B722F2">
            <w:pPr>
              <w:spacing w:after="0" w:line="240" w:lineRule="auto"/>
              <w:jc w:val="center"/>
              <w:rPr>
                <w:rFonts w:ascii="Verdana" w:eastAsia="Times New Roman" w:hAnsi="Verdana" w:cs="Times New Roman"/>
                <w:b/>
                <w:bCs/>
                <w:color w:val="000000"/>
                <w:sz w:val="16"/>
                <w:szCs w:val="16"/>
                <w:lang w:eastAsia="es-CO"/>
              </w:rPr>
            </w:pPr>
            <w:r w:rsidRPr="00B57E80">
              <w:rPr>
                <w:rFonts w:ascii="Verdana" w:eastAsia="Times New Roman" w:hAnsi="Verdana" w:cs="Times New Roman"/>
                <w:b/>
                <w:bCs/>
                <w:color w:val="000000"/>
                <w:sz w:val="16"/>
                <w:szCs w:val="16"/>
                <w:lang w:eastAsia="es-CO"/>
              </w:rPr>
              <w:t>A NIVEL NACIONAL</w:t>
            </w:r>
          </w:p>
        </w:tc>
        <w:tc>
          <w:tcPr>
            <w:tcW w:w="2274" w:type="pct"/>
            <w:tcBorders>
              <w:top w:val="nil"/>
              <w:left w:val="nil"/>
              <w:bottom w:val="single" w:sz="4" w:space="0" w:color="auto"/>
              <w:right w:val="single" w:sz="4" w:space="0" w:color="auto"/>
            </w:tcBorders>
            <w:shd w:val="clear" w:color="B8CCE4" w:fill="FFFFFF"/>
            <w:noWrap/>
            <w:vAlign w:val="bottom"/>
            <w:hideMark/>
          </w:tcPr>
          <w:p w:rsidR="00B722F2" w:rsidRPr="00B57E80" w:rsidRDefault="00B722F2" w:rsidP="00B722F2">
            <w:pPr>
              <w:spacing w:after="0" w:line="240" w:lineRule="auto"/>
              <w:jc w:val="center"/>
              <w:rPr>
                <w:rFonts w:ascii="Verdana" w:eastAsia="Times New Roman" w:hAnsi="Verdana" w:cs="Times New Roman"/>
                <w:b/>
                <w:bCs/>
                <w:color w:val="000000"/>
                <w:sz w:val="16"/>
                <w:szCs w:val="16"/>
                <w:lang w:eastAsia="es-CO"/>
              </w:rPr>
            </w:pPr>
            <w:r w:rsidRPr="00B57E80">
              <w:rPr>
                <w:rFonts w:ascii="Verdana" w:eastAsia="Times New Roman" w:hAnsi="Verdana" w:cs="Times New Roman"/>
                <w:b/>
                <w:bCs/>
                <w:color w:val="000000"/>
                <w:sz w:val="16"/>
                <w:szCs w:val="16"/>
                <w:lang w:eastAsia="es-CO"/>
              </w:rPr>
              <w:t>EN CONSOLIDACIÓN</w:t>
            </w:r>
          </w:p>
        </w:tc>
        <w:tc>
          <w:tcPr>
            <w:tcW w:w="475" w:type="pct"/>
            <w:tcBorders>
              <w:top w:val="nil"/>
              <w:left w:val="nil"/>
              <w:bottom w:val="single" w:sz="4" w:space="0" w:color="auto"/>
              <w:right w:val="single" w:sz="4" w:space="0" w:color="auto"/>
            </w:tcBorders>
            <w:shd w:val="clear" w:color="B8CCE4" w:fill="FFFFFF"/>
            <w:noWrap/>
            <w:vAlign w:val="bottom"/>
            <w:hideMark/>
          </w:tcPr>
          <w:p w:rsidR="00B722F2" w:rsidRPr="00B57E80" w:rsidRDefault="00B722F2" w:rsidP="00B722F2">
            <w:pPr>
              <w:spacing w:after="0" w:line="240" w:lineRule="auto"/>
              <w:jc w:val="center"/>
              <w:rPr>
                <w:rFonts w:ascii="Verdana" w:eastAsia="Times New Roman" w:hAnsi="Verdana" w:cs="Times New Roman"/>
                <w:b/>
                <w:bCs/>
                <w:color w:val="000000"/>
                <w:sz w:val="16"/>
                <w:szCs w:val="16"/>
                <w:lang w:eastAsia="es-CO"/>
              </w:rPr>
            </w:pPr>
            <w:r w:rsidRPr="00B57E80">
              <w:rPr>
                <w:rFonts w:ascii="Verdana" w:eastAsia="Times New Roman" w:hAnsi="Verdana" w:cs="Times New Roman"/>
                <w:b/>
                <w:bCs/>
                <w:color w:val="000000"/>
                <w:sz w:val="16"/>
                <w:szCs w:val="16"/>
                <w:lang w:eastAsia="es-CO"/>
              </w:rPr>
              <w:t>%</w:t>
            </w:r>
          </w:p>
        </w:tc>
      </w:tr>
      <w:tr w:rsidR="00B722F2" w:rsidRPr="00B57E80" w:rsidTr="00D7418A">
        <w:trPr>
          <w:trHeight w:val="300"/>
          <w:jc w:val="center"/>
        </w:trPr>
        <w:tc>
          <w:tcPr>
            <w:tcW w:w="2252" w:type="pct"/>
            <w:tcBorders>
              <w:top w:val="nil"/>
              <w:left w:val="single" w:sz="4" w:space="0" w:color="auto"/>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  692 en 54 municipios</w:t>
            </w:r>
          </w:p>
        </w:tc>
        <w:tc>
          <w:tcPr>
            <w:tcW w:w="2274" w:type="pct"/>
            <w:tcBorders>
              <w:top w:val="nil"/>
              <w:left w:val="nil"/>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 xml:space="preserve">  199 en 7 municipios</w:t>
            </w:r>
          </w:p>
        </w:tc>
        <w:tc>
          <w:tcPr>
            <w:tcW w:w="475" w:type="pct"/>
            <w:tcBorders>
              <w:top w:val="nil"/>
              <w:left w:val="nil"/>
              <w:bottom w:val="single" w:sz="4" w:space="0" w:color="auto"/>
              <w:right w:val="single" w:sz="4" w:space="0" w:color="auto"/>
            </w:tcBorders>
            <w:shd w:val="clear" w:color="DBE5F1" w:fill="DBE5F1"/>
            <w:noWrap/>
            <w:vAlign w:val="bottom"/>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28,7</w:t>
            </w:r>
          </w:p>
        </w:tc>
      </w:tr>
    </w:tbl>
    <w:p w:rsidR="00B722F2" w:rsidRPr="00B57E80" w:rsidRDefault="00B722F2" w:rsidP="00B722F2">
      <w:pPr>
        <w:spacing w:after="0" w:line="240" w:lineRule="auto"/>
        <w:jc w:val="both"/>
        <w:rPr>
          <w:rFonts w:ascii="Verdana" w:hAnsi="Verdana"/>
          <w:b/>
          <w:color w:val="E36C0A" w:themeColor="accent6" w:themeShade="BF"/>
          <w:sz w:val="24"/>
          <w:szCs w:val="24"/>
        </w:rPr>
      </w:pPr>
    </w:p>
    <w:p w:rsidR="00B722F2" w:rsidRPr="00DB1E86" w:rsidRDefault="00B722F2" w:rsidP="00B722F2">
      <w:pPr>
        <w:spacing w:after="0" w:line="240" w:lineRule="auto"/>
        <w:jc w:val="both"/>
        <w:rPr>
          <w:rFonts w:ascii="Verdana" w:hAnsi="Verdana"/>
          <w:color w:val="4F81BD" w:themeColor="accent1"/>
          <w:sz w:val="24"/>
          <w:szCs w:val="24"/>
        </w:rPr>
      </w:pPr>
      <w:r w:rsidRPr="00DB1E86">
        <w:rPr>
          <w:rFonts w:ascii="Verdana" w:hAnsi="Verdana"/>
          <w:color w:val="4F81BD" w:themeColor="accent1"/>
          <w:sz w:val="24"/>
          <w:szCs w:val="24"/>
        </w:rPr>
        <w:t>RESTITUCIÓN DE TIERRAS – PROYECTOS PRODUCTIVOS</w:t>
      </w:r>
    </w:p>
    <w:p w:rsidR="00B722F2" w:rsidRPr="00B57E80" w:rsidRDefault="00B722F2" w:rsidP="00B722F2">
      <w:pPr>
        <w:spacing w:after="0" w:line="240" w:lineRule="auto"/>
        <w:jc w:val="both"/>
        <w:rPr>
          <w:rFonts w:ascii="Verdana" w:hAnsi="Verdana"/>
          <w:sz w:val="24"/>
          <w:szCs w:val="24"/>
        </w:rPr>
      </w:pPr>
    </w:p>
    <w:tbl>
      <w:tblPr>
        <w:tblW w:w="10084" w:type="dxa"/>
        <w:tblInd w:w="55" w:type="dxa"/>
        <w:tblCellMar>
          <w:left w:w="70" w:type="dxa"/>
          <w:right w:w="70" w:type="dxa"/>
        </w:tblCellMar>
        <w:tblLook w:val="04A0"/>
      </w:tblPr>
      <w:tblGrid>
        <w:gridCol w:w="1149"/>
        <w:gridCol w:w="1843"/>
        <w:gridCol w:w="1035"/>
        <w:gridCol w:w="1166"/>
        <w:gridCol w:w="1059"/>
        <w:gridCol w:w="1451"/>
        <w:gridCol w:w="1101"/>
        <w:gridCol w:w="1280"/>
      </w:tblGrid>
      <w:tr w:rsidR="00B722F2" w:rsidRPr="00B57E80" w:rsidTr="00DB1E86">
        <w:trPr>
          <w:trHeight w:val="300"/>
          <w:tblHeader/>
        </w:trPr>
        <w:tc>
          <w:tcPr>
            <w:tcW w:w="1149" w:type="dxa"/>
            <w:vMerge w:val="restart"/>
            <w:tcBorders>
              <w:top w:val="single" w:sz="4" w:space="0" w:color="auto"/>
              <w:left w:val="single" w:sz="4" w:space="0" w:color="auto"/>
              <w:bottom w:val="single" w:sz="4" w:space="0" w:color="auto"/>
              <w:right w:val="single" w:sz="4" w:space="0" w:color="auto"/>
            </w:tcBorders>
            <w:shd w:val="clear" w:color="4F81BD" w:fill="4F81BD"/>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DEPTO</w:t>
            </w:r>
          </w:p>
        </w:tc>
        <w:tc>
          <w:tcPr>
            <w:tcW w:w="1843" w:type="dxa"/>
            <w:vMerge w:val="restart"/>
            <w:tcBorders>
              <w:top w:val="single" w:sz="4" w:space="0" w:color="auto"/>
              <w:left w:val="single" w:sz="4" w:space="0" w:color="auto"/>
              <w:bottom w:val="single" w:sz="4" w:space="0" w:color="auto"/>
              <w:right w:val="single" w:sz="4" w:space="0" w:color="auto"/>
            </w:tcBorders>
            <w:shd w:val="clear" w:color="4F81BD" w:fill="4F81BD"/>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MUNICIPIO</w:t>
            </w:r>
          </w:p>
        </w:tc>
        <w:tc>
          <w:tcPr>
            <w:tcW w:w="2201" w:type="dxa"/>
            <w:gridSpan w:val="2"/>
            <w:tcBorders>
              <w:top w:val="single" w:sz="4" w:space="0" w:color="auto"/>
              <w:left w:val="nil"/>
              <w:bottom w:val="single" w:sz="4" w:space="0" w:color="auto"/>
              <w:right w:val="single" w:sz="4" w:space="0" w:color="auto"/>
            </w:tcBorders>
            <w:shd w:val="clear" w:color="4F81BD" w:fill="4F81BD"/>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AÑO 2012</w:t>
            </w:r>
          </w:p>
        </w:tc>
        <w:tc>
          <w:tcPr>
            <w:tcW w:w="2510" w:type="dxa"/>
            <w:gridSpan w:val="2"/>
            <w:tcBorders>
              <w:top w:val="single" w:sz="4" w:space="0" w:color="auto"/>
              <w:left w:val="nil"/>
              <w:bottom w:val="single" w:sz="4" w:space="0" w:color="auto"/>
              <w:right w:val="single" w:sz="4" w:space="0" w:color="auto"/>
            </w:tcBorders>
            <w:shd w:val="clear" w:color="4F81BD" w:fill="4F81BD"/>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AÑO 2013</w:t>
            </w:r>
          </w:p>
        </w:tc>
        <w:tc>
          <w:tcPr>
            <w:tcW w:w="2381" w:type="dxa"/>
            <w:gridSpan w:val="2"/>
            <w:tcBorders>
              <w:top w:val="single" w:sz="4" w:space="0" w:color="auto"/>
              <w:left w:val="nil"/>
              <w:bottom w:val="single" w:sz="4" w:space="0" w:color="auto"/>
              <w:right w:val="single" w:sz="4" w:space="0" w:color="auto"/>
            </w:tcBorders>
            <w:shd w:val="clear" w:color="4F81BD" w:fill="4F81BD"/>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AÑO 2014</w:t>
            </w:r>
          </w:p>
        </w:tc>
      </w:tr>
      <w:tr w:rsidR="00B722F2" w:rsidRPr="00B57E80" w:rsidTr="00DB1E86">
        <w:trPr>
          <w:trHeight w:val="300"/>
          <w:tblHeader/>
        </w:trPr>
        <w:tc>
          <w:tcPr>
            <w:tcW w:w="1149" w:type="dxa"/>
            <w:vMerge/>
            <w:tcBorders>
              <w:top w:val="single" w:sz="4" w:space="0" w:color="auto"/>
              <w:left w:val="single" w:sz="4" w:space="0" w:color="auto"/>
              <w:bottom w:val="single" w:sz="4" w:space="0" w:color="auto"/>
              <w:right w:val="single" w:sz="4" w:space="0" w:color="auto"/>
            </w:tcBorders>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p>
        </w:tc>
        <w:tc>
          <w:tcPr>
            <w:tcW w:w="1035" w:type="dxa"/>
            <w:tcBorders>
              <w:top w:val="nil"/>
              <w:left w:val="nil"/>
              <w:bottom w:val="single" w:sz="4" w:space="0" w:color="auto"/>
              <w:right w:val="single" w:sz="4" w:space="0" w:color="auto"/>
            </w:tcBorders>
            <w:shd w:val="clear" w:color="4F81BD" w:fill="4F81BD"/>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FAMILIAS</w:t>
            </w:r>
          </w:p>
        </w:tc>
        <w:tc>
          <w:tcPr>
            <w:tcW w:w="1166" w:type="dxa"/>
            <w:tcBorders>
              <w:top w:val="nil"/>
              <w:left w:val="nil"/>
              <w:bottom w:val="single" w:sz="4" w:space="0" w:color="auto"/>
              <w:right w:val="single" w:sz="4" w:space="0" w:color="auto"/>
            </w:tcBorders>
            <w:shd w:val="clear" w:color="4F81BD" w:fill="4F81BD"/>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VALOR</w:t>
            </w:r>
          </w:p>
        </w:tc>
        <w:tc>
          <w:tcPr>
            <w:tcW w:w="1059" w:type="dxa"/>
            <w:tcBorders>
              <w:top w:val="nil"/>
              <w:left w:val="nil"/>
              <w:bottom w:val="single" w:sz="4" w:space="0" w:color="auto"/>
              <w:right w:val="single" w:sz="4" w:space="0" w:color="auto"/>
            </w:tcBorders>
            <w:shd w:val="clear" w:color="4F81BD" w:fill="4F81BD"/>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FAMILIAS</w:t>
            </w:r>
          </w:p>
        </w:tc>
        <w:tc>
          <w:tcPr>
            <w:tcW w:w="1451" w:type="dxa"/>
            <w:tcBorders>
              <w:top w:val="nil"/>
              <w:left w:val="nil"/>
              <w:bottom w:val="single" w:sz="4" w:space="0" w:color="auto"/>
              <w:right w:val="single" w:sz="4" w:space="0" w:color="auto"/>
            </w:tcBorders>
            <w:shd w:val="clear" w:color="4F81BD" w:fill="4F81BD"/>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VALOR</w:t>
            </w:r>
          </w:p>
        </w:tc>
        <w:tc>
          <w:tcPr>
            <w:tcW w:w="1101" w:type="dxa"/>
            <w:tcBorders>
              <w:top w:val="nil"/>
              <w:left w:val="nil"/>
              <w:bottom w:val="single" w:sz="4" w:space="0" w:color="auto"/>
              <w:right w:val="single" w:sz="4" w:space="0" w:color="auto"/>
            </w:tcBorders>
            <w:shd w:val="clear" w:color="4F81BD" w:fill="4F81BD"/>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FAMILIAS</w:t>
            </w:r>
          </w:p>
        </w:tc>
        <w:tc>
          <w:tcPr>
            <w:tcW w:w="1280" w:type="dxa"/>
            <w:tcBorders>
              <w:top w:val="nil"/>
              <w:left w:val="nil"/>
              <w:bottom w:val="single" w:sz="4" w:space="0" w:color="auto"/>
              <w:right w:val="single" w:sz="4" w:space="0" w:color="auto"/>
            </w:tcBorders>
            <w:shd w:val="clear" w:color="4F81BD" w:fill="4F81BD"/>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VALOR</w:t>
            </w:r>
          </w:p>
        </w:tc>
      </w:tr>
      <w:tr w:rsidR="00B722F2" w:rsidRPr="00B57E80" w:rsidTr="00B722F2">
        <w:trPr>
          <w:trHeight w:val="300"/>
        </w:trPr>
        <w:tc>
          <w:tcPr>
            <w:tcW w:w="1149" w:type="dxa"/>
            <w:tcBorders>
              <w:top w:val="nil"/>
              <w:left w:val="single" w:sz="4" w:space="0" w:color="auto"/>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Bolívar</w:t>
            </w:r>
          </w:p>
        </w:tc>
        <w:tc>
          <w:tcPr>
            <w:tcW w:w="1843" w:type="dxa"/>
            <w:tcBorders>
              <w:top w:val="nil"/>
              <w:left w:val="nil"/>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El Carmen de Bolivar</w:t>
            </w:r>
          </w:p>
        </w:tc>
        <w:tc>
          <w:tcPr>
            <w:tcW w:w="1035" w:type="dxa"/>
            <w:tcBorders>
              <w:top w:val="nil"/>
              <w:left w:val="nil"/>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jc w:val="center"/>
              <w:rPr>
                <w:rFonts w:ascii="Verdana" w:eastAsia="Times New Roman" w:hAnsi="Verdana" w:cs="Times New Roman"/>
                <w:color w:val="000000"/>
                <w:sz w:val="16"/>
                <w:szCs w:val="16"/>
                <w:lang w:eastAsia="es-CO"/>
              </w:rPr>
            </w:pPr>
          </w:p>
        </w:tc>
        <w:tc>
          <w:tcPr>
            <w:tcW w:w="1166" w:type="dxa"/>
            <w:tcBorders>
              <w:top w:val="nil"/>
              <w:left w:val="nil"/>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jc w:val="center"/>
              <w:rPr>
                <w:rFonts w:ascii="Verdana" w:eastAsia="Times New Roman" w:hAnsi="Verdana" w:cs="Times New Roman"/>
                <w:color w:val="000000"/>
                <w:sz w:val="16"/>
                <w:szCs w:val="16"/>
                <w:lang w:eastAsia="es-CO"/>
              </w:rPr>
            </w:pPr>
          </w:p>
        </w:tc>
        <w:tc>
          <w:tcPr>
            <w:tcW w:w="1059" w:type="dxa"/>
            <w:tcBorders>
              <w:top w:val="nil"/>
              <w:left w:val="nil"/>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jc w:val="center"/>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w:t>
            </w:r>
          </w:p>
        </w:tc>
        <w:tc>
          <w:tcPr>
            <w:tcW w:w="1451" w:type="dxa"/>
            <w:tcBorders>
              <w:top w:val="nil"/>
              <w:left w:val="nil"/>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23.580.000</w:t>
            </w:r>
          </w:p>
        </w:tc>
        <w:tc>
          <w:tcPr>
            <w:tcW w:w="1101" w:type="dxa"/>
            <w:tcBorders>
              <w:top w:val="nil"/>
              <w:left w:val="nil"/>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jc w:val="center"/>
              <w:rPr>
                <w:rFonts w:ascii="Verdana" w:eastAsia="Times New Roman" w:hAnsi="Verdana" w:cs="Times New Roman"/>
                <w:color w:val="000000"/>
                <w:sz w:val="16"/>
                <w:szCs w:val="16"/>
                <w:lang w:eastAsia="es-CO"/>
              </w:rPr>
            </w:pPr>
          </w:p>
        </w:tc>
        <w:tc>
          <w:tcPr>
            <w:tcW w:w="1280" w:type="dxa"/>
            <w:tcBorders>
              <w:top w:val="nil"/>
              <w:left w:val="nil"/>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jc w:val="center"/>
              <w:rPr>
                <w:rFonts w:ascii="Verdana" w:eastAsia="Times New Roman" w:hAnsi="Verdana" w:cs="Times New Roman"/>
                <w:color w:val="000000"/>
                <w:sz w:val="16"/>
                <w:szCs w:val="16"/>
                <w:lang w:eastAsia="es-CO"/>
              </w:rPr>
            </w:pPr>
          </w:p>
        </w:tc>
      </w:tr>
      <w:tr w:rsidR="00B722F2" w:rsidRPr="00B57E80" w:rsidTr="00B722F2">
        <w:trPr>
          <w:trHeight w:val="300"/>
        </w:trPr>
        <w:tc>
          <w:tcPr>
            <w:tcW w:w="1149" w:type="dxa"/>
            <w:tcBorders>
              <w:top w:val="nil"/>
              <w:left w:val="single" w:sz="4" w:space="0" w:color="auto"/>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Córdoba</w:t>
            </w:r>
          </w:p>
        </w:tc>
        <w:tc>
          <w:tcPr>
            <w:tcW w:w="1843" w:type="dxa"/>
            <w:tcBorders>
              <w:top w:val="nil"/>
              <w:left w:val="nil"/>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Valencia</w:t>
            </w:r>
          </w:p>
        </w:tc>
        <w:tc>
          <w:tcPr>
            <w:tcW w:w="1035" w:type="dxa"/>
            <w:tcBorders>
              <w:top w:val="nil"/>
              <w:left w:val="nil"/>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jc w:val="center"/>
              <w:rPr>
                <w:rFonts w:ascii="Verdana" w:eastAsia="Times New Roman" w:hAnsi="Verdana" w:cs="Times New Roman"/>
                <w:color w:val="000000"/>
                <w:sz w:val="16"/>
                <w:szCs w:val="16"/>
                <w:lang w:eastAsia="es-CO"/>
              </w:rPr>
            </w:pPr>
          </w:p>
        </w:tc>
        <w:tc>
          <w:tcPr>
            <w:tcW w:w="1166" w:type="dxa"/>
            <w:tcBorders>
              <w:top w:val="nil"/>
              <w:left w:val="nil"/>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jc w:val="center"/>
              <w:rPr>
                <w:rFonts w:ascii="Verdana" w:eastAsia="Times New Roman" w:hAnsi="Verdana" w:cs="Times New Roman"/>
                <w:color w:val="000000"/>
                <w:sz w:val="16"/>
                <w:szCs w:val="16"/>
                <w:lang w:eastAsia="es-CO"/>
              </w:rPr>
            </w:pPr>
          </w:p>
        </w:tc>
        <w:tc>
          <w:tcPr>
            <w:tcW w:w="1059" w:type="dxa"/>
            <w:tcBorders>
              <w:top w:val="nil"/>
              <w:left w:val="nil"/>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jc w:val="center"/>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22</w:t>
            </w:r>
          </w:p>
        </w:tc>
        <w:tc>
          <w:tcPr>
            <w:tcW w:w="1451" w:type="dxa"/>
            <w:tcBorders>
              <w:top w:val="nil"/>
              <w:left w:val="nil"/>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518.760.000</w:t>
            </w:r>
          </w:p>
        </w:tc>
        <w:tc>
          <w:tcPr>
            <w:tcW w:w="1101" w:type="dxa"/>
            <w:tcBorders>
              <w:top w:val="nil"/>
              <w:left w:val="nil"/>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jc w:val="center"/>
              <w:rPr>
                <w:rFonts w:ascii="Verdana" w:eastAsia="Times New Roman" w:hAnsi="Verdana" w:cs="Times New Roman"/>
                <w:color w:val="000000"/>
                <w:sz w:val="16"/>
                <w:szCs w:val="16"/>
                <w:lang w:eastAsia="es-CO"/>
              </w:rPr>
            </w:pPr>
          </w:p>
        </w:tc>
        <w:tc>
          <w:tcPr>
            <w:tcW w:w="1280" w:type="dxa"/>
            <w:tcBorders>
              <w:top w:val="nil"/>
              <w:left w:val="nil"/>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jc w:val="center"/>
              <w:rPr>
                <w:rFonts w:ascii="Verdana" w:eastAsia="Times New Roman" w:hAnsi="Verdana" w:cs="Times New Roman"/>
                <w:color w:val="000000"/>
                <w:sz w:val="16"/>
                <w:szCs w:val="16"/>
                <w:lang w:eastAsia="es-CO"/>
              </w:rPr>
            </w:pPr>
          </w:p>
        </w:tc>
      </w:tr>
      <w:tr w:rsidR="00B722F2" w:rsidRPr="00B57E80" w:rsidTr="00B722F2">
        <w:trPr>
          <w:trHeight w:val="300"/>
        </w:trPr>
        <w:tc>
          <w:tcPr>
            <w:tcW w:w="1149" w:type="dxa"/>
            <w:tcBorders>
              <w:top w:val="nil"/>
              <w:left w:val="single" w:sz="4" w:space="0" w:color="auto"/>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Norte de Santander</w:t>
            </w:r>
          </w:p>
        </w:tc>
        <w:tc>
          <w:tcPr>
            <w:tcW w:w="1843" w:type="dxa"/>
            <w:tcBorders>
              <w:top w:val="nil"/>
              <w:left w:val="nil"/>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Tibú</w:t>
            </w:r>
          </w:p>
        </w:tc>
        <w:tc>
          <w:tcPr>
            <w:tcW w:w="1035" w:type="dxa"/>
            <w:tcBorders>
              <w:top w:val="nil"/>
              <w:left w:val="nil"/>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jc w:val="center"/>
              <w:rPr>
                <w:rFonts w:ascii="Verdana" w:eastAsia="Times New Roman" w:hAnsi="Verdana" w:cs="Times New Roman"/>
                <w:color w:val="000000"/>
                <w:sz w:val="16"/>
                <w:szCs w:val="16"/>
                <w:lang w:eastAsia="es-CO"/>
              </w:rPr>
            </w:pPr>
          </w:p>
        </w:tc>
        <w:tc>
          <w:tcPr>
            <w:tcW w:w="1166" w:type="dxa"/>
            <w:tcBorders>
              <w:top w:val="nil"/>
              <w:left w:val="nil"/>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jc w:val="center"/>
              <w:rPr>
                <w:rFonts w:ascii="Verdana" w:eastAsia="Times New Roman" w:hAnsi="Verdana" w:cs="Times New Roman"/>
                <w:color w:val="000000"/>
                <w:sz w:val="16"/>
                <w:szCs w:val="16"/>
                <w:lang w:eastAsia="es-CO"/>
              </w:rPr>
            </w:pPr>
          </w:p>
        </w:tc>
        <w:tc>
          <w:tcPr>
            <w:tcW w:w="1059" w:type="dxa"/>
            <w:tcBorders>
              <w:top w:val="nil"/>
              <w:left w:val="nil"/>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jc w:val="center"/>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2</w:t>
            </w:r>
          </w:p>
        </w:tc>
        <w:tc>
          <w:tcPr>
            <w:tcW w:w="1451" w:type="dxa"/>
            <w:tcBorders>
              <w:top w:val="nil"/>
              <w:left w:val="nil"/>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47.160.000</w:t>
            </w:r>
          </w:p>
        </w:tc>
        <w:tc>
          <w:tcPr>
            <w:tcW w:w="1101" w:type="dxa"/>
            <w:tcBorders>
              <w:top w:val="nil"/>
              <w:left w:val="nil"/>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jc w:val="center"/>
              <w:rPr>
                <w:rFonts w:ascii="Verdana" w:eastAsia="Times New Roman" w:hAnsi="Verdana" w:cs="Times New Roman"/>
                <w:color w:val="000000"/>
                <w:sz w:val="16"/>
                <w:szCs w:val="16"/>
                <w:lang w:eastAsia="es-CO"/>
              </w:rPr>
            </w:pPr>
          </w:p>
        </w:tc>
        <w:tc>
          <w:tcPr>
            <w:tcW w:w="1280" w:type="dxa"/>
            <w:tcBorders>
              <w:top w:val="nil"/>
              <w:left w:val="nil"/>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jc w:val="center"/>
              <w:rPr>
                <w:rFonts w:ascii="Verdana" w:eastAsia="Times New Roman" w:hAnsi="Verdana" w:cs="Times New Roman"/>
                <w:color w:val="000000"/>
                <w:sz w:val="16"/>
                <w:szCs w:val="16"/>
                <w:lang w:eastAsia="es-CO"/>
              </w:rPr>
            </w:pPr>
          </w:p>
        </w:tc>
      </w:tr>
      <w:tr w:rsidR="00B722F2" w:rsidRPr="00B57E80" w:rsidTr="00B722F2">
        <w:trPr>
          <w:trHeight w:val="300"/>
        </w:trPr>
        <w:tc>
          <w:tcPr>
            <w:tcW w:w="1149" w:type="dxa"/>
            <w:tcBorders>
              <w:top w:val="nil"/>
              <w:left w:val="single" w:sz="4" w:space="0" w:color="auto"/>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Putumayo</w:t>
            </w:r>
          </w:p>
        </w:tc>
        <w:tc>
          <w:tcPr>
            <w:tcW w:w="1843" w:type="dxa"/>
            <w:tcBorders>
              <w:top w:val="nil"/>
              <w:left w:val="nil"/>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Valle del Guamuez</w:t>
            </w:r>
          </w:p>
        </w:tc>
        <w:tc>
          <w:tcPr>
            <w:tcW w:w="1035" w:type="dxa"/>
            <w:tcBorders>
              <w:top w:val="nil"/>
              <w:left w:val="nil"/>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jc w:val="center"/>
              <w:rPr>
                <w:rFonts w:ascii="Verdana" w:eastAsia="Times New Roman" w:hAnsi="Verdana" w:cs="Times New Roman"/>
                <w:color w:val="000000"/>
                <w:sz w:val="16"/>
                <w:szCs w:val="16"/>
                <w:lang w:eastAsia="es-CO"/>
              </w:rPr>
            </w:pPr>
          </w:p>
        </w:tc>
        <w:tc>
          <w:tcPr>
            <w:tcW w:w="1166" w:type="dxa"/>
            <w:tcBorders>
              <w:top w:val="nil"/>
              <w:left w:val="nil"/>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jc w:val="center"/>
              <w:rPr>
                <w:rFonts w:ascii="Verdana" w:eastAsia="Times New Roman" w:hAnsi="Verdana" w:cs="Times New Roman"/>
                <w:color w:val="000000"/>
                <w:sz w:val="16"/>
                <w:szCs w:val="16"/>
                <w:lang w:eastAsia="es-CO"/>
              </w:rPr>
            </w:pPr>
          </w:p>
        </w:tc>
        <w:tc>
          <w:tcPr>
            <w:tcW w:w="1059" w:type="dxa"/>
            <w:tcBorders>
              <w:top w:val="nil"/>
              <w:left w:val="nil"/>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jc w:val="center"/>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31</w:t>
            </w:r>
          </w:p>
        </w:tc>
        <w:tc>
          <w:tcPr>
            <w:tcW w:w="1451" w:type="dxa"/>
            <w:tcBorders>
              <w:top w:val="nil"/>
              <w:left w:val="nil"/>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730.980.000</w:t>
            </w:r>
          </w:p>
        </w:tc>
        <w:tc>
          <w:tcPr>
            <w:tcW w:w="1101" w:type="dxa"/>
            <w:tcBorders>
              <w:top w:val="nil"/>
              <w:left w:val="nil"/>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jc w:val="center"/>
              <w:rPr>
                <w:rFonts w:ascii="Verdana" w:eastAsia="Times New Roman" w:hAnsi="Verdana" w:cs="Times New Roman"/>
                <w:color w:val="000000"/>
                <w:sz w:val="16"/>
                <w:szCs w:val="16"/>
                <w:lang w:eastAsia="es-CO"/>
              </w:rPr>
            </w:pPr>
          </w:p>
        </w:tc>
        <w:tc>
          <w:tcPr>
            <w:tcW w:w="1280" w:type="dxa"/>
            <w:tcBorders>
              <w:top w:val="nil"/>
              <w:left w:val="nil"/>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jc w:val="center"/>
              <w:rPr>
                <w:rFonts w:ascii="Verdana" w:eastAsia="Times New Roman" w:hAnsi="Verdana" w:cs="Times New Roman"/>
                <w:color w:val="000000"/>
                <w:sz w:val="16"/>
                <w:szCs w:val="16"/>
                <w:lang w:eastAsia="es-CO"/>
              </w:rPr>
            </w:pPr>
          </w:p>
        </w:tc>
      </w:tr>
      <w:tr w:rsidR="00B722F2" w:rsidRPr="00B57E80" w:rsidTr="00B722F2">
        <w:trPr>
          <w:trHeight w:val="300"/>
        </w:trPr>
        <w:tc>
          <w:tcPr>
            <w:tcW w:w="1149" w:type="dxa"/>
            <w:tcBorders>
              <w:top w:val="nil"/>
              <w:left w:val="single" w:sz="4" w:space="0" w:color="auto"/>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Sucre</w:t>
            </w:r>
          </w:p>
        </w:tc>
        <w:tc>
          <w:tcPr>
            <w:tcW w:w="1843" w:type="dxa"/>
            <w:tcBorders>
              <w:top w:val="nil"/>
              <w:left w:val="nil"/>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Ovejas</w:t>
            </w:r>
          </w:p>
        </w:tc>
        <w:tc>
          <w:tcPr>
            <w:tcW w:w="1035" w:type="dxa"/>
            <w:tcBorders>
              <w:top w:val="nil"/>
              <w:left w:val="nil"/>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jc w:val="center"/>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3</w:t>
            </w:r>
          </w:p>
        </w:tc>
        <w:tc>
          <w:tcPr>
            <w:tcW w:w="1166" w:type="dxa"/>
            <w:tcBorders>
              <w:top w:val="nil"/>
              <w:left w:val="nil"/>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68.004.000</w:t>
            </w:r>
          </w:p>
        </w:tc>
        <w:tc>
          <w:tcPr>
            <w:tcW w:w="1059" w:type="dxa"/>
            <w:tcBorders>
              <w:top w:val="nil"/>
              <w:left w:val="nil"/>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jc w:val="center"/>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12</w:t>
            </w:r>
          </w:p>
        </w:tc>
        <w:tc>
          <w:tcPr>
            <w:tcW w:w="1451" w:type="dxa"/>
            <w:tcBorders>
              <w:top w:val="nil"/>
              <w:left w:val="nil"/>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282.960.000</w:t>
            </w:r>
          </w:p>
        </w:tc>
        <w:tc>
          <w:tcPr>
            <w:tcW w:w="1101" w:type="dxa"/>
            <w:tcBorders>
              <w:top w:val="nil"/>
              <w:left w:val="nil"/>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jc w:val="center"/>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w:t>
            </w:r>
          </w:p>
        </w:tc>
        <w:tc>
          <w:tcPr>
            <w:tcW w:w="1280" w:type="dxa"/>
            <w:tcBorders>
              <w:top w:val="nil"/>
              <w:left w:val="nil"/>
              <w:bottom w:val="single" w:sz="4" w:space="0" w:color="auto"/>
              <w:right w:val="single" w:sz="4" w:space="0" w:color="auto"/>
            </w:tcBorders>
            <w:shd w:val="clear" w:color="DBE5F1" w:fill="DBE5F1"/>
            <w:noWrap/>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24.640.000</w:t>
            </w:r>
          </w:p>
        </w:tc>
      </w:tr>
      <w:tr w:rsidR="00B722F2" w:rsidRPr="00B57E80" w:rsidTr="00B722F2">
        <w:trPr>
          <w:trHeight w:val="300"/>
        </w:trPr>
        <w:tc>
          <w:tcPr>
            <w:tcW w:w="1149" w:type="dxa"/>
            <w:tcBorders>
              <w:top w:val="nil"/>
              <w:left w:val="single" w:sz="4" w:space="0" w:color="auto"/>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Tolima</w:t>
            </w:r>
          </w:p>
        </w:tc>
        <w:tc>
          <w:tcPr>
            <w:tcW w:w="1843" w:type="dxa"/>
            <w:tcBorders>
              <w:top w:val="nil"/>
              <w:left w:val="nil"/>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Ataco</w:t>
            </w:r>
          </w:p>
        </w:tc>
        <w:tc>
          <w:tcPr>
            <w:tcW w:w="1035" w:type="dxa"/>
            <w:tcBorders>
              <w:top w:val="nil"/>
              <w:left w:val="nil"/>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jc w:val="center"/>
              <w:rPr>
                <w:rFonts w:ascii="Verdana" w:eastAsia="Times New Roman" w:hAnsi="Verdana" w:cs="Times New Roman"/>
                <w:color w:val="000000"/>
                <w:sz w:val="16"/>
                <w:szCs w:val="16"/>
                <w:lang w:eastAsia="es-CO"/>
              </w:rPr>
            </w:pPr>
          </w:p>
        </w:tc>
        <w:tc>
          <w:tcPr>
            <w:tcW w:w="1166" w:type="dxa"/>
            <w:tcBorders>
              <w:top w:val="nil"/>
              <w:left w:val="nil"/>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p>
        </w:tc>
        <w:tc>
          <w:tcPr>
            <w:tcW w:w="1059" w:type="dxa"/>
            <w:tcBorders>
              <w:top w:val="nil"/>
              <w:left w:val="nil"/>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jc w:val="center"/>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17</w:t>
            </w:r>
          </w:p>
        </w:tc>
        <w:tc>
          <w:tcPr>
            <w:tcW w:w="1451" w:type="dxa"/>
            <w:tcBorders>
              <w:top w:val="nil"/>
              <w:left w:val="nil"/>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400.860.000</w:t>
            </w:r>
          </w:p>
        </w:tc>
        <w:tc>
          <w:tcPr>
            <w:tcW w:w="1101" w:type="dxa"/>
            <w:tcBorders>
              <w:top w:val="nil"/>
              <w:left w:val="nil"/>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jc w:val="center"/>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13</w:t>
            </w:r>
          </w:p>
        </w:tc>
        <w:tc>
          <w:tcPr>
            <w:tcW w:w="1280" w:type="dxa"/>
            <w:tcBorders>
              <w:top w:val="nil"/>
              <w:left w:val="nil"/>
              <w:bottom w:val="single" w:sz="4" w:space="0" w:color="auto"/>
              <w:right w:val="single" w:sz="4" w:space="0" w:color="auto"/>
            </w:tcBorders>
            <w:shd w:val="clear" w:color="B8CCE4" w:fill="B8CCE4"/>
            <w:noWrap/>
            <w:vAlign w:val="center"/>
            <w:hideMark/>
          </w:tcPr>
          <w:p w:rsidR="00B722F2" w:rsidRPr="00B57E80" w:rsidRDefault="00B722F2" w:rsidP="00B722F2">
            <w:pPr>
              <w:spacing w:after="0" w:line="240" w:lineRule="auto"/>
              <w:jc w:val="right"/>
              <w:rPr>
                <w:rFonts w:ascii="Verdana" w:eastAsia="Times New Roman" w:hAnsi="Verdana" w:cs="Times New Roman"/>
                <w:color w:val="000000"/>
                <w:sz w:val="16"/>
                <w:szCs w:val="16"/>
                <w:lang w:eastAsia="es-CO"/>
              </w:rPr>
            </w:pPr>
            <w:r w:rsidRPr="00B57E80">
              <w:rPr>
                <w:rFonts w:ascii="Verdana" w:eastAsia="Times New Roman" w:hAnsi="Verdana" w:cs="Times New Roman"/>
                <w:color w:val="000000"/>
                <w:sz w:val="16"/>
                <w:szCs w:val="16"/>
                <w:lang w:eastAsia="es-CO"/>
              </w:rPr>
              <w:t>297.120.000</w:t>
            </w:r>
          </w:p>
        </w:tc>
      </w:tr>
      <w:tr w:rsidR="00B722F2" w:rsidRPr="00B57E80" w:rsidTr="00B722F2">
        <w:trPr>
          <w:trHeight w:val="300"/>
        </w:trPr>
        <w:tc>
          <w:tcPr>
            <w:tcW w:w="2992" w:type="dxa"/>
            <w:gridSpan w:val="2"/>
            <w:tcBorders>
              <w:top w:val="single" w:sz="4" w:space="0" w:color="auto"/>
              <w:left w:val="single" w:sz="4" w:space="0" w:color="auto"/>
              <w:bottom w:val="single" w:sz="4" w:space="0" w:color="auto"/>
              <w:right w:val="single" w:sz="4" w:space="0" w:color="auto"/>
            </w:tcBorders>
            <w:shd w:val="clear" w:color="DBE5F1" w:fill="FFFFFF"/>
            <w:noWrap/>
            <w:vAlign w:val="center"/>
            <w:hideMark/>
          </w:tcPr>
          <w:p w:rsidR="00B722F2" w:rsidRPr="00B57E80" w:rsidRDefault="00B722F2" w:rsidP="00B722F2">
            <w:pPr>
              <w:spacing w:after="0" w:line="240" w:lineRule="auto"/>
              <w:jc w:val="center"/>
              <w:rPr>
                <w:rFonts w:ascii="Verdana" w:eastAsia="Times New Roman" w:hAnsi="Verdana" w:cs="Times New Roman"/>
                <w:b/>
                <w:bCs/>
                <w:color w:val="000000"/>
                <w:sz w:val="16"/>
                <w:szCs w:val="16"/>
                <w:lang w:eastAsia="es-CO"/>
              </w:rPr>
            </w:pPr>
            <w:r w:rsidRPr="00B57E80">
              <w:rPr>
                <w:rFonts w:ascii="Verdana" w:eastAsia="Times New Roman" w:hAnsi="Verdana" w:cs="Times New Roman"/>
                <w:b/>
                <w:bCs/>
                <w:color w:val="000000"/>
                <w:sz w:val="16"/>
                <w:szCs w:val="16"/>
                <w:lang w:eastAsia="es-CO"/>
              </w:rPr>
              <w:t>TOTAL GENERAL</w:t>
            </w:r>
          </w:p>
        </w:tc>
        <w:tc>
          <w:tcPr>
            <w:tcW w:w="1035" w:type="dxa"/>
            <w:tcBorders>
              <w:top w:val="nil"/>
              <w:left w:val="nil"/>
              <w:bottom w:val="single" w:sz="4" w:space="0" w:color="auto"/>
              <w:right w:val="single" w:sz="4" w:space="0" w:color="auto"/>
            </w:tcBorders>
            <w:shd w:val="clear" w:color="DBE5F1" w:fill="FFFFFF"/>
            <w:noWrap/>
            <w:vAlign w:val="center"/>
            <w:hideMark/>
          </w:tcPr>
          <w:p w:rsidR="00B722F2" w:rsidRPr="00B57E80" w:rsidRDefault="00B722F2" w:rsidP="00B722F2">
            <w:pPr>
              <w:spacing w:after="0" w:line="240" w:lineRule="auto"/>
              <w:jc w:val="center"/>
              <w:rPr>
                <w:rFonts w:ascii="Verdana" w:eastAsia="Times New Roman" w:hAnsi="Verdana" w:cs="Times New Roman"/>
                <w:b/>
                <w:bCs/>
                <w:color w:val="000000"/>
                <w:sz w:val="16"/>
                <w:szCs w:val="16"/>
                <w:lang w:eastAsia="es-CO"/>
              </w:rPr>
            </w:pPr>
            <w:r w:rsidRPr="00B57E80">
              <w:rPr>
                <w:rFonts w:ascii="Verdana" w:eastAsia="Times New Roman" w:hAnsi="Verdana" w:cs="Times New Roman"/>
                <w:b/>
                <w:bCs/>
                <w:color w:val="000000"/>
                <w:sz w:val="16"/>
                <w:szCs w:val="16"/>
                <w:lang w:eastAsia="es-CO"/>
              </w:rPr>
              <w:t>3</w:t>
            </w:r>
          </w:p>
        </w:tc>
        <w:tc>
          <w:tcPr>
            <w:tcW w:w="1166" w:type="dxa"/>
            <w:tcBorders>
              <w:top w:val="nil"/>
              <w:left w:val="nil"/>
              <w:bottom w:val="single" w:sz="4" w:space="0" w:color="auto"/>
              <w:right w:val="single" w:sz="4" w:space="0" w:color="auto"/>
            </w:tcBorders>
            <w:shd w:val="clear" w:color="DBE5F1" w:fill="FFFFFF"/>
            <w:noWrap/>
            <w:vAlign w:val="center"/>
            <w:hideMark/>
          </w:tcPr>
          <w:p w:rsidR="00B722F2" w:rsidRPr="00B57E80" w:rsidRDefault="00B722F2" w:rsidP="00B722F2">
            <w:pPr>
              <w:spacing w:after="0" w:line="240" w:lineRule="auto"/>
              <w:jc w:val="right"/>
              <w:rPr>
                <w:rFonts w:ascii="Verdana" w:eastAsia="Times New Roman" w:hAnsi="Verdana" w:cs="Times New Roman"/>
                <w:b/>
                <w:bCs/>
                <w:color w:val="000000"/>
                <w:sz w:val="16"/>
                <w:szCs w:val="16"/>
                <w:lang w:eastAsia="es-CO"/>
              </w:rPr>
            </w:pPr>
            <w:r w:rsidRPr="00B57E80">
              <w:rPr>
                <w:rFonts w:ascii="Verdana" w:eastAsia="Times New Roman" w:hAnsi="Verdana" w:cs="Times New Roman"/>
                <w:b/>
                <w:bCs/>
                <w:color w:val="000000"/>
                <w:sz w:val="16"/>
                <w:szCs w:val="16"/>
                <w:lang w:eastAsia="es-CO"/>
              </w:rPr>
              <w:t>68.004.000</w:t>
            </w:r>
          </w:p>
        </w:tc>
        <w:tc>
          <w:tcPr>
            <w:tcW w:w="1059" w:type="dxa"/>
            <w:tcBorders>
              <w:top w:val="nil"/>
              <w:left w:val="nil"/>
              <w:bottom w:val="single" w:sz="4" w:space="0" w:color="auto"/>
              <w:right w:val="single" w:sz="4" w:space="0" w:color="auto"/>
            </w:tcBorders>
            <w:shd w:val="clear" w:color="DBE5F1" w:fill="FFFFFF"/>
            <w:noWrap/>
            <w:vAlign w:val="center"/>
            <w:hideMark/>
          </w:tcPr>
          <w:p w:rsidR="00B722F2" w:rsidRPr="00B57E80" w:rsidRDefault="00B722F2" w:rsidP="00B722F2">
            <w:pPr>
              <w:spacing w:after="0" w:line="240" w:lineRule="auto"/>
              <w:jc w:val="center"/>
              <w:rPr>
                <w:rFonts w:ascii="Verdana" w:eastAsia="Times New Roman" w:hAnsi="Verdana" w:cs="Times New Roman"/>
                <w:b/>
                <w:bCs/>
                <w:color w:val="000000"/>
                <w:sz w:val="16"/>
                <w:szCs w:val="16"/>
                <w:lang w:eastAsia="es-CO"/>
              </w:rPr>
            </w:pPr>
            <w:r w:rsidRPr="00B57E80">
              <w:rPr>
                <w:rFonts w:ascii="Verdana" w:eastAsia="Times New Roman" w:hAnsi="Verdana" w:cs="Times New Roman"/>
                <w:b/>
                <w:bCs/>
                <w:color w:val="000000"/>
                <w:sz w:val="16"/>
                <w:szCs w:val="16"/>
                <w:lang w:eastAsia="es-CO"/>
              </w:rPr>
              <w:t>85</w:t>
            </w:r>
          </w:p>
        </w:tc>
        <w:tc>
          <w:tcPr>
            <w:tcW w:w="1451" w:type="dxa"/>
            <w:tcBorders>
              <w:top w:val="nil"/>
              <w:left w:val="nil"/>
              <w:bottom w:val="single" w:sz="4" w:space="0" w:color="auto"/>
              <w:right w:val="single" w:sz="4" w:space="0" w:color="auto"/>
            </w:tcBorders>
            <w:shd w:val="clear" w:color="DBE5F1" w:fill="FFFFFF"/>
            <w:noWrap/>
            <w:vAlign w:val="center"/>
            <w:hideMark/>
          </w:tcPr>
          <w:p w:rsidR="00B722F2" w:rsidRPr="00B57E80" w:rsidRDefault="00B722F2" w:rsidP="00B722F2">
            <w:pPr>
              <w:spacing w:after="0" w:line="240" w:lineRule="auto"/>
              <w:jc w:val="right"/>
              <w:rPr>
                <w:rFonts w:ascii="Verdana" w:eastAsia="Times New Roman" w:hAnsi="Verdana" w:cs="Times New Roman"/>
                <w:b/>
                <w:bCs/>
                <w:color w:val="000000"/>
                <w:sz w:val="16"/>
                <w:szCs w:val="16"/>
                <w:lang w:eastAsia="es-CO"/>
              </w:rPr>
            </w:pPr>
            <w:r w:rsidRPr="00B57E80">
              <w:rPr>
                <w:rFonts w:ascii="Verdana" w:eastAsia="Times New Roman" w:hAnsi="Verdana" w:cs="Times New Roman"/>
                <w:b/>
                <w:bCs/>
                <w:color w:val="000000"/>
                <w:sz w:val="16"/>
                <w:szCs w:val="16"/>
                <w:lang w:eastAsia="es-CO"/>
              </w:rPr>
              <w:t>2.004.300.000</w:t>
            </w:r>
          </w:p>
        </w:tc>
        <w:tc>
          <w:tcPr>
            <w:tcW w:w="1101" w:type="dxa"/>
            <w:tcBorders>
              <w:top w:val="nil"/>
              <w:left w:val="nil"/>
              <w:bottom w:val="single" w:sz="4" w:space="0" w:color="auto"/>
              <w:right w:val="single" w:sz="4" w:space="0" w:color="auto"/>
            </w:tcBorders>
            <w:shd w:val="clear" w:color="DBE5F1" w:fill="FFFFFF"/>
            <w:noWrap/>
            <w:vAlign w:val="center"/>
            <w:hideMark/>
          </w:tcPr>
          <w:p w:rsidR="00B722F2" w:rsidRPr="00B57E80" w:rsidRDefault="00B722F2" w:rsidP="00B722F2">
            <w:pPr>
              <w:spacing w:after="0" w:line="240" w:lineRule="auto"/>
              <w:jc w:val="center"/>
              <w:rPr>
                <w:rFonts w:ascii="Verdana" w:eastAsia="Times New Roman" w:hAnsi="Verdana" w:cs="Times New Roman"/>
                <w:b/>
                <w:bCs/>
                <w:color w:val="000000"/>
                <w:sz w:val="16"/>
                <w:szCs w:val="16"/>
                <w:lang w:eastAsia="es-CO"/>
              </w:rPr>
            </w:pPr>
            <w:r w:rsidRPr="00B57E80">
              <w:rPr>
                <w:rFonts w:ascii="Verdana" w:eastAsia="Times New Roman" w:hAnsi="Verdana" w:cs="Times New Roman"/>
                <w:b/>
                <w:bCs/>
                <w:color w:val="000000"/>
                <w:sz w:val="16"/>
                <w:szCs w:val="16"/>
                <w:lang w:eastAsia="es-CO"/>
              </w:rPr>
              <w:t>14</w:t>
            </w:r>
          </w:p>
        </w:tc>
        <w:tc>
          <w:tcPr>
            <w:tcW w:w="1280" w:type="dxa"/>
            <w:tcBorders>
              <w:top w:val="nil"/>
              <w:left w:val="nil"/>
              <w:bottom w:val="single" w:sz="4" w:space="0" w:color="auto"/>
              <w:right w:val="single" w:sz="4" w:space="0" w:color="auto"/>
            </w:tcBorders>
            <w:shd w:val="clear" w:color="DBE5F1" w:fill="FFFFFF"/>
            <w:noWrap/>
            <w:vAlign w:val="center"/>
            <w:hideMark/>
          </w:tcPr>
          <w:p w:rsidR="00B722F2" w:rsidRPr="00B57E80" w:rsidRDefault="00B722F2" w:rsidP="00B722F2">
            <w:pPr>
              <w:spacing w:after="0" w:line="240" w:lineRule="auto"/>
              <w:jc w:val="right"/>
              <w:rPr>
                <w:rFonts w:ascii="Verdana" w:eastAsia="Times New Roman" w:hAnsi="Verdana" w:cs="Times New Roman"/>
                <w:b/>
                <w:bCs/>
                <w:color w:val="000000"/>
                <w:sz w:val="16"/>
                <w:szCs w:val="16"/>
                <w:lang w:eastAsia="es-CO"/>
              </w:rPr>
            </w:pPr>
            <w:r w:rsidRPr="00B57E80">
              <w:rPr>
                <w:rFonts w:ascii="Verdana" w:eastAsia="Times New Roman" w:hAnsi="Verdana" w:cs="Times New Roman"/>
                <w:b/>
                <w:bCs/>
                <w:color w:val="000000"/>
                <w:sz w:val="16"/>
                <w:szCs w:val="16"/>
                <w:lang w:eastAsia="es-CO"/>
              </w:rPr>
              <w:t>321.760.000</w:t>
            </w:r>
          </w:p>
        </w:tc>
      </w:tr>
    </w:tbl>
    <w:p w:rsidR="00B722F2" w:rsidRPr="00B57E80" w:rsidRDefault="00B722F2" w:rsidP="00B722F2">
      <w:pPr>
        <w:spacing w:after="0" w:line="240" w:lineRule="auto"/>
        <w:jc w:val="both"/>
        <w:rPr>
          <w:rFonts w:ascii="Verdana" w:hAnsi="Verdana"/>
          <w:sz w:val="24"/>
          <w:szCs w:val="24"/>
        </w:rPr>
      </w:pPr>
    </w:p>
    <w:p w:rsidR="00B722F2" w:rsidRPr="00B57E80" w:rsidRDefault="00B722F2" w:rsidP="00B722F2">
      <w:pPr>
        <w:spacing w:after="0" w:line="240" w:lineRule="auto"/>
        <w:jc w:val="both"/>
        <w:rPr>
          <w:rFonts w:ascii="Verdana" w:hAnsi="Verdana"/>
          <w:sz w:val="24"/>
          <w:szCs w:val="24"/>
        </w:rPr>
      </w:pPr>
    </w:p>
    <w:p w:rsidR="00B722F2" w:rsidRPr="00D7418A" w:rsidRDefault="00B722F2" w:rsidP="00B722F2">
      <w:pPr>
        <w:spacing w:after="0" w:line="240" w:lineRule="auto"/>
        <w:jc w:val="both"/>
        <w:rPr>
          <w:rFonts w:ascii="Verdana" w:hAnsi="Verdana"/>
          <w:color w:val="4F81BD" w:themeColor="accent1"/>
          <w:sz w:val="24"/>
          <w:szCs w:val="24"/>
        </w:rPr>
      </w:pPr>
      <w:r w:rsidRPr="00D7418A">
        <w:rPr>
          <w:rFonts w:ascii="Verdana" w:hAnsi="Verdana"/>
          <w:color w:val="4F81BD" w:themeColor="accent1"/>
          <w:sz w:val="24"/>
          <w:szCs w:val="24"/>
        </w:rPr>
        <w:t>Tierras y Ordenamiento Territorial</w:t>
      </w:r>
    </w:p>
    <w:p w:rsidR="00B722F2" w:rsidRPr="00D7418A" w:rsidRDefault="00B722F2" w:rsidP="00905C49">
      <w:pPr>
        <w:pStyle w:val="Prrafodelista"/>
        <w:numPr>
          <w:ilvl w:val="0"/>
          <w:numId w:val="97"/>
        </w:numPr>
        <w:spacing w:after="0" w:line="240" w:lineRule="auto"/>
        <w:jc w:val="both"/>
        <w:rPr>
          <w:rFonts w:ascii="Verdana" w:hAnsi="Verdana"/>
          <w:sz w:val="24"/>
          <w:szCs w:val="24"/>
        </w:rPr>
      </w:pPr>
      <w:r w:rsidRPr="00D7418A">
        <w:rPr>
          <w:rFonts w:ascii="Verdana" w:hAnsi="Verdana"/>
          <w:sz w:val="24"/>
          <w:szCs w:val="24"/>
          <w:lang w:val="es-ES"/>
        </w:rPr>
        <w:t xml:space="preserve">Elaboración de cartografía básica 1:25.000 de Leguizamo (Putumayo) y La Macarena (Meta), mediante Contrato suscrito entre el IGAC y la UACT, con aporte de la Unidad de 300 millones de pesos. </w:t>
      </w:r>
    </w:p>
    <w:p w:rsidR="00B722F2" w:rsidRPr="00B57E80" w:rsidRDefault="00B722F2" w:rsidP="00B722F2">
      <w:pPr>
        <w:spacing w:after="0" w:line="240" w:lineRule="auto"/>
        <w:jc w:val="both"/>
        <w:rPr>
          <w:rFonts w:ascii="Verdana" w:hAnsi="Verdana"/>
          <w:sz w:val="24"/>
          <w:szCs w:val="24"/>
        </w:rPr>
      </w:pPr>
    </w:p>
    <w:p w:rsidR="00B722F2" w:rsidRPr="00D7418A" w:rsidRDefault="00B722F2" w:rsidP="00905C49">
      <w:pPr>
        <w:pStyle w:val="Prrafodelista"/>
        <w:numPr>
          <w:ilvl w:val="0"/>
          <w:numId w:val="97"/>
        </w:numPr>
        <w:spacing w:after="0" w:line="240" w:lineRule="auto"/>
        <w:jc w:val="both"/>
        <w:rPr>
          <w:rFonts w:ascii="Verdana" w:hAnsi="Verdana"/>
          <w:sz w:val="24"/>
          <w:szCs w:val="24"/>
        </w:rPr>
      </w:pPr>
      <w:r w:rsidRPr="00D7418A">
        <w:rPr>
          <w:rFonts w:ascii="Verdana" w:hAnsi="Verdana"/>
          <w:sz w:val="24"/>
          <w:szCs w:val="24"/>
        </w:rPr>
        <w:t>Participación en el Comité Especial Interinstitucional (CEI) de la Comisión de Ordenamiento Territorial (COT), que pretende construir: i) Política General de Ordenamiento Territorial (PGOT), ii)  Insumos de la PGOT para el Plan Nacional de Desarrollo (PND) 2014-2018 y iii) Lineamientos técnicos para el Plan de Ordenamiento Departamental.</w:t>
      </w:r>
    </w:p>
    <w:p w:rsidR="00B722F2" w:rsidRPr="00B57E80" w:rsidRDefault="00B722F2" w:rsidP="00B722F2">
      <w:pPr>
        <w:spacing w:after="0" w:line="240" w:lineRule="auto"/>
        <w:jc w:val="both"/>
        <w:rPr>
          <w:rFonts w:ascii="Verdana" w:hAnsi="Verdana"/>
          <w:sz w:val="24"/>
          <w:szCs w:val="24"/>
        </w:rPr>
      </w:pPr>
    </w:p>
    <w:p w:rsidR="00B722F2" w:rsidRPr="00B57E80" w:rsidRDefault="00B722F2" w:rsidP="00B722F2">
      <w:pPr>
        <w:spacing w:after="0" w:line="240" w:lineRule="auto"/>
        <w:jc w:val="both"/>
        <w:rPr>
          <w:rFonts w:ascii="Verdana" w:hAnsi="Verdana"/>
          <w:sz w:val="24"/>
          <w:szCs w:val="24"/>
        </w:rPr>
      </w:pPr>
    </w:p>
    <w:p w:rsidR="00B722F2" w:rsidRPr="00D7418A" w:rsidRDefault="00B722F2" w:rsidP="00B722F2">
      <w:pPr>
        <w:spacing w:after="0" w:line="240" w:lineRule="auto"/>
        <w:jc w:val="both"/>
        <w:rPr>
          <w:rFonts w:ascii="Verdana" w:hAnsi="Verdana"/>
          <w:color w:val="4F81BD" w:themeColor="accent1"/>
          <w:sz w:val="24"/>
          <w:szCs w:val="24"/>
        </w:rPr>
      </w:pPr>
      <w:r w:rsidRPr="00D7418A">
        <w:rPr>
          <w:rFonts w:ascii="Verdana" w:hAnsi="Verdana"/>
          <w:color w:val="4F81BD" w:themeColor="accent1"/>
          <w:sz w:val="24"/>
          <w:szCs w:val="24"/>
        </w:rPr>
        <w:t>Formalización de la Propiedad Rural</w:t>
      </w:r>
    </w:p>
    <w:p w:rsidR="00B722F2" w:rsidRPr="00D7418A" w:rsidRDefault="00B722F2" w:rsidP="00905C49">
      <w:pPr>
        <w:pStyle w:val="Prrafodelista"/>
        <w:numPr>
          <w:ilvl w:val="0"/>
          <w:numId w:val="99"/>
        </w:numPr>
        <w:spacing w:after="0" w:line="240" w:lineRule="auto"/>
        <w:jc w:val="both"/>
        <w:rPr>
          <w:rFonts w:ascii="Verdana" w:hAnsi="Verdana"/>
          <w:sz w:val="24"/>
          <w:szCs w:val="24"/>
        </w:rPr>
      </w:pPr>
      <w:r w:rsidRPr="00D7418A">
        <w:rPr>
          <w:rFonts w:ascii="Verdana" w:hAnsi="Verdana"/>
          <w:sz w:val="24"/>
          <w:szCs w:val="24"/>
        </w:rPr>
        <w:t>Aprobación del Plan de Tierras para Consolidación 2014 por parte de INCODER.</w:t>
      </w:r>
    </w:p>
    <w:p w:rsidR="00B722F2" w:rsidRPr="00D7418A" w:rsidRDefault="00B722F2" w:rsidP="00905C49">
      <w:pPr>
        <w:pStyle w:val="Prrafodelista"/>
        <w:numPr>
          <w:ilvl w:val="0"/>
          <w:numId w:val="99"/>
        </w:numPr>
        <w:spacing w:after="0" w:line="240" w:lineRule="auto"/>
        <w:jc w:val="both"/>
        <w:rPr>
          <w:rFonts w:ascii="Verdana" w:hAnsi="Verdana"/>
          <w:sz w:val="24"/>
          <w:szCs w:val="24"/>
        </w:rPr>
      </w:pPr>
      <w:r w:rsidRPr="00D7418A">
        <w:rPr>
          <w:rFonts w:ascii="Verdana" w:hAnsi="Verdana"/>
          <w:sz w:val="24"/>
          <w:szCs w:val="24"/>
        </w:rPr>
        <w:t>Firma del Convenio 022 de 2014 INCODER – UACT, para la implementación de la estrategia de Desarrollo Rural con Enfoque Territorial - PIDRET en regiones de Consolidación.</w:t>
      </w:r>
    </w:p>
    <w:p w:rsidR="00B722F2" w:rsidRPr="00D7418A" w:rsidRDefault="00B722F2" w:rsidP="00905C49">
      <w:pPr>
        <w:pStyle w:val="Prrafodelista"/>
        <w:numPr>
          <w:ilvl w:val="0"/>
          <w:numId w:val="99"/>
        </w:numPr>
        <w:spacing w:after="0" w:line="240" w:lineRule="auto"/>
        <w:jc w:val="both"/>
        <w:rPr>
          <w:rFonts w:ascii="Verdana" w:hAnsi="Verdana"/>
          <w:sz w:val="24"/>
          <w:szCs w:val="24"/>
        </w:rPr>
      </w:pPr>
      <w:r w:rsidRPr="00D7418A">
        <w:rPr>
          <w:rFonts w:ascii="Verdana" w:hAnsi="Verdana"/>
          <w:sz w:val="24"/>
          <w:szCs w:val="24"/>
        </w:rPr>
        <w:t>Implementación de mesas temáticas sectoriales, de Tierras y ordenamiento, Generación de Ingresos y Bienes Públicos, en desarrollo de la estrategia PIDRET.</w:t>
      </w:r>
    </w:p>
    <w:p w:rsidR="00B722F2" w:rsidRPr="00D7418A" w:rsidRDefault="00B722F2" w:rsidP="00905C49">
      <w:pPr>
        <w:pStyle w:val="Prrafodelista"/>
        <w:numPr>
          <w:ilvl w:val="0"/>
          <w:numId w:val="99"/>
        </w:numPr>
        <w:spacing w:after="0" w:line="240" w:lineRule="auto"/>
        <w:jc w:val="both"/>
        <w:rPr>
          <w:rFonts w:ascii="Verdana" w:hAnsi="Verdana"/>
          <w:sz w:val="24"/>
          <w:szCs w:val="24"/>
        </w:rPr>
      </w:pPr>
      <w:r w:rsidRPr="00D7418A">
        <w:rPr>
          <w:rFonts w:ascii="Verdana" w:hAnsi="Verdana"/>
          <w:sz w:val="24"/>
          <w:szCs w:val="24"/>
        </w:rPr>
        <w:t>Firma del Convenio 138 de 2014 entre INCODER – FUPAD y La UACT, para la implementación de pilotos de formulación de prospectiva de PIDRETs en Montes de María y Tumaco, y la definición de ruta de formalización de tierras en el Bajo Cauca</w:t>
      </w:r>
    </w:p>
    <w:p w:rsidR="00B722F2" w:rsidRPr="00B57E80" w:rsidRDefault="00B722F2" w:rsidP="00B722F2">
      <w:pPr>
        <w:spacing w:after="0" w:line="240" w:lineRule="auto"/>
        <w:jc w:val="both"/>
        <w:rPr>
          <w:rFonts w:ascii="Verdana" w:hAnsi="Verdana"/>
          <w:sz w:val="24"/>
          <w:szCs w:val="24"/>
        </w:rPr>
      </w:pPr>
    </w:p>
    <w:p w:rsidR="00B722F2" w:rsidRPr="00B57E80" w:rsidRDefault="00B722F2" w:rsidP="00B722F2">
      <w:pPr>
        <w:spacing w:after="0" w:line="240" w:lineRule="auto"/>
        <w:jc w:val="both"/>
        <w:rPr>
          <w:rFonts w:ascii="Verdana" w:hAnsi="Verdana"/>
          <w:sz w:val="24"/>
          <w:szCs w:val="24"/>
        </w:rPr>
      </w:pPr>
    </w:p>
    <w:p w:rsidR="00B722F2" w:rsidRPr="00D7418A" w:rsidRDefault="00B722F2" w:rsidP="00B722F2">
      <w:pPr>
        <w:spacing w:after="0" w:line="240" w:lineRule="auto"/>
        <w:jc w:val="both"/>
        <w:rPr>
          <w:rFonts w:ascii="Verdana" w:hAnsi="Verdana"/>
          <w:sz w:val="24"/>
          <w:szCs w:val="24"/>
        </w:rPr>
      </w:pPr>
      <w:r w:rsidRPr="00D7418A">
        <w:rPr>
          <w:rFonts w:ascii="Verdana" w:hAnsi="Verdana"/>
          <w:sz w:val="24"/>
          <w:szCs w:val="24"/>
        </w:rPr>
        <w:t>Ministerio de Justicia</w:t>
      </w:r>
    </w:p>
    <w:p w:rsidR="00B722F2" w:rsidRPr="00DB1E86" w:rsidRDefault="00B722F2" w:rsidP="00B722F2">
      <w:pPr>
        <w:spacing w:after="0" w:line="240" w:lineRule="auto"/>
        <w:jc w:val="both"/>
        <w:rPr>
          <w:rFonts w:ascii="Verdana" w:hAnsi="Verdana"/>
          <w:bCs/>
          <w:sz w:val="24"/>
          <w:szCs w:val="24"/>
        </w:rPr>
      </w:pPr>
      <w:r w:rsidRPr="00DB1E86">
        <w:rPr>
          <w:rFonts w:ascii="Verdana" w:hAnsi="Verdana"/>
          <w:bCs/>
          <w:sz w:val="24"/>
          <w:szCs w:val="24"/>
        </w:rPr>
        <w:t>Acceso a la Justicia - 3 Casas de Justicia</w:t>
      </w:r>
    </w:p>
    <w:p w:rsidR="00B722F2" w:rsidRPr="00B57E80" w:rsidRDefault="00B722F2" w:rsidP="00B722F2">
      <w:pPr>
        <w:spacing w:after="0" w:line="240" w:lineRule="auto"/>
        <w:jc w:val="both"/>
        <w:rPr>
          <w:rFonts w:ascii="Verdana" w:hAnsi="Verdana"/>
          <w:sz w:val="24"/>
          <w:szCs w:val="24"/>
        </w:rPr>
      </w:pPr>
      <w:r w:rsidRPr="00B57E80">
        <w:rPr>
          <w:rFonts w:ascii="Verdana" w:hAnsi="Verdana"/>
          <w:sz w:val="24"/>
          <w:szCs w:val="24"/>
        </w:rPr>
        <w:t xml:space="preserve">2012 San Onofre – Sucre </w:t>
      </w:r>
    </w:p>
    <w:p w:rsidR="00B722F2" w:rsidRPr="00B57E80" w:rsidRDefault="00B722F2" w:rsidP="00B722F2">
      <w:pPr>
        <w:spacing w:after="0" w:line="240" w:lineRule="auto"/>
        <w:jc w:val="both"/>
        <w:rPr>
          <w:rFonts w:ascii="Verdana" w:hAnsi="Verdana"/>
          <w:sz w:val="24"/>
          <w:szCs w:val="24"/>
        </w:rPr>
      </w:pPr>
      <w:r w:rsidRPr="00B57E80">
        <w:rPr>
          <w:rFonts w:ascii="Verdana" w:hAnsi="Verdana"/>
          <w:sz w:val="24"/>
          <w:szCs w:val="24"/>
        </w:rPr>
        <w:t xml:space="preserve">2013 Santander de Quilichao - Cauca </w:t>
      </w:r>
    </w:p>
    <w:p w:rsidR="00B722F2" w:rsidRPr="00B57E80" w:rsidRDefault="00B722F2" w:rsidP="00B722F2">
      <w:pPr>
        <w:spacing w:after="0" w:line="240" w:lineRule="auto"/>
        <w:jc w:val="both"/>
        <w:rPr>
          <w:rFonts w:ascii="Verdana" w:hAnsi="Verdana"/>
          <w:sz w:val="24"/>
          <w:szCs w:val="24"/>
        </w:rPr>
      </w:pPr>
      <w:r w:rsidRPr="00B57E80">
        <w:rPr>
          <w:rFonts w:ascii="Verdana" w:hAnsi="Verdana"/>
          <w:sz w:val="24"/>
          <w:szCs w:val="24"/>
        </w:rPr>
        <w:t>Anorí – Antioquia</w:t>
      </w:r>
    </w:p>
    <w:p w:rsidR="00B722F2" w:rsidRPr="00DB1E86" w:rsidRDefault="00B722F2" w:rsidP="00905C49">
      <w:pPr>
        <w:pStyle w:val="Prrafodelista"/>
        <w:numPr>
          <w:ilvl w:val="0"/>
          <w:numId w:val="112"/>
        </w:numPr>
        <w:spacing w:after="0" w:line="240" w:lineRule="auto"/>
        <w:jc w:val="both"/>
        <w:rPr>
          <w:rFonts w:ascii="Verdana" w:hAnsi="Verdana"/>
          <w:sz w:val="24"/>
          <w:szCs w:val="24"/>
        </w:rPr>
      </w:pPr>
      <w:r w:rsidRPr="00DB1E86">
        <w:rPr>
          <w:rFonts w:ascii="Verdana" w:hAnsi="Verdana"/>
          <w:sz w:val="24"/>
          <w:szCs w:val="24"/>
        </w:rPr>
        <w:t xml:space="preserve">2014 Apalancar Provecto de Construcción Casa de Justicia de Pradera por $1500.000.00 </w:t>
      </w:r>
    </w:p>
    <w:p w:rsidR="00B722F2" w:rsidRPr="00B57E80" w:rsidRDefault="00B722F2" w:rsidP="00B722F2">
      <w:pPr>
        <w:spacing w:after="0" w:line="240" w:lineRule="auto"/>
        <w:jc w:val="both"/>
        <w:rPr>
          <w:rFonts w:ascii="Verdana" w:hAnsi="Verdana"/>
          <w:sz w:val="24"/>
          <w:szCs w:val="24"/>
        </w:rPr>
      </w:pPr>
    </w:p>
    <w:p w:rsidR="00B722F2" w:rsidRPr="00B57E80" w:rsidRDefault="00B722F2" w:rsidP="00B722F2">
      <w:pPr>
        <w:spacing w:after="0" w:line="240" w:lineRule="auto"/>
        <w:jc w:val="both"/>
        <w:rPr>
          <w:rFonts w:ascii="Verdana" w:hAnsi="Verdana"/>
          <w:sz w:val="24"/>
          <w:szCs w:val="24"/>
        </w:rPr>
      </w:pPr>
    </w:p>
    <w:p w:rsidR="00B722F2" w:rsidRPr="00D7418A" w:rsidRDefault="00B716AE" w:rsidP="00B722F2">
      <w:pPr>
        <w:spacing w:after="0" w:line="240" w:lineRule="auto"/>
        <w:jc w:val="both"/>
        <w:rPr>
          <w:rFonts w:ascii="Verdana" w:hAnsi="Verdana"/>
          <w:b/>
          <w:bCs/>
          <w:color w:val="4F81BD" w:themeColor="accent1"/>
          <w:sz w:val="24"/>
          <w:szCs w:val="24"/>
          <w:lang w:val="es-ES"/>
        </w:rPr>
      </w:pPr>
      <w:r w:rsidRPr="00D7418A">
        <w:rPr>
          <w:rFonts w:ascii="Verdana" w:hAnsi="Verdana"/>
          <w:b/>
          <w:bCs/>
          <w:color w:val="4F81BD" w:themeColor="accent1"/>
          <w:sz w:val="24"/>
          <w:szCs w:val="24"/>
          <w:lang w:val="es-ES"/>
        </w:rPr>
        <w:t xml:space="preserve">DIRECCIÓN DE ASUNTOS INDÍGENAS, ROM Y MINORÍAS </w:t>
      </w:r>
    </w:p>
    <w:p w:rsidR="00B722F2" w:rsidRPr="00D7418A" w:rsidRDefault="00B722F2" w:rsidP="00905C49">
      <w:pPr>
        <w:pStyle w:val="Prrafodelista"/>
        <w:numPr>
          <w:ilvl w:val="0"/>
          <w:numId w:val="100"/>
        </w:numPr>
        <w:spacing w:after="0" w:line="240" w:lineRule="auto"/>
        <w:jc w:val="both"/>
        <w:rPr>
          <w:rFonts w:ascii="Verdana" w:hAnsi="Verdana"/>
          <w:sz w:val="24"/>
          <w:szCs w:val="24"/>
        </w:rPr>
      </w:pPr>
      <w:r w:rsidRPr="00D7418A">
        <w:rPr>
          <w:rFonts w:ascii="Verdana" w:hAnsi="Verdana"/>
          <w:sz w:val="24"/>
          <w:szCs w:val="24"/>
        </w:rPr>
        <w:t xml:space="preserve">Programa de fortalecimiento a las capacidades del Gobierno propio de comunidades indígenas en zonas de Consolidación (7 municipios) Tibú, Valle del Guamuez, Puerto Asís, Puerto Leguizamo, la Montañita, Caucasia, Cáceres. </w:t>
      </w:r>
    </w:p>
    <w:p w:rsidR="00B722F2" w:rsidRPr="00D7418A" w:rsidRDefault="00B722F2" w:rsidP="00905C49">
      <w:pPr>
        <w:pStyle w:val="Prrafodelista"/>
        <w:numPr>
          <w:ilvl w:val="0"/>
          <w:numId w:val="100"/>
        </w:numPr>
        <w:spacing w:after="0" w:line="240" w:lineRule="auto"/>
        <w:jc w:val="both"/>
        <w:rPr>
          <w:rFonts w:ascii="Verdana" w:hAnsi="Verdana"/>
          <w:sz w:val="24"/>
          <w:szCs w:val="24"/>
        </w:rPr>
      </w:pPr>
      <w:r w:rsidRPr="00D7418A">
        <w:rPr>
          <w:rFonts w:ascii="Verdana" w:hAnsi="Verdana"/>
          <w:sz w:val="24"/>
          <w:szCs w:val="24"/>
        </w:rPr>
        <w:t>Identificación de Proyectos para Comunidades Indígenas, priorizados por las Gerencias Regionales.</w:t>
      </w:r>
    </w:p>
    <w:p w:rsidR="00B722F2" w:rsidRPr="00D7418A" w:rsidRDefault="00B722F2" w:rsidP="00905C49">
      <w:pPr>
        <w:pStyle w:val="Prrafodelista"/>
        <w:numPr>
          <w:ilvl w:val="0"/>
          <w:numId w:val="100"/>
        </w:numPr>
        <w:spacing w:after="0" w:line="240" w:lineRule="auto"/>
        <w:jc w:val="both"/>
        <w:rPr>
          <w:rFonts w:ascii="Verdana" w:hAnsi="Verdana"/>
          <w:sz w:val="24"/>
          <w:szCs w:val="24"/>
        </w:rPr>
      </w:pPr>
      <w:r w:rsidRPr="00D7418A">
        <w:rPr>
          <w:rFonts w:ascii="Verdana" w:hAnsi="Verdana"/>
          <w:sz w:val="24"/>
          <w:szCs w:val="24"/>
        </w:rPr>
        <w:t>Acompañamiento técnico del Ministerio del Interior para los proyectos identificados por Consolidación territorial.</w:t>
      </w:r>
    </w:p>
    <w:p w:rsidR="00B722F2" w:rsidRPr="00B57E80" w:rsidRDefault="00B722F2" w:rsidP="00B722F2">
      <w:pPr>
        <w:spacing w:after="0" w:line="240" w:lineRule="auto"/>
        <w:jc w:val="both"/>
        <w:rPr>
          <w:rFonts w:ascii="Verdana" w:hAnsi="Verdana"/>
          <w:sz w:val="24"/>
          <w:szCs w:val="24"/>
        </w:rPr>
      </w:pPr>
    </w:p>
    <w:p w:rsidR="00B722F2" w:rsidRPr="00D7418A" w:rsidRDefault="00B716AE" w:rsidP="00B722F2">
      <w:pPr>
        <w:spacing w:after="0" w:line="240" w:lineRule="auto"/>
        <w:jc w:val="both"/>
        <w:rPr>
          <w:rFonts w:ascii="Verdana" w:hAnsi="Verdana"/>
          <w:color w:val="4F81BD" w:themeColor="accent1"/>
          <w:sz w:val="24"/>
          <w:szCs w:val="24"/>
        </w:rPr>
      </w:pPr>
      <w:r w:rsidRPr="00D7418A">
        <w:rPr>
          <w:rFonts w:ascii="Verdana" w:hAnsi="Verdana"/>
          <w:b/>
          <w:bCs/>
          <w:color w:val="4F81BD" w:themeColor="accent1"/>
          <w:sz w:val="24"/>
          <w:szCs w:val="24"/>
          <w:lang w:val="es-ES"/>
        </w:rPr>
        <w:t>DIRECCIÓN PARA LA DEMOCRACIA, PARTICIPACIÓN CIUDADANA Y ACCIÓN COMUNAL</w:t>
      </w:r>
      <w:r w:rsidRPr="00D7418A">
        <w:rPr>
          <w:rFonts w:ascii="Verdana" w:hAnsi="Verdana"/>
          <w:color w:val="4F81BD" w:themeColor="accent1"/>
          <w:sz w:val="24"/>
          <w:szCs w:val="24"/>
        </w:rPr>
        <w:t xml:space="preserve"> </w:t>
      </w:r>
    </w:p>
    <w:p w:rsidR="00B722F2" w:rsidRPr="00B716AE" w:rsidRDefault="00B722F2" w:rsidP="00905C49">
      <w:pPr>
        <w:pStyle w:val="Prrafodelista"/>
        <w:numPr>
          <w:ilvl w:val="0"/>
          <w:numId w:val="101"/>
        </w:numPr>
        <w:spacing w:after="0" w:line="240" w:lineRule="auto"/>
        <w:jc w:val="both"/>
        <w:rPr>
          <w:rFonts w:ascii="Verdana" w:hAnsi="Verdana"/>
          <w:sz w:val="24"/>
          <w:szCs w:val="24"/>
        </w:rPr>
      </w:pPr>
      <w:r w:rsidRPr="00B716AE">
        <w:rPr>
          <w:rFonts w:ascii="Verdana" w:hAnsi="Verdana"/>
          <w:sz w:val="24"/>
          <w:szCs w:val="24"/>
        </w:rPr>
        <w:t>Talleres en control social: Ataco, Cartagena del Chaira, La Montañita, Anorí, Briceño, Cáceres, Taraza; Montelibano, Valencia, Puerto Leguizamo, San Miguel.</w:t>
      </w:r>
    </w:p>
    <w:p w:rsidR="00B722F2" w:rsidRPr="00B716AE" w:rsidRDefault="00B722F2" w:rsidP="00905C49">
      <w:pPr>
        <w:pStyle w:val="Prrafodelista"/>
        <w:numPr>
          <w:ilvl w:val="0"/>
          <w:numId w:val="101"/>
        </w:numPr>
        <w:spacing w:after="0" w:line="240" w:lineRule="auto"/>
        <w:jc w:val="both"/>
        <w:rPr>
          <w:rFonts w:ascii="Verdana" w:hAnsi="Verdana"/>
          <w:sz w:val="24"/>
          <w:szCs w:val="24"/>
        </w:rPr>
      </w:pPr>
      <w:r w:rsidRPr="00B716AE">
        <w:rPr>
          <w:rFonts w:ascii="Verdana" w:hAnsi="Verdana"/>
          <w:sz w:val="24"/>
          <w:szCs w:val="24"/>
        </w:rPr>
        <w:t>Diplomado Control social: Arauca, Tumaco, Puerto Libertador, Puerto Asís, San Miguel, Cartagena del Chaira, Valencia, Montelibano.</w:t>
      </w:r>
    </w:p>
    <w:p w:rsidR="00B722F2" w:rsidRPr="00B716AE" w:rsidRDefault="00B722F2" w:rsidP="00905C49">
      <w:pPr>
        <w:pStyle w:val="Prrafodelista"/>
        <w:numPr>
          <w:ilvl w:val="0"/>
          <w:numId w:val="101"/>
        </w:numPr>
        <w:spacing w:after="0" w:line="240" w:lineRule="auto"/>
        <w:jc w:val="both"/>
        <w:rPr>
          <w:rFonts w:ascii="Verdana" w:hAnsi="Verdana"/>
          <w:sz w:val="24"/>
          <w:szCs w:val="24"/>
        </w:rPr>
      </w:pPr>
      <w:r w:rsidRPr="00B716AE">
        <w:rPr>
          <w:rFonts w:ascii="Verdana" w:hAnsi="Verdana"/>
          <w:sz w:val="24"/>
          <w:szCs w:val="24"/>
        </w:rPr>
        <w:t>Diplomado Acciones para la Democracia: Arauca, Valle del Guamuez.</w:t>
      </w:r>
    </w:p>
    <w:p w:rsidR="00B722F2" w:rsidRPr="00B716AE" w:rsidRDefault="00B722F2" w:rsidP="00905C49">
      <w:pPr>
        <w:pStyle w:val="Prrafodelista"/>
        <w:numPr>
          <w:ilvl w:val="0"/>
          <w:numId w:val="101"/>
        </w:numPr>
        <w:spacing w:after="0" w:line="240" w:lineRule="auto"/>
        <w:jc w:val="both"/>
        <w:rPr>
          <w:rFonts w:ascii="Verdana" w:hAnsi="Verdana"/>
          <w:sz w:val="24"/>
          <w:szCs w:val="24"/>
        </w:rPr>
      </w:pPr>
      <w:r w:rsidRPr="00B716AE">
        <w:rPr>
          <w:rFonts w:ascii="Verdana" w:hAnsi="Verdana"/>
          <w:sz w:val="24"/>
          <w:szCs w:val="24"/>
        </w:rPr>
        <w:t xml:space="preserve">Red de veedurías ciudadanas – taller de multiplicadores: Montes de María y Valle del Cauca.  </w:t>
      </w:r>
    </w:p>
    <w:p w:rsidR="00B722F2" w:rsidRPr="00B57E80" w:rsidRDefault="00B722F2" w:rsidP="00B722F2">
      <w:pPr>
        <w:spacing w:after="0" w:line="240" w:lineRule="auto"/>
        <w:jc w:val="both"/>
        <w:rPr>
          <w:rFonts w:ascii="Verdana" w:hAnsi="Verdana"/>
          <w:sz w:val="24"/>
          <w:szCs w:val="24"/>
        </w:rPr>
      </w:pPr>
    </w:p>
    <w:p w:rsidR="00B722F2" w:rsidRPr="00AA2A01" w:rsidRDefault="00AA2A01" w:rsidP="00B722F2">
      <w:pPr>
        <w:spacing w:after="0" w:line="240" w:lineRule="auto"/>
        <w:jc w:val="both"/>
        <w:rPr>
          <w:rFonts w:ascii="Verdana" w:hAnsi="Verdana"/>
          <w:b/>
          <w:bCs/>
          <w:color w:val="4F81BD" w:themeColor="accent1"/>
          <w:sz w:val="24"/>
          <w:szCs w:val="24"/>
          <w:lang w:val="es-ES"/>
        </w:rPr>
      </w:pPr>
      <w:r w:rsidRPr="00AA2A01">
        <w:rPr>
          <w:rFonts w:ascii="Verdana" w:hAnsi="Verdana"/>
          <w:b/>
          <w:bCs/>
          <w:color w:val="4F81BD" w:themeColor="accent1"/>
          <w:sz w:val="24"/>
          <w:szCs w:val="24"/>
          <w:lang w:val="es-ES"/>
        </w:rPr>
        <w:t>SUBDIRECCIÓN PARA LA SEGURIDAD Y CONVIVENCIA CIUDADANA</w:t>
      </w:r>
    </w:p>
    <w:p w:rsidR="00B722F2" w:rsidRPr="00B57E80" w:rsidRDefault="00B722F2" w:rsidP="00905C49">
      <w:pPr>
        <w:numPr>
          <w:ilvl w:val="0"/>
          <w:numId w:val="84"/>
        </w:numPr>
        <w:spacing w:after="0" w:line="240" w:lineRule="auto"/>
        <w:jc w:val="both"/>
        <w:rPr>
          <w:rFonts w:ascii="Verdana" w:hAnsi="Verdana"/>
          <w:sz w:val="24"/>
          <w:szCs w:val="24"/>
        </w:rPr>
      </w:pPr>
      <w:r w:rsidRPr="00B57E80">
        <w:rPr>
          <w:rFonts w:ascii="Verdana" w:hAnsi="Verdana"/>
          <w:sz w:val="24"/>
          <w:szCs w:val="24"/>
        </w:rPr>
        <w:t xml:space="preserve">Revisión y formulación de PISCC en Nudo de Paramillo bajo cauca, Norte y Nordeste Antioqueño en conjunto con DNP - Ministerio del Interior </w:t>
      </w:r>
      <w:r w:rsidRPr="00B57E80">
        <w:rPr>
          <w:rFonts w:ascii="Verdana" w:hAnsi="Verdana"/>
          <w:bCs/>
          <w:sz w:val="24"/>
          <w:szCs w:val="24"/>
        </w:rPr>
        <w:t>y</w:t>
      </w:r>
      <w:r w:rsidRPr="00B57E80">
        <w:rPr>
          <w:rFonts w:ascii="Verdana" w:hAnsi="Verdana"/>
          <w:sz w:val="24"/>
          <w:szCs w:val="24"/>
        </w:rPr>
        <w:t xml:space="preserve"> UACT</w:t>
      </w:r>
      <w:r w:rsidRPr="00B57E80">
        <w:rPr>
          <w:rFonts w:ascii="Verdana" w:hAnsi="Verdana"/>
          <w:b/>
          <w:bCs/>
          <w:sz w:val="24"/>
          <w:szCs w:val="24"/>
        </w:rPr>
        <w:t>.</w:t>
      </w:r>
      <w:r w:rsidRPr="00B57E80">
        <w:rPr>
          <w:rFonts w:ascii="Verdana" w:hAnsi="Verdana"/>
          <w:sz w:val="24"/>
          <w:szCs w:val="24"/>
        </w:rPr>
        <w:t xml:space="preserve"> </w:t>
      </w:r>
    </w:p>
    <w:p w:rsidR="00B722F2" w:rsidRPr="00B57E80" w:rsidRDefault="00B722F2" w:rsidP="00B722F2">
      <w:pPr>
        <w:spacing w:after="0" w:line="240" w:lineRule="auto"/>
        <w:jc w:val="both"/>
        <w:rPr>
          <w:rFonts w:ascii="Verdana" w:hAnsi="Verdana"/>
          <w:sz w:val="24"/>
          <w:szCs w:val="24"/>
        </w:rPr>
      </w:pPr>
    </w:p>
    <w:p w:rsidR="00B722F2" w:rsidRPr="00D7418A" w:rsidRDefault="00B716AE" w:rsidP="00B722F2">
      <w:pPr>
        <w:spacing w:after="0" w:line="240" w:lineRule="auto"/>
        <w:jc w:val="both"/>
        <w:rPr>
          <w:rFonts w:ascii="Verdana" w:hAnsi="Verdana"/>
          <w:color w:val="4F81BD" w:themeColor="accent1"/>
          <w:sz w:val="24"/>
          <w:szCs w:val="24"/>
        </w:rPr>
      </w:pPr>
      <w:r w:rsidRPr="00D7418A">
        <w:rPr>
          <w:rFonts w:ascii="Verdana" w:hAnsi="Verdana"/>
          <w:b/>
          <w:bCs/>
          <w:color w:val="4F81BD" w:themeColor="accent1"/>
          <w:sz w:val="24"/>
          <w:szCs w:val="24"/>
        </w:rPr>
        <w:t>DIRECCIÓN DE ASUNTOS PARA COMUNIDADES NEGRAS, AFROCOLOMBIANAS, RAIZALES Y PALENQUERAS.</w:t>
      </w:r>
    </w:p>
    <w:p w:rsidR="00B722F2" w:rsidRPr="00B57E80" w:rsidRDefault="00B722F2" w:rsidP="00905C49">
      <w:pPr>
        <w:numPr>
          <w:ilvl w:val="0"/>
          <w:numId w:val="85"/>
        </w:numPr>
        <w:spacing w:after="0" w:line="240" w:lineRule="auto"/>
        <w:jc w:val="both"/>
        <w:rPr>
          <w:rFonts w:ascii="Verdana" w:hAnsi="Verdana"/>
          <w:sz w:val="24"/>
          <w:szCs w:val="24"/>
        </w:rPr>
      </w:pPr>
      <w:r w:rsidRPr="00B57E80">
        <w:rPr>
          <w:rFonts w:ascii="Verdana" w:hAnsi="Verdana"/>
          <w:sz w:val="24"/>
          <w:szCs w:val="24"/>
        </w:rPr>
        <w:t>Acompañamiento técnico en Antioquia para el fortalecimiento de consejos Comunitarios de las comunidades Afros.</w:t>
      </w:r>
    </w:p>
    <w:p w:rsidR="00B722F2" w:rsidRPr="00B57E80" w:rsidRDefault="00B722F2" w:rsidP="00905C49">
      <w:pPr>
        <w:numPr>
          <w:ilvl w:val="0"/>
          <w:numId w:val="85"/>
        </w:numPr>
        <w:spacing w:after="0" w:line="240" w:lineRule="auto"/>
        <w:jc w:val="both"/>
        <w:rPr>
          <w:rFonts w:ascii="Verdana" w:hAnsi="Verdana"/>
          <w:sz w:val="24"/>
          <w:szCs w:val="24"/>
        </w:rPr>
      </w:pPr>
      <w:r w:rsidRPr="00B57E80">
        <w:rPr>
          <w:rFonts w:ascii="Verdana" w:hAnsi="Verdana"/>
          <w:sz w:val="24"/>
          <w:szCs w:val="24"/>
        </w:rPr>
        <w:t>Participación en mesa de trabajo con los grupos de trabajo de la Dirección NARP, para la priorización de las zonas de Consolidación en el plan de acción 2015.</w:t>
      </w:r>
    </w:p>
    <w:p w:rsidR="00B722F2" w:rsidRPr="00B57E80" w:rsidRDefault="00B722F2" w:rsidP="00B722F2">
      <w:pPr>
        <w:spacing w:after="0" w:line="240" w:lineRule="auto"/>
        <w:jc w:val="both"/>
        <w:rPr>
          <w:rFonts w:ascii="Verdana" w:hAnsi="Verdana"/>
          <w:sz w:val="24"/>
          <w:szCs w:val="24"/>
        </w:rPr>
      </w:pPr>
    </w:p>
    <w:p w:rsidR="00B722F2" w:rsidRPr="00B57E80" w:rsidRDefault="00B722F2" w:rsidP="00B722F2">
      <w:pPr>
        <w:spacing w:after="0" w:line="240" w:lineRule="auto"/>
        <w:jc w:val="both"/>
        <w:rPr>
          <w:rFonts w:ascii="Verdana" w:hAnsi="Verdana"/>
          <w:sz w:val="24"/>
          <w:szCs w:val="24"/>
        </w:rPr>
      </w:pPr>
    </w:p>
    <w:p w:rsidR="00B722F2" w:rsidRPr="00B716AE" w:rsidRDefault="00B722F2" w:rsidP="00B722F2">
      <w:pPr>
        <w:spacing w:after="0" w:line="240" w:lineRule="auto"/>
        <w:jc w:val="both"/>
        <w:rPr>
          <w:rFonts w:ascii="Verdana" w:hAnsi="Verdana"/>
          <w:color w:val="4F81BD" w:themeColor="accent1"/>
          <w:sz w:val="24"/>
          <w:szCs w:val="24"/>
        </w:rPr>
      </w:pPr>
      <w:r w:rsidRPr="00B716AE">
        <w:rPr>
          <w:rFonts w:ascii="Verdana" w:hAnsi="Verdana"/>
          <w:color w:val="4F81BD" w:themeColor="accent1"/>
          <w:sz w:val="24"/>
          <w:szCs w:val="24"/>
        </w:rPr>
        <w:t>ESTRATEGIA PREVENCIÓN DEL RECLUTAMIENTO</w:t>
      </w:r>
    </w:p>
    <w:p w:rsidR="00B722F2" w:rsidRPr="00B57E80" w:rsidRDefault="00B722F2" w:rsidP="00B722F2">
      <w:pPr>
        <w:spacing w:after="0" w:line="240" w:lineRule="auto"/>
        <w:jc w:val="both"/>
        <w:rPr>
          <w:rFonts w:ascii="Verdana" w:hAnsi="Verdana"/>
          <w:sz w:val="24"/>
          <w:szCs w:val="24"/>
        </w:rPr>
      </w:pPr>
      <w:r w:rsidRPr="00B57E80">
        <w:rPr>
          <w:rFonts w:ascii="Verdana" w:hAnsi="Verdana"/>
          <w:bCs/>
          <w:sz w:val="24"/>
          <w:szCs w:val="24"/>
        </w:rPr>
        <w:t xml:space="preserve">Cuatro componentes de la estrategia: </w:t>
      </w:r>
      <w:r w:rsidRPr="00B57E80">
        <w:rPr>
          <w:rFonts w:ascii="Verdana" w:hAnsi="Verdana"/>
          <w:sz w:val="24"/>
          <w:szCs w:val="24"/>
        </w:rPr>
        <w:t>1. Red Institucional, 2. Educación continua y pertinente 3. Comunidad protectora</w:t>
      </w:r>
    </w:p>
    <w:p w:rsidR="00B722F2" w:rsidRPr="00B57E80" w:rsidRDefault="00B722F2" w:rsidP="00B722F2">
      <w:pPr>
        <w:spacing w:after="0" w:line="240" w:lineRule="auto"/>
        <w:jc w:val="both"/>
        <w:rPr>
          <w:rFonts w:ascii="Verdana" w:hAnsi="Verdana"/>
          <w:sz w:val="24"/>
          <w:szCs w:val="24"/>
        </w:rPr>
      </w:pPr>
    </w:p>
    <w:p w:rsidR="00B722F2" w:rsidRPr="00B57E80" w:rsidRDefault="00B722F2" w:rsidP="00B722F2">
      <w:pPr>
        <w:spacing w:after="0" w:line="240" w:lineRule="auto"/>
        <w:jc w:val="both"/>
        <w:rPr>
          <w:rFonts w:ascii="Verdana" w:hAnsi="Verdana"/>
          <w:sz w:val="24"/>
          <w:szCs w:val="24"/>
        </w:rPr>
      </w:pPr>
      <w:r w:rsidRPr="00AA2A01">
        <w:rPr>
          <w:rFonts w:ascii="Verdana" w:hAnsi="Verdana"/>
          <w:b/>
          <w:bCs/>
          <w:sz w:val="24"/>
          <w:szCs w:val="24"/>
        </w:rPr>
        <w:t>Red Institucional</w:t>
      </w:r>
      <w:r w:rsidRPr="00B57E80">
        <w:rPr>
          <w:rFonts w:ascii="Verdana" w:hAnsi="Verdana"/>
          <w:b/>
          <w:bCs/>
          <w:sz w:val="24"/>
          <w:szCs w:val="24"/>
        </w:rPr>
        <w:t xml:space="preserve">: </w:t>
      </w:r>
      <w:r w:rsidRPr="00B57E80">
        <w:rPr>
          <w:rFonts w:ascii="Verdana" w:hAnsi="Verdana"/>
          <w:sz w:val="24"/>
          <w:szCs w:val="24"/>
        </w:rPr>
        <w:t>Micro focalización de las zonas de reclutamiento. El ejercicio de micro focalización fue terminado en su totalidad y se cuenta con los siguientes insumos:</w:t>
      </w:r>
    </w:p>
    <w:p w:rsidR="00B722F2" w:rsidRPr="00B57E80" w:rsidRDefault="00B722F2" w:rsidP="00905C49">
      <w:pPr>
        <w:pStyle w:val="Prrafodelista"/>
        <w:numPr>
          <w:ilvl w:val="0"/>
          <w:numId w:val="98"/>
        </w:numPr>
        <w:spacing w:after="0" w:line="240" w:lineRule="auto"/>
        <w:jc w:val="both"/>
        <w:rPr>
          <w:rFonts w:ascii="Verdana" w:hAnsi="Verdana"/>
          <w:sz w:val="24"/>
          <w:szCs w:val="24"/>
        </w:rPr>
      </w:pPr>
      <w:r w:rsidRPr="00B57E80">
        <w:rPr>
          <w:rFonts w:ascii="Verdana" w:hAnsi="Verdana"/>
          <w:sz w:val="24"/>
          <w:szCs w:val="24"/>
        </w:rPr>
        <w:t>Formatos de micro focalización a nivel veredal de los 58 municipios con cada una de las dinámicas de riesgo.</w:t>
      </w:r>
    </w:p>
    <w:p w:rsidR="00B722F2" w:rsidRPr="00B57E80" w:rsidRDefault="00B722F2" w:rsidP="00905C49">
      <w:pPr>
        <w:pStyle w:val="Prrafodelista"/>
        <w:numPr>
          <w:ilvl w:val="0"/>
          <w:numId w:val="98"/>
        </w:numPr>
        <w:spacing w:after="0" w:line="240" w:lineRule="auto"/>
        <w:jc w:val="both"/>
        <w:rPr>
          <w:rFonts w:ascii="Verdana" w:hAnsi="Verdana"/>
          <w:sz w:val="24"/>
          <w:szCs w:val="24"/>
        </w:rPr>
      </w:pPr>
      <w:r w:rsidRPr="00B57E80">
        <w:rPr>
          <w:rFonts w:ascii="Verdana" w:hAnsi="Verdana"/>
          <w:sz w:val="24"/>
          <w:szCs w:val="24"/>
        </w:rPr>
        <w:t>Mapas de los 58 municipios con las zonas focalizadas en riesgo de reclutamiento forzado. En estos mapas también se mapeó las zonas con cultivos ilícitos, de reserva forestal y de parques naturales.</w:t>
      </w:r>
    </w:p>
    <w:p w:rsidR="00B722F2" w:rsidRPr="00B57E80" w:rsidRDefault="00B722F2" w:rsidP="00905C49">
      <w:pPr>
        <w:pStyle w:val="Prrafodelista"/>
        <w:numPr>
          <w:ilvl w:val="0"/>
          <w:numId w:val="98"/>
        </w:numPr>
        <w:spacing w:after="0" w:line="240" w:lineRule="auto"/>
        <w:jc w:val="both"/>
        <w:rPr>
          <w:rFonts w:ascii="Verdana" w:hAnsi="Verdana"/>
          <w:sz w:val="24"/>
          <w:szCs w:val="24"/>
        </w:rPr>
      </w:pPr>
      <w:r w:rsidRPr="00B57E80">
        <w:rPr>
          <w:rFonts w:ascii="Verdana" w:hAnsi="Verdana"/>
          <w:sz w:val="24"/>
          <w:szCs w:val="24"/>
        </w:rPr>
        <w:t>Veredas focalizadas cruzadas con el semáforo de seguridad.</w:t>
      </w:r>
    </w:p>
    <w:p w:rsidR="00B722F2" w:rsidRPr="00B57E80" w:rsidRDefault="00B722F2" w:rsidP="00905C49">
      <w:pPr>
        <w:pStyle w:val="Prrafodelista"/>
        <w:numPr>
          <w:ilvl w:val="0"/>
          <w:numId w:val="98"/>
        </w:numPr>
        <w:spacing w:after="0" w:line="240" w:lineRule="auto"/>
        <w:jc w:val="both"/>
        <w:rPr>
          <w:rFonts w:ascii="Verdana" w:hAnsi="Verdana"/>
          <w:sz w:val="24"/>
          <w:szCs w:val="24"/>
        </w:rPr>
      </w:pPr>
      <w:r w:rsidRPr="00B57E80">
        <w:rPr>
          <w:rFonts w:ascii="Verdana" w:hAnsi="Verdana"/>
          <w:sz w:val="24"/>
          <w:szCs w:val="24"/>
        </w:rPr>
        <w:t>Mapa piloto de Tumaco con la información precisa en cada una de las veredas focalizadas de las dinámicas presentadas que hacen que su intervención sea urgente.</w:t>
      </w:r>
    </w:p>
    <w:p w:rsidR="00B722F2" w:rsidRPr="00B57E80" w:rsidRDefault="00B722F2" w:rsidP="00905C49">
      <w:pPr>
        <w:pStyle w:val="Prrafodelista"/>
        <w:numPr>
          <w:ilvl w:val="0"/>
          <w:numId w:val="98"/>
        </w:numPr>
        <w:spacing w:after="0" w:line="240" w:lineRule="auto"/>
        <w:jc w:val="both"/>
        <w:rPr>
          <w:rFonts w:ascii="Verdana" w:hAnsi="Verdana"/>
          <w:sz w:val="24"/>
          <w:szCs w:val="24"/>
        </w:rPr>
      </w:pPr>
      <w:r w:rsidRPr="00B57E80">
        <w:rPr>
          <w:rFonts w:ascii="Verdana" w:hAnsi="Verdana"/>
          <w:sz w:val="24"/>
          <w:szCs w:val="24"/>
        </w:rPr>
        <w:t>Mesas de prevención de reclutamiento. Información de los espacios activos para resolver las dinámicas en el marco del riesgo de reclutamiento en los 58 municipios de consolidación.</w:t>
      </w:r>
    </w:p>
    <w:p w:rsidR="00B722F2" w:rsidRPr="00B57E80" w:rsidRDefault="00B722F2" w:rsidP="00B722F2">
      <w:pPr>
        <w:spacing w:after="0" w:line="240" w:lineRule="auto"/>
        <w:jc w:val="both"/>
        <w:rPr>
          <w:rFonts w:ascii="Verdana" w:hAnsi="Verdana"/>
          <w:sz w:val="24"/>
          <w:szCs w:val="24"/>
        </w:rPr>
      </w:pPr>
    </w:p>
    <w:p w:rsidR="00B722F2" w:rsidRPr="00B57E80" w:rsidRDefault="00B722F2" w:rsidP="00B722F2">
      <w:pPr>
        <w:spacing w:after="0" w:line="240" w:lineRule="auto"/>
        <w:jc w:val="both"/>
        <w:rPr>
          <w:rFonts w:ascii="Verdana" w:hAnsi="Verdana"/>
          <w:sz w:val="24"/>
          <w:szCs w:val="24"/>
        </w:rPr>
      </w:pPr>
      <w:r w:rsidRPr="00B57E80">
        <w:rPr>
          <w:rFonts w:ascii="Verdana" w:hAnsi="Verdana"/>
          <w:sz w:val="24"/>
          <w:szCs w:val="24"/>
        </w:rPr>
        <w:t>En cuanto a este componente, se ha venido adelantando con el apoyo de la CIPRUNNA, los siguientes temas:</w:t>
      </w:r>
    </w:p>
    <w:p w:rsidR="00B722F2" w:rsidRPr="00B57E80" w:rsidRDefault="00B722F2" w:rsidP="00B722F2">
      <w:pPr>
        <w:spacing w:after="0" w:line="240" w:lineRule="auto"/>
        <w:jc w:val="both"/>
        <w:rPr>
          <w:rFonts w:ascii="Verdana" w:hAnsi="Verdana"/>
          <w:sz w:val="24"/>
          <w:szCs w:val="24"/>
        </w:rPr>
      </w:pPr>
    </w:p>
    <w:p w:rsidR="00B722F2" w:rsidRPr="00B716AE" w:rsidRDefault="00B722F2" w:rsidP="00905C49">
      <w:pPr>
        <w:pStyle w:val="Prrafodelista"/>
        <w:numPr>
          <w:ilvl w:val="0"/>
          <w:numId w:val="102"/>
        </w:numPr>
        <w:spacing w:after="0" w:line="240" w:lineRule="auto"/>
        <w:jc w:val="both"/>
        <w:rPr>
          <w:rFonts w:ascii="Verdana" w:hAnsi="Verdana"/>
          <w:sz w:val="24"/>
          <w:szCs w:val="24"/>
        </w:rPr>
      </w:pPr>
      <w:r w:rsidRPr="00B716AE">
        <w:rPr>
          <w:rFonts w:ascii="Verdana" w:hAnsi="Verdana"/>
          <w:sz w:val="24"/>
          <w:szCs w:val="24"/>
        </w:rPr>
        <w:t>Talleres de oferta nación-territorio en 40 municipios</w:t>
      </w:r>
      <w:r w:rsidR="00B716AE" w:rsidRPr="00B716AE">
        <w:rPr>
          <w:rFonts w:ascii="Verdana" w:hAnsi="Verdana"/>
          <w:sz w:val="24"/>
          <w:szCs w:val="24"/>
        </w:rPr>
        <w:t>.</w:t>
      </w:r>
    </w:p>
    <w:p w:rsidR="00B722F2" w:rsidRPr="00B716AE" w:rsidRDefault="00B722F2" w:rsidP="00905C49">
      <w:pPr>
        <w:pStyle w:val="Prrafodelista"/>
        <w:numPr>
          <w:ilvl w:val="0"/>
          <w:numId w:val="102"/>
        </w:numPr>
        <w:spacing w:after="0" w:line="240" w:lineRule="auto"/>
        <w:jc w:val="both"/>
        <w:rPr>
          <w:rFonts w:ascii="Verdana" w:hAnsi="Verdana"/>
          <w:sz w:val="24"/>
          <w:szCs w:val="24"/>
        </w:rPr>
      </w:pPr>
      <w:r w:rsidRPr="00B716AE">
        <w:rPr>
          <w:rFonts w:ascii="Verdana" w:hAnsi="Verdana"/>
          <w:sz w:val="24"/>
          <w:szCs w:val="24"/>
        </w:rPr>
        <w:t>Rutas de atención en: prevención, protección y emergencia en 29 municipios.</w:t>
      </w:r>
    </w:p>
    <w:p w:rsidR="00B722F2" w:rsidRPr="00B716AE" w:rsidRDefault="00B722F2" w:rsidP="00905C49">
      <w:pPr>
        <w:pStyle w:val="Prrafodelista"/>
        <w:numPr>
          <w:ilvl w:val="0"/>
          <w:numId w:val="102"/>
        </w:numPr>
        <w:spacing w:after="0" w:line="240" w:lineRule="auto"/>
        <w:jc w:val="both"/>
        <w:rPr>
          <w:rFonts w:ascii="Verdana" w:hAnsi="Verdana"/>
          <w:sz w:val="24"/>
          <w:szCs w:val="24"/>
        </w:rPr>
      </w:pPr>
      <w:r w:rsidRPr="00B716AE">
        <w:rPr>
          <w:rFonts w:ascii="Verdana" w:hAnsi="Verdana"/>
          <w:sz w:val="24"/>
          <w:szCs w:val="24"/>
        </w:rPr>
        <w:t>Conformación de equipos de reacción inmediata en 10 municipios</w:t>
      </w:r>
    </w:p>
    <w:p w:rsidR="00B722F2" w:rsidRPr="00B57E80" w:rsidRDefault="00B722F2" w:rsidP="00B722F2">
      <w:pPr>
        <w:spacing w:after="0" w:line="240" w:lineRule="auto"/>
        <w:jc w:val="both"/>
        <w:rPr>
          <w:rFonts w:ascii="Verdana" w:hAnsi="Verdana"/>
          <w:sz w:val="24"/>
          <w:szCs w:val="24"/>
        </w:rPr>
      </w:pPr>
    </w:p>
    <w:p w:rsidR="00B722F2" w:rsidRPr="00B57E80" w:rsidRDefault="00B722F2" w:rsidP="00B722F2">
      <w:pPr>
        <w:spacing w:after="0" w:line="240" w:lineRule="auto"/>
        <w:jc w:val="both"/>
        <w:rPr>
          <w:rFonts w:ascii="Verdana" w:hAnsi="Verdana"/>
          <w:sz w:val="24"/>
          <w:szCs w:val="24"/>
        </w:rPr>
      </w:pPr>
      <w:r w:rsidRPr="00B57E80">
        <w:rPr>
          <w:rFonts w:ascii="Verdana" w:hAnsi="Verdana"/>
          <w:b/>
          <w:sz w:val="24"/>
          <w:szCs w:val="24"/>
        </w:rPr>
        <w:t xml:space="preserve">Educación: </w:t>
      </w:r>
      <w:r w:rsidRPr="00B57E80">
        <w:rPr>
          <w:rFonts w:ascii="Verdana" w:hAnsi="Verdana"/>
          <w:sz w:val="24"/>
          <w:szCs w:val="24"/>
        </w:rPr>
        <w:t xml:space="preserve">Convenio 051 Ministerio de Educación - UACT: </w:t>
      </w:r>
    </w:p>
    <w:p w:rsidR="00B722F2" w:rsidRPr="00B57E80" w:rsidRDefault="00B722F2" w:rsidP="00B722F2">
      <w:pPr>
        <w:spacing w:after="0" w:line="240" w:lineRule="auto"/>
        <w:jc w:val="both"/>
        <w:rPr>
          <w:rFonts w:ascii="Verdana" w:hAnsi="Verdana"/>
          <w:sz w:val="24"/>
          <w:szCs w:val="24"/>
        </w:rPr>
      </w:pPr>
      <w:r w:rsidRPr="00B57E80">
        <w:rPr>
          <w:rFonts w:ascii="Verdana" w:hAnsi="Verdana"/>
          <w:sz w:val="24"/>
          <w:szCs w:val="24"/>
        </w:rPr>
        <w:t> </w:t>
      </w:r>
    </w:p>
    <w:p w:rsidR="00B722F2" w:rsidRPr="00B716AE" w:rsidRDefault="00B722F2" w:rsidP="00905C49">
      <w:pPr>
        <w:pStyle w:val="Prrafodelista"/>
        <w:numPr>
          <w:ilvl w:val="0"/>
          <w:numId w:val="103"/>
        </w:numPr>
        <w:spacing w:after="0" w:line="240" w:lineRule="auto"/>
        <w:jc w:val="both"/>
        <w:rPr>
          <w:rFonts w:ascii="Verdana" w:hAnsi="Verdana"/>
          <w:sz w:val="24"/>
          <w:szCs w:val="24"/>
        </w:rPr>
      </w:pPr>
      <w:r w:rsidRPr="00B716AE">
        <w:rPr>
          <w:rFonts w:ascii="Verdana" w:hAnsi="Verdana"/>
          <w:sz w:val="24"/>
          <w:szCs w:val="24"/>
        </w:rPr>
        <w:t>Estrategia La Escuela Busca al niño y a la niña en Córdoba: Tierralta, Montelibano y Puerto Libertador; Norte de Santander: Ocaña y Teorama; Putumayo: Puerto Asís, Valle del Guamuez y Puerto Leguizamo.</w:t>
      </w:r>
    </w:p>
    <w:p w:rsidR="00B722F2" w:rsidRPr="00B716AE" w:rsidRDefault="00B722F2" w:rsidP="00905C49">
      <w:pPr>
        <w:pStyle w:val="Prrafodelista"/>
        <w:numPr>
          <w:ilvl w:val="0"/>
          <w:numId w:val="103"/>
        </w:numPr>
        <w:spacing w:after="0" w:line="240" w:lineRule="auto"/>
        <w:jc w:val="both"/>
        <w:rPr>
          <w:rFonts w:ascii="Verdana" w:hAnsi="Verdana"/>
          <w:sz w:val="24"/>
          <w:szCs w:val="24"/>
        </w:rPr>
      </w:pPr>
      <w:r w:rsidRPr="00B716AE">
        <w:rPr>
          <w:rFonts w:ascii="Verdana" w:hAnsi="Verdana"/>
          <w:sz w:val="24"/>
          <w:szCs w:val="24"/>
        </w:rPr>
        <w:t>Construcción, mejoramiento y adecuación de infraestructura educativa. Priorización en Córdoba (1.316 millones), Arauca (687 millones), Caquetá (1057 millones), Norte de Santander (7.300 millones), Cauca (2.807 millones), Bolívar (1.706 millones), Tolima (63 millones) y Nariño (1.560 millones).</w:t>
      </w:r>
    </w:p>
    <w:p w:rsidR="00B722F2" w:rsidRPr="00B716AE" w:rsidRDefault="00B722F2" w:rsidP="00905C49">
      <w:pPr>
        <w:pStyle w:val="Prrafodelista"/>
        <w:numPr>
          <w:ilvl w:val="0"/>
          <w:numId w:val="103"/>
        </w:numPr>
        <w:spacing w:after="0" w:line="240" w:lineRule="auto"/>
        <w:jc w:val="both"/>
        <w:rPr>
          <w:rFonts w:ascii="Verdana" w:hAnsi="Verdana"/>
          <w:sz w:val="24"/>
          <w:szCs w:val="24"/>
        </w:rPr>
      </w:pPr>
      <w:r w:rsidRPr="00B716AE">
        <w:rPr>
          <w:rFonts w:ascii="Verdana" w:hAnsi="Verdana"/>
          <w:sz w:val="24"/>
          <w:szCs w:val="24"/>
        </w:rPr>
        <w:t xml:space="preserve">Atención Programa Nacional de Alfabetización. Priorización 2014 para la población que requiera la UACT en sus municipios </w:t>
      </w:r>
    </w:p>
    <w:p w:rsidR="00B722F2" w:rsidRPr="00B716AE" w:rsidRDefault="00B722F2" w:rsidP="00905C49">
      <w:pPr>
        <w:pStyle w:val="Prrafodelista"/>
        <w:numPr>
          <w:ilvl w:val="0"/>
          <w:numId w:val="103"/>
        </w:numPr>
        <w:spacing w:after="0" w:line="240" w:lineRule="auto"/>
        <w:jc w:val="both"/>
        <w:rPr>
          <w:rFonts w:ascii="Verdana" w:hAnsi="Verdana"/>
          <w:sz w:val="24"/>
          <w:szCs w:val="24"/>
        </w:rPr>
      </w:pPr>
      <w:r w:rsidRPr="00B716AE">
        <w:rPr>
          <w:rFonts w:ascii="Verdana" w:hAnsi="Verdana"/>
          <w:sz w:val="24"/>
          <w:szCs w:val="24"/>
        </w:rPr>
        <w:t>ANT</w:t>
      </w:r>
      <w:r w:rsidR="00B716AE" w:rsidRPr="00B716AE">
        <w:rPr>
          <w:rFonts w:ascii="Verdana" w:hAnsi="Verdana"/>
          <w:sz w:val="24"/>
          <w:szCs w:val="24"/>
        </w:rPr>
        <w:tab/>
      </w:r>
      <w:r w:rsidRPr="00B716AE">
        <w:rPr>
          <w:rFonts w:ascii="Verdana" w:hAnsi="Verdana"/>
          <w:sz w:val="24"/>
          <w:szCs w:val="24"/>
        </w:rPr>
        <w:t>RE: San Onofre 250  (A CRECER)</w:t>
      </w:r>
    </w:p>
    <w:p w:rsidR="00B722F2" w:rsidRPr="00B57E80" w:rsidRDefault="00B722F2" w:rsidP="00B722F2">
      <w:pPr>
        <w:spacing w:after="0" w:line="240" w:lineRule="auto"/>
        <w:jc w:val="both"/>
        <w:rPr>
          <w:rFonts w:ascii="Verdana" w:hAnsi="Verdana"/>
          <w:sz w:val="24"/>
          <w:szCs w:val="24"/>
        </w:rPr>
      </w:pPr>
    </w:p>
    <w:p w:rsidR="00B722F2" w:rsidRPr="00B57E80" w:rsidRDefault="00B722F2" w:rsidP="00B722F2">
      <w:pPr>
        <w:spacing w:after="0" w:line="240" w:lineRule="auto"/>
        <w:jc w:val="both"/>
        <w:rPr>
          <w:rFonts w:ascii="Verdana" w:hAnsi="Verdana"/>
          <w:sz w:val="24"/>
          <w:szCs w:val="24"/>
        </w:rPr>
      </w:pPr>
      <w:r w:rsidRPr="00B57E80">
        <w:rPr>
          <w:rFonts w:ascii="Verdana" w:hAnsi="Verdana"/>
          <w:b/>
          <w:sz w:val="24"/>
          <w:szCs w:val="24"/>
        </w:rPr>
        <w:t xml:space="preserve">Comunidad Protectora: </w:t>
      </w:r>
      <w:r w:rsidRPr="00B57E80">
        <w:rPr>
          <w:rFonts w:ascii="Verdana" w:hAnsi="Verdana"/>
          <w:sz w:val="24"/>
          <w:szCs w:val="24"/>
        </w:rPr>
        <w:t>En este componente se han realizado las siguientes acciones:</w:t>
      </w:r>
    </w:p>
    <w:p w:rsidR="00B722F2" w:rsidRPr="00B57E80" w:rsidRDefault="00B722F2" w:rsidP="00B722F2">
      <w:pPr>
        <w:spacing w:after="0" w:line="240" w:lineRule="auto"/>
        <w:jc w:val="both"/>
        <w:rPr>
          <w:rFonts w:ascii="Verdana" w:hAnsi="Verdana"/>
          <w:sz w:val="24"/>
          <w:szCs w:val="24"/>
        </w:rPr>
      </w:pPr>
    </w:p>
    <w:p w:rsidR="00B722F2" w:rsidRPr="00B716AE" w:rsidRDefault="00B722F2" w:rsidP="00905C49">
      <w:pPr>
        <w:pStyle w:val="Prrafodelista"/>
        <w:numPr>
          <w:ilvl w:val="0"/>
          <w:numId w:val="104"/>
        </w:numPr>
        <w:spacing w:after="0" w:line="240" w:lineRule="auto"/>
        <w:jc w:val="both"/>
        <w:rPr>
          <w:rFonts w:ascii="Verdana" w:hAnsi="Verdana"/>
          <w:sz w:val="24"/>
          <w:szCs w:val="24"/>
        </w:rPr>
      </w:pPr>
      <w:r w:rsidRPr="00B716AE">
        <w:rPr>
          <w:rFonts w:ascii="Verdana" w:hAnsi="Verdana"/>
          <w:sz w:val="24"/>
          <w:szCs w:val="24"/>
        </w:rPr>
        <w:t>Articulación Colombia Joven con el objetivo de fortalecer y brindar herramientas a los adolescentes y jóvenes para disminuir el riesgo de participar en actividades no lícitas.</w:t>
      </w:r>
    </w:p>
    <w:p w:rsidR="00B722F2" w:rsidRPr="00B57E80" w:rsidRDefault="00B722F2" w:rsidP="00B722F2">
      <w:pPr>
        <w:spacing w:after="0" w:line="240" w:lineRule="auto"/>
        <w:jc w:val="both"/>
        <w:rPr>
          <w:rFonts w:ascii="Verdana" w:hAnsi="Verdana"/>
          <w:sz w:val="24"/>
          <w:szCs w:val="24"/>
        </w:rPr>
      </w:pPr>
      <w:r w:rsidRPr="00B57E80">
        <w:rPr>
          <w:rFonts w:ascii="Verdana" w:hAnsi="Verdana"/>
          <w:sz w:val="24"/>
          <w:szCs w:val="24"/>
        </w:rPr>
        <w:t> </w:t>
      </w:r>
    </w:p>
    <w:p w:rsidR="00B722F2" w:rsidRPr="00B57E80" w:rsidRDefault="00B722F2" w:rsidP="00B716AE">
      <w:pPr>
        <w:spacing w:after="0" w:line="240" w:lineRule="auto"/>
        <w:ind w:left="708"/>
        <w:jc w:val="both"/>
        <w:rPr>
          <w:rFonts w:ascii="Verdana" w:hAnsi="Verdana"/>
          <w:sz w:val="24"/>
          <w:szCs w:val="24"/>
        </w:rPr>
      </w:pPr>
      <w:r w:rsidRPr="00B57E80">
        <w:rPr>
          <w:rFonts w:ascii="Verdana" w:hAnsi="Verdana"/>
          <w:sz w:val="24"/>
          <w:szCs w:val="24"/>
        </w:rPr>
        <w:t>Se priorizaron 14 municipios para estos talleres. A diciembre de 2014 se realizaron nueve talleres: Caloto, Corinto, Valdivia, Fortul, Saravena, Rioblanco, San Miguel, Valle del Guamuez y Puerto Asís y contando con la participación activa de 506 jóvenes en total.</w:t>
      </w:r>
    </w:p>
    <w:p w:rsidR="00B722F2" w:rsidRPr="00B57E80" w:rsidRDefault="00B722F2" w:rsidP="00B722F2">
      <w:pPr>
        <w:spacing w:after="0" w:line="240" w:lineRule="auto"/>
        <w:jc w:val="both"/>
        <w:rPr>
          <w:rFonts w:ascii="Verdana" w:hAnsi="Verdana"/>
          <w:sz w:val="24"/>
          <w:szCs w:val="24"/>
        </w:rPr>
      </w:pPr>
    </w:p>
    <w:p w:rsidR="00B722F2" w:rsidRPr="00B716AE" w:rsidRDefault="00B722F2" w:rsidP="00905C49">
      <w:pPr>
        <w:pStyle w:val="Prrafodelista"/>
        <w:numPr>
          <w:ilvl w:val="0"/>
          <w:numId w:val="104"/>
        </w:numPr>
        <w:spacing w:after="0" w:line="240" w:lineRule="auto"/>
        <w:jc w:val="both"/>
        <w:rPr>
          <w:rFonts w:ascii="Verdana" w:hAnsi="Verdana"/>
          <w:sz w:val="24"/>
          <w:szCs w:val="24"/>
        </w:rPr>
      </w:pPr>
      <w:r w:rsidRPr="00B716AE">
        <w:rPr>
          <w:rFonts w:ascii="Verdana" w:hAnsi="Verdana"/>
          <w:sz w:val="24"/>
          <w:szCs w:val="24"/>
        </w:rPr>
        <w:t>Pilotaje de las Cartillas YO SOY, en los municipios de Tumaco, Ituango, El Bagre, La Uribe y Macarena, en donde se está apoyando en procesos de plan de vida a más de 20.000 niños de estas zonas.</w:t>
      </w:r>
    </w:p>
    <w:p w:rsidR="00B722F2" w:rsidRPr="00B57E80" w:rsidRDefault="00B722F2" w:rsidP="00B722F2">
      <w:pPr>
        <w:spacing w:after="0" w:line="240" w:lineRule="auto"/>
        <w:jc w:val="both"/>
        <w:rPr>
          <w:rFonts w:ascii="Verdana" w:hAnsi="Verdana"/>
          <w:sz w:val="24"/>
          <w:szCs w:val="24"/>
        </w:rPr>
      </w:pPr>
    </w:p>
    <w:p w:rsidR="00B722F2" w:rsidRPr="00B716AE" w:rsidRDefault="00B722F2" w:rsidP="00905C49">
      <w:pPr>
        <w:pStyle w:val="Prrafodelista"/>
        <w:numPr>
          <w:ilvl w:val="0"/>
          <w:numId w:val="104"/>
        </w:numPr>
        <w:spacing w:after="0" w:line="240" w:lineRule="auto"/>
        <w:jc w:val="both"/>
        <w:rPr>
          <w:rFonts w:ascii="Verdana" w:hAnsi="Verdana"/>
          <w:sz w:val="24"/>
          <w:szCs w:val="24"/>
        </w:rPr>
      </w:pPr>
      <w:r w:rsidRPr="00B716AE">
        <w:rPr>
          <w:rFonts w:ascii="Verdana" w:hAnsi="Verdana"/>
          <w:sz w:val="24"/>
          <w:szCs w:val="24"/>
        </w:rPr>
        <w:t>Proceso de alfabetización en Tumaco para 200 personas, en el marco de la estrategia.</w:t>
      </w:r>
    </w:p>
    <w:p w:rsidR="00B722F2" w:rsidRPr="00B57E80" w:rsidRDefault="00B722F2" w:rsidP="00B722F2">
      <w:pPr>
        <w:spacing w:after="0" w:line="240" w:lineRule="auto"/>
        <w:jc w:val="both"/>
        <w:rPr>
          <w:rFonts w:ascii="Verdana" w:hAnsi="Verdana"/>
          <w:sz w:val="24"/>
          <w:szCs w:val="24"/>
        </w:rPr>
      </w:pPr>
    </w:p>
    <w:p w:rsidR="00B722F2" w:rsidRPr="00B716AE" w:rsidRDefault="00B722F2" w:rsidP="00905C49">
      <w:pPr>
        <w:pStyle w:val="Prrafodelista"/>
        <w:numPr>
          <w:ilvl w:val="0"/>
          <w:numId w:val="104"/>
        </w:numPr>
        <w:spacing w:after="0" w:line="240" w:lineRule="auto"/>
        <w:jc w:val="both"/>
        <w:rPr>
          <w:rFonts w:ascii="Verdana" w:hAnsi="Verdana"/>
          <w:sz w:val="24"/>
          <w:szCs w:val="24"/>
        </w:rPr>
      </w:pPr>
      <w:r w:rsidRPr="00B716AE">
        <w:rPr>
          <w:rFonts w:ascii="Verdana" w:hAnsi="Verdana"/>
          <w:sz w:val="24"/>
          <w:szCs w:val="24"/>
        </w:rPr>
        <w:t>Implementación de las Jornadas Complementarias y Deportivas Supérate en los municipios de Anorí, El Bagre, Tierralta, Valencia, Uribe, Vista Hermosa, Tumaco, puerto Asís, Leguizamo, San miguel, San Onofre, Arauca, Saravena. Se atendieron 2075 NNAJ.  El valor del Convenio fue de $ 670.432.632, donde la UACT aportó $ 599.999.803 y ASCUN aportó $ 70.432.829</w:t>
      </w:r>
    </w:p>
    <w:p w:rsidR="00B722F2" w:rsidRPr="00B57E80" w:rsidRDefault="00B722F2" w:rsidP="00B722F2">
      <w:pPr>
        <w:spacing w:after="0" w:line="240" w:lineRule="auto"/>
        <w:jc w:val="both"/>
        <w:rPr>
          <w:rFonts w:ascii="Verdana" w:hAnsi="Verdana"/>
          <w:sz w:val="24"/>
          <w:szCs w:val="24"/>
        </w:rPr>
      </w:pPr>
    </w:p>
    <w:p w:rsidR="00B722F2" w:rsidRPr="00733405" w:rsidRDefault="00B722F2" w:rsidP="00B722F2">
      <w:pPr>
        <w:spacing w:after="0" w:line="240" w:lineRule="auto"/>
        <w:jc w:val="both"/>
        <w:rPr>
          <w:rFonts w:ascii="Verdana" w:hAnsi="Verdana"/>
          <w:color w:val="4F81BD" w:themeColor="accent1"/>
          <w:sz w:val="24"/>
          <w:szCs w:val="24"/>
        </w:rPr>
      </w:pPr>
    </w:p>
    <w:p w:rsidR="00B722F2" w:rsidRPr="00733405" w:rsidRDefault="00B722F2" w:rsidP="00B722F2">
      <w:pPr>
        <w:spacing w:after="0" w:line="240" w:lineRule="auto"/>
        <w:jc w:val="both"/>
        <w:rPr>
          <w:rFonts w:ascii="Verdana" w:hAnsi="Verdana"/>
          <w:color w:val="4F81BD" w:themeColor="accent1"/>
          <w:sz w:val="24"/>
          <w:szCs w:val="24"/>
        </w:rPr>
      </w:pPr>
      <w:r w:rsidRPr="00733405">
        <w:rPr>
          <w:rFonts w:ascii="Verdana" w:hAnsi="Verdana"/>
          <w:color w:val="4F81BD" w:themeColor="accent1"/>
          <w:sz w:val="24"/>
          <w:szCs w:val="24"/>
        </w:rPr>
        <w:t>SECTOR PRODUCTIVO</w:t>
      </w:r>
    </w:p>
    <w:p w:rsidR="00B722F2" w:rsidRPr="00B57E80" w:rsidRDefault="00B722F2" w:rsidP="00B722F2">
      <w:pPr>
        <w:spacing w:after="0" w:line="240" w:lineRule="auto"/>
        <w:jc w:val="both"/>
        <w:rPr>
          <w:rFonts w:ascii="Verdana" w:hAnsi="Verdana"/>
          <w:sz w:val="24"/>
          <w:szCs w:val="24"/>
        </w:rPr>
      </w:pPr>
    </w:p>
    <w:p w:rsidR="008030FF" w:rsidRDefault="00B722F2" w:rsidP="00B722F2">
      <w:pPr>
        <w:spacing w:after="0" w:line="240" w:lineRule="auto"/>
        <w:jc w:val="both"/>
        <w:rPr>
          <w:rFonts w:ascii="Verdana" w:hAnsi="Verdana"/>
          <w:b/>
          <w:sz w:val="24"/>
          <w:szCs w:val="24"/>
        </w:rPr>
      </w:pPr>
      <w:r w:rsidRPr="008030FF">
        <w:rPr>
          <w:rFonts w:ascii="Verdana" w:hAnsi="Verdana"/>
          <w:sz w:val="24"/>
          <w:szCs w:val="24"/>
        </w:rPr>
        <w:t>FONADE</w:t>
      </w:r>
      <w:r w:rsidRPr="00B57E80">
        <w:rPr>
          <w:rFonts w:ascii="Verdana" w:hAnsi="Verdana"/>
          <w:b/>
          <w:sz w:val="24"/>
          <w:szCs w:val="24"/>
        </w:rPr>
        <w:t xml:space="preserve"> </w:t>
      </w:r>
    </w:p>
    <w:p w:rsidR="00B722F2" w:rsidRPr="008030FF" w:rsidRDefault="00B722F2" w:rsidP="00905C49">
      <w:pPr>
        <w:pStyle w:val="Prrafodelista"/>
        <w:numPr>
          <w:ilvl w:val="0"/>
          <w:numId w:val="105"/>
        </w:numPr>
        <w:spacing w:after="0" w:line="240" w:lineRule="auto"/>
        <w:jc w:val="both"/>
        <w:rPr>
          <w:rFonts w:ascii="Verdana" w:hAnsi="Verdana"/>
          <w:sz w:val="24"/>
          <w:szCs w:val="24"/>
        </w:rPr>
      </w:pPr>
      <w:r w:rsidRPr="008030FF">
        <w:rPr>
          <w:rFonts w:ascii="Verdana" w:hAnsi="Verdana"/>
          <w:sz w:val="24"/>
          <w:szCs w:val="24"/>
        </w:rPr>
        <w:t>En el marco del convenio 2013-0080 del 29 de abril de 2013, suscrito entre FONADE y la UACT, se contrató la estructuración de 3 proyectos productivos, los cuales serán presentados al fondo de Ciencia Tecnología e Innovación:</w:t>
      </w:r>
    </w:p>
    <w:p w:rsidR="00B722F2" w:rsidRPr="008030FF" w:rsidRDefault="00B722F2" w:rsidP="00905C49">
      <w:pPr>
        <w:pStyle w:val="Prrafodelista"/>
        <w:numPr>
          <w:ilvl w:val="0"/>
          <w:numId w:val="105"/>
        </w:numPr>
        <w:spacing w:after="0" w:line="240" w:lineRule="auto"/>
        <w:jc w:val="both"/>
        <w:rPr>
          <w:rFonts w:ascii="Verdana" w:hAnsi="Verdana"/>
          <w:sz w:val="24"/>
          <w:szCs w:val="24"/>
        </w:rPr>
      </w:pPr>
      <w:r w:rsidRPr="008030FF">
        <w:rPr>
          <w:rFonts w:ascii="Verdana" w:hAnsi="Verdana"/>
          <w:sz w:val="24"/>
          <w:szCs w:val="24"/>
        </w:rPr>
        <w:t>Mejoramiento de la competitividad de pequeños y medianos productores de caucho de los departamentos de Meta, Putumayo, Tolima, Guaviare y Córdoba. (Estructurado).</w:t>
      </w:r>
    </w:p>
    <w:p w:rsidR="00B722F2" w:rsidRPr="008030FF" w:rsidRDefault="008030FF" w:rsidP="00905C49">
      <w:pPr>
        <w:pStyle w:val="Prrafodelista"/>
        <w:numPr>
          <w:ilvl w:val="0"/>
          <w:numId w:val="105"/>
        </w:numPr>
        <w:spacing w:after="0" w:line="240" w:lineRule="auto"/>
        <w:jc w:val="both"/>
        <w:rPr>
          <w:rFonts w:ascii="Verdana" w:hAnsi="Verdana"/>
          <w:sz w:val="24"/>
          <w:szCs w:val="24"/>
        </w:rPr>
      </w:pPr>
      <w:r w:rsidRPr="008030FF">
        <w:rPr>
          <w:rFonts w:ascii="Verdana" w:hAnsi="Verdana"/>
          <w:sz w:val="24"/>
          <w:szCs w:val="24"/>
        </w:rPr>
        <w:t>G</w:t>
      </w:r>
      <w:r w:rsidR="00B722F2" w:rsidRPr="008030FF">
        <w:rPr>
          <w:rFonts w:ascii="Verdana" w:hAnsi="Verdana"/>
          <w:sz w:val="24"/>
          <w:szCs w:val="24"/>
        </w:rPr>
        <w:t>estión Tecnológica para La Innovación Productiva de la Carne y la Leche en Sistemas de Producción Bovina de la Región del Meta y Putumayo. (En estructuración).</w:t>
      </w:r>
    </w:p>
    <w:p w:rsidR="00B722F2" w:rsidRPr="008030FF" w:rsidRDefault="00B722F2" w:rsidP="00905C49">
      <w:pPr>
        <w:pStyle w:val="Prrafodelista"/>
        <w:numPr>
          <w:ilvl w:val="0"/>
          <w:numId w:val="105"/>
        </w:numPr>
        <w:spacing w:after="0" w:line="240" w:lineRule="auto"/>
        <w:jc w:val="both"/>
        <w:rPr>
          <w:rFonts w:ascii="Verdana" w:hAnsi="Verdana"/>
          <w:sz w:val="24"/>
          <w:szCs w:val="24"/>
        </w:rPr>
      </w:pPr>
      <w:r w:rsidRPr="008030FF">
        <w:rPr>
          <w:rFonts w:ascii="Verdana" w:hAnsi="Verdana"/>
          <w:sz w:val="24"/>
          <w:szCs w:val="24"/>
        </w:rPr>
        <w:t xml:space="preserve">Proyecto de infraestructura productiva en la línea de frutales (en contratación para el proceso de estructuración): </w:t>
      </w:r>
    </w:p>
    <w:p w:rsidR="00B722F2" w:rsidRPr="00B57E80" w:rsidRDefault="00B722F2" w:rsidP="00B722F2">
      <w:pPr>
        <w:spacing w:after="0" w:line="240" w:lineRule="auto"/>
        <w:jc w:val="both"/>
        <w:rPr>
          <w:rFonts w:ascii="Verdana" w:hAnsi="Verdana"/>
          <w:sz w:val="24"/>
          <w:szCs w:val="24"/>
        </w:rPr>
      </w:pPr>
    </w:p>
    <w:p w:rsidR="00B722F2" w:rsidRPr="00B57E80" w:rsidRDefault="00B722F2" w:rsidP="00905C49">
      <w:pPr>
        <w:pStyle w:val="Prrafodelista"/>
        <w:numPr>
          <w:ilvl w:val="0"/>
          <w:numId w:val="86"/>
        </w:numPr>
        <w:spacing w:after="0" w:line="240" w:lineRule="auto"/>
        <w:jc w:val="both"/>
        <w:rPr>
          <w:rFonts w:ascii="Verdana" w:hAnsi="Verdana"/>
          <w:sz w:val="24"/>
          <w:szCs w:val="24"/>
        </w:rPr>
      </w:pPr>
      <w:r w:rsidRPr="00B57E80">
        <w:rPr>
          <w:rFonts w:ascii="Verdana" w:hAnsi="Verdana"/>
          <w:sz w:val="24"/>
          <w:szCs w:val="24"/>
        </w:rPr>
        <w:t>Estudio y diseño para la implementación del centro de acopio packing house de papaya, con planta de tratamiento cuarentenario para la regional Nudo de paramillo – Córdoba; b. Estudio y diseño para la implementación de una planta procesadora de mango en la región Montes de María - Sucre.</w:t>
      </w:r>
    </w:p>
    <w:p w:rsidR="00B722F2" w:rsidRPr="00B57E80" w:rsidRDefault="00B722F2" w:rsidP="00B722F2">
      <w:pPr>
        <w:spacing w:after="0" w:line="240" w:lineRule="auto"/>
        <w:jc w:val="both"/>
        <w:rPr>
          <w:rFonts w:ascii="Verdana" w:hAnsi="Verdana"/>
          <w:sz w:val="24"/>
          <w:szCs w:val="24"/>
        </w:rPr>
      </w:pPr>
    </w:p>
    <w:p w:rsidR="008030FF" w:rsidRPr="008030FF" w:rsidRDefault="00B722F2" w:rsidP="00B722F2">
      <w:pPr>
        <w:spacing w:after="0" w:line="240" w:lineRule="auto"/>
        <w:jc w:val="both"/>
        <w:rPr>
          <w:rFonts w:ascii="Verdana" w:hAnsi="Verdana"/>
          <w:sz w:val="24"/>
          <w:szCs w:val="24"/>
        </w:rPr>
      </w:pPr>
      <w:r w:rsidRPr="008030FF">
        <w:rPr>
          <w:rFonts w:ascii="Verdana" w:hAnsi="Verdana"/>
          <w:sz w:val="24"/>
          <w:szCs w:val="24"/>
        </w:rPr>
        <w:t>CORPOICA</w:t>
      </w:r>
    </w:p>
    <w:p w:rsidR="00B722F2" w:rsidRPr="008030FF" w:rsidRDefault="00B722F2" w:rsidP="00905C49">
      <w:pPr>
        <w:pStyle w:val="Prrafodelista"/>
        <w:numPr>
          <w:ilvl w:val="0"/>
          <w:numId w:val="106"/>
        </w:numPr>
        <w:spacing w:after="0" w:line="240" w:lineRule="auto"/>
        <w:jc w:val="both"/>
        <w:rPr>
          <w:rFonts w:ascii="Verdana" w:hAnsi="Verdana"/>
          <w:sz w:val="24"/>
          <w:szCs w:val="24"/>
        </w:rPr>
      </w:pPr>
      <w:r w:rsidRPr="008030FF">
        <w:rPr>
          <w:rFonts w:ascii="Verdana" w:hAnsi="Verdana"/>
          <w:sz w:val="24"/>
          <w:szCs w:val="24"/>
        </w:rPr>
        <w:t xml:space="preserve">Se concertó con Corpoica la estructuración de un proyecto de cacao el Putumayo el cual se presentará al OCAD de Ciencia Tecnología e Innovación. El proyecto está en revisión por parte de la Dirección General de Corpoica. </w:t>
      </w:r>
    </w:p>
    <w:p w:rsidR="00B722F2" w:rsidRPr="008030FF" w:rsidRDefault="00B722F2" w:rsidP="00B722F2">
      <w:pPr>
        <w:spacing w:after="0" w:line="240" w:lineRule="auto"/>
        <w:jc w:val="both"/>
        <w:rPr>
          <w:rFonts w:ascii="Verdana" w:hAnsi="Verdana"/>
          <w:sz w:val="24"/>
          <w:szCs w:val="24"/>
        </w:rPr>
      </w:pPr>
    </w:p>
    <w:p w:rsidR="008030FF" w:rsidRPr="008030FF" w:rsidRDefault="00B722F2" w:rsidP="00B722F2">
      <w:pPr>
        <w:spacing w:after="0" w:line="240" w:lineRule="auto"/>
        <w:jc w:val="both"/>
        <w:rPr>
          <w:rFonts w:ascii="Verdana" w:hAnsi="Verdana"/>
          <w:sz w:val="24"/>
          <w:szCs w:val="24"/>
        </w:rPr>
      </w:pPr>
      <w:r w:rsidRPr="008030FF">
        <w:rPr>
          <w:rFonts w:ascii="Verdana" w:hAnsi="Verdana"/>
          <w:sz w:val="24"/>
          <w:szCs w:val="24"/>
        </w:rPr>
        <w:t xml:space="preserve">DPS </w:t>
      </w:r>
    </w:p>
    <w:p w:rsidR="00B722F2" w:rsidRPr="008030FF" w:rsidRDefault="00B722F2" w:rsidP="00905C49">
      <w:pPr>
        <w:pStyle w:val="Prrafodelista"/>
        <w:numPr>
          <w:ilvl w:val="0"/>
          <w:numId w:val="106"/>
        </w:numPr>
        <w:spacing w:after="0" w:line="240" w:lineRule="auto"/>
        <w:jc w:val="both"/>
        <w:rPr>
          <w:rFonts w:ascii="Verdana" w:hAnsi="Verdana"/>
          <w:sz w:val="24"/>
          <w:szCs w:val="24"/>
        </w:rPr>
      </w:pPr>
      <w:r w:rsidRPr="008030FF">
        <w:rPr>
          <w:rFonts w:ascii="Verdana" w:hAnsi="Verdana"/>
          <w:sz w:val="24"/>
          <w:szCs w:val="24"/>
        </w:rPr>
        <w:t>Mediante trabajo articulado entre el DPS y la UACT, se logró la presentación y aprobación de 74 iniciativas productivas para ser ejecutadas en el 2014, con una inversión de 2.100 millones de pesos.</w:t>
      </w:r>
    </w:p>
    <w:p w:rsidR="00B722F2" w:rsidRPr="008030FF" w:rsidRDefault="00B722F2" w:rsidP="00B722F2">
      <w:pPr>
        <w:spacing w:after="0" w:line="240" w:lineRule="auto"/>
        <w:jc w:val="both"/>
        <w:rPr>
          <w:rFonts w:ascii="Verdana" w:hAnsi="Verdana"/>
          <w:sz w:val="24"/>
          <w:szCs w:val="24"/>
        </w:rPr>
      </w:pPr>
    </w:p>
    <w:p w:rsidR="008030FF" w:rsidRPr="008030FF" w:rsidRDefault="00B722F2" w:rsidP="00B722F2">
      <w:pPr>
        <w:spacing w:after="0" w:line="240" w:lineRule="auto"/>
        <w:jc w:val="both"/>
        <w:rPr>
          <w:rFonts w:ascii="Verdana" w:hAnsi="Verdana"/>
          <w:bCs/>
          <w:sz w:val="24"/>
          <w:szCs w:val="24"/>
        </w:rPr>
      </w:pPr>
      <w:r w:rsidRPr="008030FF">
        <w:rPr>
          <w:rFonts w:ascii="Verdana" w:hAnsi="Verdana"/>
          <w:bCs/>
          <w:sz w:val="24"/>
          <w:szCs w:val="24"/>
        </w:rPr>
        <w:t>Ministerio de Comercio, Industria y Turismo-Programa de Rutas Competitivas</w:t>
      </w:r>
    </w:p>
    <w:p w:rsidR="00B722F2" w:rsidRPr="008030FF" w:rsidRDefault="00B722F2" w:rsidP="00905C49">
      <w:pPr>
        <w:pStyle w:val="Prrafodelista"/>
        <w:numPr>
          <w:ilvl w:val="0"/>
          <w:numId w:val="106"/>
        </w:numPr>
        <w:spacing w:after="0" w:line="240" w:lineRule="auto"/>
        <w:jc w:val="both"/>
        <w:rPr>
          <w:rFonts w:ascii="Verdana" w:hAnsi="Verdana"/>
          <w:sz w:val="24"/>
          <w:szCs w:val="24"/>
        </w:rPr>
      </w:pPr>
      <w:r w:rsidRPr="008030FF">
        <w:rPr>
          <w:rFonts w:ascii="Verdana" w:hAnsi="Verdana"/>
          <w:sz w:val="24"/>
          <w:szCs w:val="24"/>
        </w:rPr>
        <w:t>Transferencia metodológica del Programa de Rutas Competitivas (Clusters) a funcionarios de la Dirección de Articulación de la UACT, del centro de Estudios para el desarrollo Sostenible de la Orinoquia de la Universidad de los Andes y de la Fundación El Alcaraván para alinear metodología de análisis y construcción conjunta de proyectos</w:t>
      </w:r>
    </w:p>
    <w:p w:rsidR="00B722F2" w:rsidRPr="008030FF" w:rsidRDefault="00B722F2" w:rsidP="00B722F2">
      <w:pPr>
        <w:spacing w:after="0" w:line="240" w:lineRule="auto"/>
        <w:jc w:val="both"/>
        <w:rPr>
          <w:rFonts w:ascii="Verdana" w:hAnsi="Verdana"/>
          <w:sz w:val="24"/>
          <w:szCs w:val="24"/>
        </w:rPr>
      </w:pPr>
    </w:p>
    <w:p w:rsidR="008030FF" w:rsidRPr="008030FF" w:rsidRDefault="00B722F2" w:rsidP="00B722F2">
      <w:pPr>
        <w:spacing w:after="0" w:line="240" w:lineRule="auto"/>
        <w:jc w:val="both"/>
        <w:rPr>
          <w:rFonts w:ascii="Verdana" w:hAnsi="Verdana"/>
          <w:bCs/>
          <w:sz w:val="24"/>
          <w:szCs w:val="24"/>
        </w:rPr>
      </w:pPr>
      <w:r w:rsidRPr="008030FF">
        <w:rPr>
          <w:rFonts w:ascii="Verdana" w:hAnsi="Verdana"/>
          <w:bCs/>
          <w:sz w:val="24"/>
          <w:szCs w:val="24"/>
        </w:rPr>
        <w:t>Cámaras de Comercio de Popayán y Arauca</w:t>
      </w:r>
    </w:p>
    <w:p w:rsidR="00B722F2" w:rsidRPr="008030FF" w:rsidRDefault="00B722F2" w:rsidP="00905C49">
      <w:pPr>
        <w:pStyle w:val="Prrafodelista"/>
        <w:numPr>
          <w:ilvl w:val="0"/>
          <w:numId w:val="106"/>
        </w:numPr>
        <w:spacing w:after="0" w:line="240" w:lineRule="auto"/>
        <w:jc w:val="both"/>
        <w:rPr>
          <w:rFonts w:ascii="Verdana" w:hAnsi="Verdana"/>
          <w:sz w:val="24"/>
          <w:szCs w:val="24"/>
        </w:rPr>
      </w:pPr>
      <w:r w:rsidRPr="008030FF">
        <w:rPr>
          <w:rFonts w:ascii="Verdana" w:hAnsi="Verdana"/>
          <w:sz w:val="24"/>
          <w:szCs w:val="24"/>
        </w:rPr>
        <w:t xml:space="preserve">Compromiso de apoyo y apertura de espacios de participación y acompañamiento a procesos de identificación y puesta en marcha de proyectos en las Rutas Competitivas de la Piña en Cauca y Cacao y lácteos en Popayán. </w:t>
      </w:r>
    </w:p>
    <w:p w:rsidR="00B722F2" w:rsidRPr="008030FF" w:rsidRDefault="00B722F2" w:rsidP="00B722F2">
      <w:pPr>
        <w:spacing w:after="0" w:line="240" w:lineRule="auto"/>
        <w:jc w:val="both"/>
        <w:rPr>
          <w:rFonts w:ascii="Verdana" w:hAnsi="Verdana"/>
          <w:sz w:val="24"/>
          <w:szCs w:val="24"/>
        </w:rPr>
      </w:pPr>
    </w:p>
    <w:p w:rsidR="008030FF" w:rsidRPr="008030FF" w:rsidRDefault="00B722F2" w:rsidP="00B722F2">
      <w:pPr>
        <w:spacing w:after="0" w:line="240" w:lineRule="auto"/>
        <w:jc w:val="both"/>
        <w:rPr>
          <w:rFonts w:ascii="Verdana" w:hAnsi="Verdana"/>
          <w:bCs/>
          <w:sz w:val="24"/>
          <w:szCs w:val="24"/>
        </w:rPr>
      </w:pPr>
      <w:r w:rsidRPr="008030FF">
        <w:rPr>
          <w:rFonts w:ascii="Verdana" w:hAnsi="Verdana"/>
          <w:bCs/>
          <w:sz w:val="24"/>
          <w:szCs w:val="24"/>
        </w:rPr>
        <w:t>Asohofrucol</w:t>
      </w:r>
      <w:r w:rsidR="008030FF" w:rsidRPr="008030FF">
        <w:rPr>
          <w:rFonts w:ascii="Verdana" w:hAnsi="Verdana"/>
          <w:bCs/>
          <w:sz w:val="24"/>
          <w:szCs w:val="24"/>
        </w:rPr>
        <w:t xml:space="preserve"> </w:t>
      </w:r>
    </w:p>
    <w:p w:rsidR="00B722F2" w:rsidRPr="008030FF" w:rsidRDefault="008030FF" w:rsidP="00905C49">
      <w:pPr>
        <w:pStyle w:val="Prrafodelista"/>
        <w:numPr>
          <w:ilvl w:val="0"/>
          <w:numId w:val="106"/>
        </w:numPr>
        <w:spacing w:after="0" w:line="240" w:lineRule="auto"/>
        <w:jc w:val="both"/>
        <w:rPr>
          <w:rFonts w:ascii="Verdana" w:hAnsi="Verdana"/>
          <w:sz w:val="24"/>
          <w:szCs w:val="24"/>
        </w:rPr>
      </w:pPr>
      <w:r w:rsidRPr="008030FF">
        <w:rPr>
          <w:rFonts w:ascii="Verdana" w:hAnsi="Verdana"/>
          <w:bCs/>
          <w:sz w:val="24"/>
          <w:szCs w:val="24"/>
        </w:rPr>
        <w:t>A</w:t>
      </w:r>
      <w:r w:rsidR="00B722F2" w:rsidRPr="008030FF">
        <w:rPr>
          <w:rFonts w:ascii="Verdana" w:hAnsi="Verdana"/>
          <w:sz w:val="24"/>
          <w:szCs w:val="24"/>
        </w:rPr>
        <w:t xml:space="preserve"> través de asistencia técnica, formación socio-empresarial y transferencia de tecnología, apoyan catorce organizaciones hortofrutícolas, beneficiando a 493 productores.</w:t>
      </w:r>
    </w:p>
    <w:p w:rsidR="00B722F2" w:rsidRPr="008030FF" w:rsidRDefault="00B722F2" w:rsidP="00B722F2">
      <w:pPr>
        <w:spacing w:after="0" w:line="240" w:lineRule="auto"/>
        <w:jc w:val="both"/>
        <w:rPr>
          <w:rFonts w:ascii="Verdana" w:hAnsi="Verdana"/>
          <w:sz w:val="24"/>
          <w:szCs w:val="24"/>
        </w:rPr>
      </w:pPr>
    </w:p>
    <w:p w:rsidR="008030FF" w:rsidRPr="008030FF" w:rsidRDefault="00B722F2" w:rsidP="00B722F2">
      <w:pPr>
        <w:spacing w:after="0" w:line="240" w:lineRule="auto"/>
        <w:jc w:val="both"/>
        <w:rPr>
          <w:rFonts w:ascii="Verdana" w:hAnsi="Verdana"/>
          <w:bCs/>
          <w:sz w:val="24"/>
          <w:szCs w:val="24"/>
        </w:rPr>
      </w:pPr>
      <w:r w:rsidRPr="008030FF">
        <w:rPr>
          <w:rFonts w:ascii="Verdana" w:hAnsi="Verdana"/>
          <w:bCs/>
          <w:sz w:val="24"/>
          <w:szCs w:val="24"/>
        </w:rPr>
        <w:t>Eucoboard</w:t>
      </w:r>
    </w:p>
    <w:p w:rsidR="00B722F2" w:rsidRPr="008030FF" w:rsidRDefault="00B722F2" w:rsidP="00905C49">
      <w:pPr>
        <w:pStyle w:val="Prrafodelista"/>
        <w:numPr>
          <w:ilvl w:val="0"/>
          <w:numId w:val="106"/>
        </w:numPr>
        <w:spacing w:after="0" w:line="240" w:lineRule="auto"/>
        <w:jc w:val="both"/>
        <w:rPr>
          <w:rFonts w:ascii="Verdana" w:hAnsi="Verdana"/>
          <w:sz w:val="24"/>
          <w:szCs w:val="24"/>
        </w:rPr>
      </w:pPr>
      <w:r w:rsidRPr="008030FF">
        <w:rPr>
          <w:rFonts w:ascii="Verdana" w:hAnsi="Verdana"/>
          <w:sz w:val="24"/>
          <w:szCs w:val="24"/>
        </w:rPr>
        <w:t>La UACT le presta acompañamiento para la promoción y gestión de proyecto de desarrollo de plantación forestal y planta MFD en el municipio de Tumaco Nariño, que puede beneficiar a más de 2000 familias. Firma de carta de entendimiento.</w:t>
      </w:r>
    </w:p>
    <w:p w:rsidR="008030FF" w:rsidRPr="008030FF" w:rsidRDefault="008030FF" w:rsidP="00B722F2">
      <w:pPr>
        <w:spacing w:after="0" w:line="240" w:lineRule="auto"/>
        <w:jc w:val="both"/>
        <w:rPr>
          <w:rFonts w:ascii="Verdana" w:hAnsi="Verdana"/>
          <w:bCs/>
          <w:sz w:val="24"/>
          <w:szCs w:val="24"/>
        </w:rPr>
      </w:pPr>
    </w:p>
    <w:p w:rsidR="008030FF" w:rsidRDefault="00B722F2" w:rsidP="00B722F2">
      <w:pPr>
        <w:spacing w:after="0" w:line="240" w:lineRule="auto"/>
        <w:jc w:val="both"/>
        <w:rPr>
          <w:rFonts w:ascii="Verdana" w:hAnsi="Verdana"/>
          <w:bCs/>
          <w:sz w:val="24"/>
          <w:szCs w:val="24"/>
        </w:rPr>
      </w:pPr>
      <w:r w:rsidRPr="008030FF">
        <w:rPr>
          <w:rFonts w:ascii="Verdana" w:hAnsi="Verdana"/>
          <w:bCs/>
          <w:sz w:val="24"/>
          <w:szCs w:val="24"/>
        </w:rPr>
        <w:t>Fundación Alas</w:t>
      </w:r>
    </w:p>
    <w:p w:rsidR="00B722F2" w:rsidRPr="008030FF" w:rsidRDefault="00B722F2" w:rsidP="00905C49">
      <w:pPr>
        <w:pStyle w:val="Prrafodelista"/>
        <w:numPr>
          <w:ilvl w:val="0"/>
          <w:numId w:val="106"/>
        </w:numPr>
        <w:spacing w:after="0" w:line="240" w:lineRule="auto"/>
        <w:jc w:val="both"/>
        <w:rPr>
          <w:rFonts w:ascii="Verdana" w:hAnsi="Verdana"/>
          <w:sz w:val="24"/>
          <w:szCs w:val="24"/>
        </w:rPr>
      </w:pPr>
      <w:r w:rsidRPr="008030FF">
        <w:rPr>
          <w:rFonts w:ascii="Verdana" w:hAnsi="Verdana"/>
          <w:sz w:val="24"/>
          <w:szCs w:val="24"/>
        </w:rPr>
        <w:t>Alianza para la realización de brigadas médico quirúrgicas con el Sector Privado en los municipios de Consolidación. 3594 personas beneficiadas. Existe el compromiso de desarrollar 6 brigadas con Ecopetrol para el año 2015</w:t>
      </w:r>
    </w:p>
    <w:p w:rsidR="00B722F2" w:rsidRPr="008030FF" w:rsidRDefault="00B722F2" w:rsidP="00B722F2">
      <w:pPr>
        <w:spacing w:after="0" w:line="240" w:lineRule="auto"/>
        <w:jc w:val="both"/>
        <w:rPr>
          <w:rFonts w:ascii="Verdana" w:hAnsi="Verdana"/>
          <w:sz w:val="24"/>
          <w:szCs w:val="24"/>
        </w:rPr>
      </w:pPr>
    </w:p>
    <w:p w:rsidR="00B722F2" w:rsidRPr="008030FF" w:rsidRDefault="00B722F2" w:rsidP="00B722F2">
      <w:pPr>
        <w:spacing w:after="0" w:line="240" w:lineRule="auto"/>
        <w:jc w:val="both"/>
        <w:rPr>
          <w:rFonts w:ascii="Verdana" w:hAnsi="Verdana"/>
          <w:sz w:val="24"/>
          <w:szCs w:val="24"/>
        </w:rPr>
      </w:pPr>
      <w:r w:rsidRPr="008030FF">
        <w:rPr>
          <w:rFonts w:ascii="Verdana" w:hAnsi="Verdana"/>
          <w:bCs/>
          <w:sz w:val="24"/>
          <w:szCs w:val="24"/>
        </w:rPr>
        <w:t xml:space="preserve">Cerromatoso y DPS: </w:t>
      </w:r>
      <w:r w:rsidRPr="008030FF">
        <w:rPr>
          <w:rFonts w:ascii="Verdana" w:hAnsi="Verdana"/>
          <w:sz w:val="24"/>
          <w:szCs w:val="24"/>
        </w:rPr>
        <w:t>Alianza por lo social en el Sur de Córdoba:</w:t>
      </w:r>
    </w:p>
    <w:p w:rsidR="00B722F2" w:rsidRPr="008030FF" w:rsidRDefault="00B722F2" w:rsidP="00905C49">
      <w:pPr>
        <w:numPr>
          <w:ilvl w:val="0"/>
          <w:numId w:val="87"/>
        </w:numPr>
        <w:spacing w:after="0" w:line="240" w:lineRule="auto"/>
        <w:jc w:val="both"/>
        <w:rPr>
          <w:rFonts w:ascii="Verdana" w:hAnsi="Verdana"/>
          <w:sz w:val="24"/>
          <w:szCs w:val="24"/>
        </w:rPr>
      </w:pPr>
      <w:r w:rsidRPr="008030FF">
        <w:rPr>
          <w:rFonts w:ascii="Verdana" w:hAnsi="Verdana"/>
          <w:sz w:val="24"/>
          <w:szCs w:val="24"/>
        </w:rPr>
        <w:t>Financiar el Programa de Fortalecimiento de la Cobertura con Calidad para el Sector Educativo Rural-PER en zonas de alto riesgo de reclutamiento.</w:t>
      </w:r>
    </w:p>
    <w:p w:rsidR="00B722F2" w:rsidRPr="008030FF" w:rsidRDefault="00B722F2" w:rsidP="00905C49">
      <w:pPr>
        <w:numPr>
          <w:ilvl w:val="0"/>
          <w:numId w:val="87"/>
        </w:numPr>
        <w:spacing w:after="0" w:line="240" w:lineRule="auto"/>
        <w:jc w:val="both"/>
        <w:rPr>
          <w:rFonts w:ascii="Verdana" w:hAnsi="Verdana"/>
          <w:sz w:val="24"/>
          <w:szCs w:val="24"/>
        </w:rPr>
      </w:pPr>
      <w:r w:rsidRPr="008030FF">
        <w:rPr>
          <w:rFonts w:ascii="Verdana" w:hAnsi="Verdana"/>
          <w:sz w:val="24"/>
          <w:szCs w:val="24"/>
        </w:rPr>
        <w:t>Intervención en infraestructura de siete (7) Instituciones Educativas en el Alto San Jorge.</w:t>
      </w:r>
    </w:p>
    <w:p w:rsidR="00B722F2" w:rsidRPr="008030FF" w:rsidRDefault="00B722F2" w:rsidP="00905C49">
      <w:pPr>
        <w:numPr>
          <w:ilvl w:val="0"/>
          <w:numId w:val="87"/>
        </w:numPr>
        <w:spacing w:after="0" w:line="240" w:lineRule="auto"/>
        <w:jc w:val="both"/>
        <w:rPr>
          <w:rFonts w:ascii="Verdana" w:hAnsi="Verdana"/>
          <w:sz w:val="24"/>
          <w:szCs w:val="24"/>
        </w:rPr>
      </w:pPr>
      <w:r w:rsidRPr="008030FF">
        <w:rPr>
          <w:rFonts w:ascii="Verdana" w:hAnsi="Verdana"/>
          <w:sz w:val="24"/>
          <w:szCs w:val="24"/>
        </w:rPr>
        <w:t>Construcción de Centro de Formación del SENA para el Alto San Jorge</w:t>
      </w:r>
    </w:p>
    <w:p w:rsidR="00B722F2" w:rsidRPr="008030FF" w:rsidRDefault="00B722F2" w:rsidP="00905C49">
      <w:pPr>
        <w:numPr>
          <w:ilvl w:val="0"/>
          <w:numId w:val="87"/>
        </w:numPr>
        <w:spacing w:after="0" w:line="240" w:lineRule="auto"/>
        <w:jc w:val="both"/>
        <w:rPr>
          <w:rFonts w:ascii="Verdana" w:hAnsi="Verdana"/>
          <w:sz w:val="24"/>
          <w:szCs w:val="24"/>
        </w:rPr>
      </w:pPr>
      <w:r w:rsidRPr="008030FF">
        <w:rPr>
          <w:rFonts w:ascii="Verdana" w:hAnsi="Verdana"/>
          <w:sz w:val="24"/>
          <w:szCs w:val="24"/>
        </w:rPr>
        <w:t>Brigadas de Salud especializadas en Puerto Libertador y San José de Uré por 70 millones, la próxima brigada se realizará en Montelibano los días 5,6 y 7 de diciembre.</w:t>
      </w:r>
    </w:p>
    <w:p w:rsidR="00B722F2" w:rsidRPr="008030FF" w:rsidRDefault="00B722F2" w:rsidP="00905C49">
      <w:pPr>
        <w:numPr>
          <w:ilvl w:val="0"/>
          <w:numId w:val="87"/>
        </w:numPr>
        <w:spacing w:after="0" w:line="240" w:lineRule="auto"/>
        <w:jc w:val="both"/>
        <w:rPr>
          <w:rFonts w:ascii="Verdana" w:hAnsi="Verdana"/>
          <w:sz w:val="24"/>
          <w:szCs w:val="24"/>
        </w:rPr>
      </w:pPr>
      <w:r w:rsidRPr="008030FF">
        <w:rPr>
          <w:rFonts w:ascii="Verdana" w:hAnsi="Verdana"/>
          <w:sz w:val="24"/>
          <w:szCs w:val="24"/>
        </w:rPr>
        <w:t xml:space="preserve">En el primer trimestre de 2015 se donarán computadores y/o tabletas a las siete (7) I.E. intervenidas por CMSA en el marco del programa “Computadores para Educar” del MINTIC. </w:t>
      </w:r>
    </w:p>
    <w:p w:rsidR="00B722F2" w:rsidRPr="008030FF" w:rsidRDefault="00B722F2" w:rsidP="00B722F2">
      <w:pPr>
        <w:spacing w:after="0" w:line="240" w:lineRule="auto"/>
        <w:ind w:left="720"/>
        <w:jc w:val="both"/>
        <w:rPr>
          <w:rFonts w:ascii="Verdana" w:hAnsi="Verdana"/>
          <w:sz w:val="24"/>
          <w:szCs w:val="24"/>
        </w:rPr>
      </w:pPr>
    </w:p>
    <w:p w:rsidR="008030FF" w:rsidRPr="008030FF" w:rsidRDefault="00B722F2" w:rsidP="00B722F2">
      <w:pPr>
        <w:spacing w:after="0" w:line="240" w:lineRule="auto"/>
        <w:jc w:val="both"/>
        <w:rPr>
          <w:rFonts w:ascii="Verdana" w:hAnsi="Verdana"/>
          <w:sz w:val="24"/>
          <w:szCs w:val="24"/>
        </w:rPr>
      </w:pPr>
      <w:r w:rsidRPr="008030FF">
        <w:rPr>
          <w:rFonts w:ascii="Verdana" w:hAnsi="Verdana"/>
          <w:sz w:val="24"/>
          <w:szCs w:val="24"/>
        </w:rPr>
        <w:t>OXY y FFMM</w:t>
      </w:r>
    </w:p>
    <w:p w:rsidR="00B722F2" w:rsidRPr="008030FF" w:rsidRDefault="00B722F2" w:rsidP="00905C49">
      <w:pPr>
        <w:pStyle w:val="Prrafodelista"/>
        <w:numPr>
          <w:ilvl w:val="0"/>
          <w:numId w:val="106"/>
        </w:numPr>
        <w:spacing w:after="0" w:line="240" w:lineRule="auto"/>
        <w:jc w:val="both"/>
        <w:rPr>
          <w:rFonts w:ascii="Verdana" w:hAnsi="Verdana"/>
          <w:sz w:val="24"/>
          <w:szCs w:val="24"/>
        </w:rPr>
      </w:pPr>
      <w:r w:rsidRPr="008030FF">
        <w:rPr>
          <w:rFonts w:ascii="Verdana" w:hAnsi="Verdana"/>
          <w:sz w:val="24"/>
          <w:szCs w:val="24"/>
        </w:rPr>
        <w:t>Matriz de Proyectos y firma de carta de intención para intervenir Panamá de Arauca con inversión al momento de más de 300 millones:</w:t>
      </w:r>
    </w:p>
    <w:p w:rsidR="00B722F2" w:rsidRPr="008030FF" w:rsidRDefault="00B722F2" w:rsidP="00905C49">
      <w:pPr>
        <w:pStyle w:val="Prrafodelista"/>
        <w:numPr>
          <w:ilvl w:val="0"/>
          <w:numId w:val="106"/>
        </w:numPr>
        <w:spacing w:after="0" w:line="240" w:lineRule="auto"/>
        <w:jc w:val="both"/>
        <w:rPr>
          <w:rFonts w:ascii="Verdana" w:hAnsi="Verdana"/>
          <w:sz w:val="24"/>
          <w:szCs w:val="24"/>
        </w:rPr>
      </w:pPr>
      <w:r w:rsidRPr="008030FF">
        <w:rPr>
          <w:rFonts w:ascii="Verdana" w:hAnsi="Verdana"/>
          <w:sz w:val="24"/>
          <w:szCs w:val="24"/>
        </w:rPr>
        <w:t>Brigada especializada de salud, Rejuvenecimiento de fachada de la escuela</w:t>
      </w:r>
    </w:p>
    <w:p w:rsidR="00B722F2" w:rsidRPr="008030FF" w:rsidRDefault="00B722F2" w:rsidP="00905C49">
      <w:pPr>
        <w:pStyle w:val="Prrafodelista"/>
        <w:numPr>
          <w:ilvl w:val="0"/>
          <w:numId w:val="106"/>
        </w:numPr>
        <w:spacing w:after="0" w:line="240" w:lineRule="auto"/>
        <w:jc w:val="both"/>
        <w:rPr>
          <w:rFonts w:ascii="Verdana" w:hAnsi="Verdana"/>
          <w:sz w:val="24"/>
          <w:szCs w:val="24"/>
        </w:rPr>
      </w:pPr>
      <w:r w:rsidRPr="008030FF">
        <w:rPr>
          <w:rFonts w:ascii="Verdana" w:hAnsi="Verdana"/>
          <w:sz w:val="24"/>
          <w:szCs w:val="24"/>
        </w:rPr>
        <w:t>Entrega de 500  kits escolares, Cine al parque, Copa Oxy, Instalación de parques infantiles, Talleres para jóvenes, Capacitaciones Empresarial, Microcréditos, Planta de Transformación Lechera</w:t>
      </w:r>
    </w:p>
    <w:p w:rsidR="00B722F2" w:rsidRPr="008030FF" w:rsidRDefault="00B722F2" w:rsidP="00B722F2">
      <w:pPr>
        <w:spacing w:after="0" w:line="240" w:lineRule="auto"/>
        <w:jc w:val="both"/>
        <w:rPr>
          <w:rFonts w:ascii="Verdana" w:hAnsi="Verdana"/>
          <w:sz w:val="24"/>
          <w:szCs w:val="24"/>
        </w:rPr>
      </w:pPr>
    </w:p>
    <w:p w:rsidR="008030FF" w:rsidRPr="008030FF" w:rsidRDefault="00B722F2" w:rsidP="00B722F2">
      <w:pPr>
        <w:spacing w:after="0" w:line="240" w:lineRule="auto"/>
        <w:jc w:val="both"/>
        <w:rPr>
          <w:rFonts w:ascii="Verdana" w:hAnsi="Verdana"/>
          <w:bCs/>
          <w:sz w:val="24"/>
          <w:szCs w:val="24"/>
        </w:rPr>
      </w:pPr>
      <w:r w:rsidRPr="008030FF">
        <w:rPr>
          <w:rFonts w:ascii="Verdana" w:hAnsi="Verdana"/>
          <w:bCs/>
          <w:sz w:val="24"/>
          <w:szCs w:val="24"/>
        </w:rPr>
        <w:t>Fundación El Alcaraván</w:t>
      </w:r>
    </w:p>
    <w:p w:rsidR="00B722F2" w:rsidRPr="008030FF" w:rsidRDefault="00B722F2" w:rsidP="00905C49">
      <w:pPr>
        <w:pStyle w:val="Prrafodelista"/>
        <w:numPr>
          <w:ilvl w:val="0"/>
          <w:numId w:val="107"/>
        </w:numPr>
        <w:spacing w:after="0" w:line="240" w:lineRule="auto"/>
        <w:jc w:val="both"/>
        <w:rPr>
          <w:rFonts w:ascii="Verdana" w:hAnsi="Verdana"/>
          <w:sz w:val="24"/>
          <w:szCs w:val="24"/>
        </w:rPr>
      </w:pPr>
      <w:r w:rsidRPr="008030FF">
        <w:rPr>
          <w:rFonts w:ascii="Verdana" w:hAnsi="Verdana"/>
          <w:sz w:val="24"/>
          <w:szCs w:val="24"/>
        </w:rPr>
        <w:t xml:space="preserve">Suscripción de </w:t>
      </w:r>
      <w:r w:rsidRPr="008030FF">
        <w:rPr>
          <w:rFonts w:ascii="Verdana" w:hAnsi="Verdana"/>
          <w:i/>
          <w:iCs/>
          <w:sz w:val="24"/>
          <w:szCs w:val="24"/>
        </w:rPr>
        <w:t>Convenio</w:t>
      </w:r>
      <w:r w:rsidRPr="008030FF">
        <w:rPr>
          <w:rFonts w:ascii="Verdana" w:hAnsi="Verdana"/>
          <w:sz w:val="24"/>
          <w:szCs w:val="24"/>
        </w:rPr>
        <w:t xml:space="preserve"> de Asociación entre la Fundación El Alcaraván y UACT para la dotación de implementos y equipos necesarios para la puesta en marcha de Centro de Transformación lechero y Centro de Beneficio del cacao. La UACT aportó al Proyecto $283.000.000 de un total de $539.600.000 que tienen como </w:t>
      </w:r>
      <w:r w:rsidR="008030FF" w:rsidRPr="008030FF">
        <w:rPr>
          <w:rFonts w:ascii="Verdana" w:hAnsi="Verdana"/>
          <w:sz w:val="24"/>
          <w:szCs w:val="24"/>
        </w:rPr>
        <w:t>cos</w:t>
      </w:r>
      <w:r w:rsidRPr="008030FF">
        <w:rPr>
          <w:rFonts w:ascii="Verdana" w:hAnsi="Verdana"/>
          <w:sz w:val="24"/>
          <w:szCs w:val="24"/>
        </w:rPr>
        <w:t>to total los dos proyectos.</w:t>
      </w:r>
    </w:p>
    <w:p w:rsidR="00B722F2" w:rsidRPr="008030FF" w:rsidRDefault="00B722F2" w:rsidP="00B722F2">
      <w:pPr>
        <w:spacing w:after="0" w:line="240" w:lineRule="auto"/>
        <w:jc w:val="both"/>
        <w:rPr>
          <w:rFonts w:ascii="Verdana" w:hAnsi="Verdana"/>
          <w:sz w:val="24"/>
          <w:szCs w:val="24"/>
        </w:rPr>
      </w:pPr>
    </w:p>
    <w:p w:rsidR="00B722F2" w:rsidRPr="008030FF" w:rsidRDefault="00B722F2" w:rsidP="00B722F2">
      <w:pPr>
        <w:spacing w:after="0" w:line="240" w:lineRule="auto"/>
        <w:jc w:val="both"/>
        <w:rPr>
          <w:rFonts w:ascii="Verdana" w:hAnsi="Verdana"/>
          <w:sz w:val="24"/>
          <w:szCs w:val="24"/>
        </w:rPr>
      </w:pPr>
      <w:r w:rsidRPr="008030FF">
        <w:rPr>
          <w:rFonts w:ascii="Verdana" w:hAnsi="Verdana"/>
          <w:sz w:val="24"/>
          <w:szCs w:val="24"/>
        </w:rPr>
        <w:t>Articulación con entidades como Icetex, Coldeportes, DPS y Sena para el desarrollo de proyectos</w:t>
      </w:r>
    </w:p>
    <w:p w:rsidR="00B722F2" w:rsidRPr="008030FF" w:rsidRDefault="00B722F2" w:rsidP="00B722F2">
      <w:pPr>
        <w:spacing w:after="0" w:line="240" w:lineRule="auto"/>
        <w:jc w:val="both"/>
        <w:rPr>
          <w:rFonts w:ascii="Verdana" w:hAnsi="Verdana"/>
          <w:sz w:val="24"/>
          <w:szCs w:val="24"/>
        </w:rPr>
      </w:pPr>
    </w:p>
    <w:p w:rsidR="008030FF" w:rsidRPr="008030FF" w:rsidRDefault="00B722F2" w:rsidP="00B722F2">
      <w:pPr>
        <w:spacing w:after="0" w:line="240" w:lineRule="auto"/>
        <w:jc w:val="both"/>
        <w:rPr>
          <w:rFonts w:ascii="Verdana" w:hAnsi="Verdana"/>
          <w:bCs/>
          <w:sz w:val="24"/>
          <w:szCs w:val="24"/>
          <w:lang w:val="es-ES"/>
        </w:rPr>
      </w:pPr>
      <w:r w:rsidRPr="008030FF">
        <w:rPr>
          <w:rFonts w:ascii="Verdana" w:hAnsi="Verdana"/>
          <w:bCs/>
          <w:sz w:val="24"/>
          <w:szCs w:val="24"/>
          <w:lang w:val="es-ES"/>
        </w:rPr>
        <w:t>Federación Nacional de Municipios</w:t>
      </w:r>
    </w:p>
    <w:p w:rsidR="00B722F2" w:rsidRPr="008030FF" w:rsidRDefault="00B722F2" w:rsidP="00905C49">
      <w:pPr>
        <w:pStyle w:val="Prrafodelista"/>
        <w:numPr>
          <w:ilvl w:val="0"/>
          <w:numId w:val="107"/>
        </w:numPr>
        <w:spacing w:after="0" w:line="240" w:lineRule="auto"/>
        <w:jc w:val="both"/>
        <w:rPr>
          <w:rFonts w:ascii="Verdana" w:hAnsi="Verdana"/>
          <w:sz w:val="24"/>
          <w:szCs w:val="24"/>
        </w:rPr>
      </w:pPr>
      <w:r w:rsidRPr="008030FF">
        <w:rPr>
          <w:rFonts w:ascii="Verdana" w:hAnsi="Verdana"/>
          <w:bCs/>
          <w:sz w:val="24"/>
          <w:szCs w:val="24"/>
        </w:rPr>
        <w:t>C</w:t>
      </w:r>
      <w:r w:rsidRPr="008030FF">
        <w:rPr>
          <w:rFonts w:ascii="Verdana" w:hAnsi="Verdana"/>
          <w:sz w:val="24"/>
          <w:szCs w:val="24"/>
        </w:rPr>
        <w:t xml:space="preserve">onvenio suscrito con el fin de aunar esfuerzos para apoyar la presencia institucional, dentro del marco del proyecto municipios para la construcción de paz, con el objeto de contribuir a fortalecer los mecanismos de gobernabilidad democrática local de los municipios, desarrollar estrategias de fortalecimiento local e institucionalización del territorio para la construcción de una paz duradera y sostenible en territorios enmarcados en la PNCRT”. </w:t>
      </w:r>
    </w:p>
    <w:p w:rsidR="00B722F2" w:rsidRPr="00B57E80" w:rsidRDefault="00B722F2" w:rsidP="00B722F2">
      <w:pPr>
        <w:spacing w:after="0" w:line="240" w:lineRule="auto"/>
        <w:jc w:val="both"/>
        <w:rPr>
          <w:rFonts w:ascii="Verdana" w:hAnsi="Verdana"/>
          <w:sz w:val="24"/>
          <w:szCs w:val="24"/>
        </w:rPr>
      </w:pPr>
    </w:p>
    <w:p w:rsidR="00B722F2" w:rsidRPr="008030FF" w:rsidRDefault="00B722F2" w:rsidP="00B722F2">
      <w:pPr>
        <w:spacing w:after="0" w:line="240" w:lineRule="auto"/>
        <w:jc w:val="both"/>
        <w:rPr>
          <w:rFonts w:ascii="Verdana" w:hAnsi="Verdana"/>
          <w:color w:val="4F81BD" w:themeColor="accent1"/>
          <w:sz w:val="24"/>
          <w:szCs w:val="24"/>
        </w:rPr>
      </w:pPr>
      <w:r w:rsidRPr="008030FF">
        <w:rPr>
          <w:rFonts w:ascii="Verdana" w:hAnsi="Verdana"/>
          <w:color w:val="4F81BD" w:themeColor="accent1"/>
          <w:sz w:val="24"/>
          <w:szCs w:val="24"/>
        </w:rPr>
        <w:t>COOPERACIÓN INTERNACIONAL</w:t>
      </w:r>
    </w:p>
    <w:p w:rsidR="00B722F2" w:rsidRPr="00B57E80" w:rsidRDefault="00B722F2" w:rsidP="00B722F2">
      <w:pPr>
        <w:spacing w:after="0" w:line="240" w:lineRule="auto"/>
        <w:jc w:val="both"/>
        <w:rPr>
          <w:rFonts w:ascii="Verdana" w:hAnsi="Verdana"/>
          <w:b/>
          <w:sz w:val="24"/>
          <w:szCs w:val="24"/>
        </w:rPr>
      </w:pPr>
    </w:p>
    <w:p w:rsidR="00B722F2" w:rsidRPr="00B57E80" w:rsidRDefault="00B722F2" w:rsidP="00B722F2">
      <w:pPr>
        <w:spacing w:after="0" w:line="240" w:lineRule="auto"/>
        <w:jc w:val="both"/>
        <w:rPr>
          <w:rFonts w:ascii="Verdana" w:hAnsi="Verdana"/>
          <w:sz w:val="24"/>
          <w:szCs w:val="24"/>
        </w:rPr>
      </w:pPr>
      <w:r w:rsidRPr="00B57E80">
        <w:rPr>
          <w:rFonts w:ascii="Verdana" w:hAnsi="Verdana"/>
          <w:sz w:val="24"/>
          <w:szCs w:val="24"/>
        </w:rPr>
        <w:t>Espacio de encuentro entre la alta dirección de USAID y la UACT con el propósito de discutir temas estratégicos para el proceso de consolidación. Este encuentro también tiene como objetivo brindar un panorama general de la ejecución de ambas partes en territorio.</w:t>
      </w:r>
    </w:p>
    <w:p w:rsidR="00B722F2" w:rsidRPr="00B57E80" w:rsidRDefault="00B722F2" w:rsidP="00B722F2">
      <w:pPr>
        <w:spacing w:after="0" w:line="240" w:lineRule="auto"/>
        <w:jc w:val="both"/>
        <w:rPr>
          <w:rFonts w:ascii="Verdana" w:hAnsi="Verdana"/>
          <w:sz w:val="24"/>
          <w:szCs w:val="24"/>
        </w:rPr>
      </w:pPr>
    </w:p>
    <w:p w:rsidR="00B722F2" w:rsidRPr="00B57E80" w:rsidRDefault="00B722F2" w:rsidP="00B722F2">
      <w:pPr>
        <w:spacing w:after="0" w:line="240" w:lineRule="auto"/>
        <w:jc w:val="both"/>
        <w:rPr>
          <w:rFonts w:ascii="Verdana" w:hAnsi="Verdana"/>
          <w:sz w:val="24"/>
          <w:szCs w:val="24"/>
        </w:rPr>
      </w:pPr>
      <w:r w:rsidRPr="00B57E80">
        <w:rPr>
          <w:rFonts w:ascii="Verdana" w:hAnsi="Verdana"/>
          <w:sz w:val="24"/>
          <w:szCs w:val="24"/>
        </w:rPr>
        <w:t>A la fecha se han adelantado 11 de 12 reuniones programadas para la vigencia 2014, en las que han participado las regionales: Tolima, Antioquia, Córdoba, Nariño, Montes de María, Macarena – Caguán, Cauca – Valle.</w:t>
      </w:r>
    </w:p>
    <w:p w:rsidR="00B722F2" w:rsidRPr="00B57E80" w:rsidRDefault="00B722F2" w:rsidP="00B722F2">
      <w:pPr>
        <w:spacing w:after="0" w:line="240" w:lineRule="auto"/>
        <w:jc w:val="both"/>
        <w:rPr>
          <w:rFonts w:ascii="Verdana" w:hAnsi="Verdana"/>
          <w:sz w:val="24"/>
          <w:szCs w:val="24"/>
        </w:rPr>
      </w:pPr>
    </w:p>
    <w:p w:rsidR="00B722F2" w:rsidRPr="00733405" w:rsidRDefault="00B722F2" w:rsidP="00B722F2">
      <w:pPr>
        <w:spacing w:after="0" w:line="240" w:lineRule="auto"/>
        <w:jc w:val="both"/>
        <w:rPr>
          <w:rFonts w:ascii="Verdana" w:hAnsi="Verdana"/>
          <w:b/>
          <w:color w:val="4F81BD" w:themeColor="accent1"/>
          <w:sz w:val="24"/>
          <w:szCs w:val="24"/>
        </w:rPr>
      </w:pPr>
      <w:r w:rsidRPr="00733405">
        <w:rPr>
          <w:rFonts w:ascii="Verdana" w:hAnsi="Verdana"/>
          <w:b/>
          <w:color w:val="4F81BD" w:themeColor="accent1"/>
          <w:sz w:val="24"/>
          <w:szCs w:val="24"/>
        </w:rPr>
        <w:t>DIRECCIÓN DE COORDINACIÓN REGIONAL</w:t>
      </w:r>
    </w:p>
    <w:p w:rsidR="00B722F2" w:rsidRPr="00B57E80" w:rsidRDefault="00B722F2" w:rsidP="00B722F2">
      <w:pPr>
        <w:spacing w:after="0" w:line="240" w:lineRule="auto"/>
        <w:jc w:val="both"/>
        <w:rPr>
          <w:rFonts w:ascii="Verdana" w:hAnsi="Verdana"/>
          <w:sz w:val="24"/>
          <w:szCs w:val="24"/>
        </w:rPr>
      </w:pPr>
    </w:p>
    <w:p w:rsidR="00B722F2" w:rsidRPr="008030FF" w:rsidRDefault="00B722F2" w:rsidP="008030FF">
      <w:pPr>
        <w:spacing w:after="0" w:line="240" w:lineRule="auto"/>
        <w:jc w:val="both"/>
        <w:rPr>
          <w:rFonts w:ascii="Verdana" w:hAnsi="Verdana"/>
          <w:color w:val="000000" w:themeColor="text1"/>
          <w:sz w:val="24"/>
          <w:szCs w:val="24"/>
        </w:rPr>
      </w:pPr>
      <w:r w:rsidRPr="008030FF">
        <w:rPr>
          <w:rFonts w:ascii="Verdana" w:hAnsi="Verdana"/>
          <w:color w:val="000000" w:themeColor="text1"/>
          <w:sz w:val="24"/>
          <w:szCs w:val="24"/>
        </w:rPr>
        <w:t xml:space="preserve">PROGRAMA RESPUESTA RÁPIDA: </w:t>
      </w:r>
    </w:p>
    <w:p w:rsidR="00B722F2" w:rsidRPr="00DB1E86" w:rsidRDefault="00B722F2" w:rsidP="00905C49">
      <w:pPr>
        <w:pStyle w:val="Prrafodelista"/>
        <w:numPr>
          <w:ilvl w:val="0"/>
          <w:numId w:val="89"/>
        </w:numPr>
        <w:autoSpaceDE w:val="0"/>
        <w:autoSpaceDN w:val="0"/>
        <w:adjustRightInd w:val="0"/>
        <w:spacing w:after="0" w:line="240" w:lineRule="auto"/>
        <w:ind w:left="360"/>
        <w:jc w:val="both"/>
        <w:rPr>
          <w:rFonts w:ascii="Verdana" w:hAnsi="Verdana" w:cstheme="minorHAnsi"/>
          <w:sz w:val="24"/>
          <w:szCs w:val="24"/>
        </w:rPr>
      </w:pPr>
      <w:r w:rsidRPr="00B57E80">
        <w:rPr>
          <w:rFonts w:ascii="Verdana" w:hAnsi="Verdana" w:cs="Calibri"/>
          <w:sz w:val="24"/>
          <w:szCs w:val="24"/>
        </w:rPr>
        <w:t xml:space="preserve">Durante el año 2014 fueron </w:t>
      </w:r>
      <w:r w:rsidRPr="00DB1E86">
        <w:rPr>
          <w:rFonts w:ascii="Verdana" w:hAnsi="Verdana" w:cs="Calibri"/>
          <w:sz w:val="24"/>
          <w:szCs w:val="24"/>
        </w:rPr>
        <w:t xml:space="preserve">asignados </w:t>
      </w:r>
      <w:r w:rsidRPr="00DB1E86">
        <w:rPr>
          <w:rFonts w:ascii="Verdana" w:hAnsi="Verdana" w:cs="Calibri"/>
          <w:sz w:val="24"/>
          <w:szCs w:val="24"/>
          <w:u w:val="single"/>
        </w:rPr>
        <w:t>más de 33 mil millones de pesos</w:t>
      </w:r>
      <w:r w:rsidRPr="00DB1E86">
        <w:rPr>
          <w:rFonts w:ascii="Verdana" w:hAnsi="Verdana" w:cs="Calibri"/>
          <w:sz w:val="24"/>
          <w:szCs w:val="24"/>
        </w:rPr>
        <w:t xml:space="preserve"> en </w:t>
      </w:r>
      <w:r w:rsidRPr="00DB1E86">
        <w:rPr>
          <w:rFonts w:ascii="Verdana" w:hAnsi="Verdana" w:cs="Calibri"/>
          <w:sz w:val="24"/>
          <w:szCs w:val="24"/>
          <w:u w:val="single"/>
        </w:rPr>
        <w:t>169 proyectos</w:t>
      </w:r>
      <w:r w:rsidRPr="00DB1E86">
        <w:rPr>
          <w:rFonts w:ascii="Verdana" w:hAnsi="Verdana" w:cs="Calibri"/>
          <w:sz w:val="24"/>
          <w:szCs w:val="24"/>
        </w:rPr>
        <w:t xml:space="preserve"> de respuesta rápida en las categorías de: (i) asistencia comunitaria de transición y bienestar social, (ii) generación de ingresos y (iii) pequeñas y medianas obras de infraestructura.</w:t>
      </w:r>
    </w:p>
    <w:p w:rsidR="00B722F2" w:rsidRPr="00DB1E86" w:rsidRDefault="00B722F2" w:rsidP="00B722F2">
      <w:pPr>
        <w:autoSpaceDE w:val="0"/>
        <w:autoSpaceDN w:val="0"/>
        <w:adjustRightInd w:val="0"/>
        <w:spacing w:after="0"/>
        <w:jc w:val="both"/>
        <w:rPr>
          <w:rFonts w:ascii="Verdana" w:hAnsi="Verdana" w:cstheme="minorHAnsi"/>
          <w:sz w:val="24"/>
          <w:szCs w:val="24"/>
        </w:rPr>
      </w:pPr>
    </w:p>
    <w:p w:rsidR="00B722F2" w:rsidRPr="00B57E80" w:rsidRDefault="00B722F2" w:rsidP="00905C49">
      <w:pPr>
        <w:pStyle w:val="Prrafodelista"/>
        <w:numPr>
          <w:ilvl w:val="0"/>
          <w:numId w:val="89"/>
        </w:numPr>
        <w:autoSpaceDE w:val="0"/>
        <w:autoSpaceDN w:val="0"/>
        <w:adjustRightInd w:val="0"/>
        <w:spacing w:after="0" w:line="240" w:lineRule="auto"/>
        <w:ind w:left="360"/>
        <w:jc w:val="both"/>
        <w:rPr>
          <w:rFonts w:ascii="Verdana" w:hAnsi="Verdana" w:cstheme="minorHAnsi"/>
          <w:sz w:val="24"/>
          <w:szCs w:val="24"/>
        </w:rPr>
      </w:pPr>
      <w:r w:rsidRPr="00DB1E86">
        <w:rPr>
          <w:rFonts w:ascii="Verdana" w:hAnsi="Verdana" w:cstheme="minorHAnsi"/>
          <w:sz w:val="24"/>
          <w:szCs w:val="24"/>
        </w:rPr>
        <w:t xml:space="preserve">El proceso de identificación, formulación y ejecución de proyectos, se realizó mediante </w:t>
      </w:r>
      <w:r w:rsidRPr="00DB1E86">
        <w:rPr>
          <w:rFonts w:ascii="Verdana" w:hAnsi="Verdana" w:cstheme="minorHAnsi"/>
          <w:bCs/>
          <w:sz w:val="24"/>
          <w:szCs w:val="24"/>
        </w:rPr>
        <w:t>ejercicios participativos con</w:t>
      </w:r>
      <w:r w:rsidRPr="00DB1E86">
        <w:rPr>
          <w:rFonts w:ascii="Verdana" w:hAnsi="Verdana" w:cstheme="minorHAnsi"/>
          <w:sz w:val="24"/>
          <w:szCs w:val="24"/>
        </w:rPr>
        <w:t xml:space="preserve"> las</w:t>
      </w:r>
      <w:r w:rsidRPr="00B57E80">
        <w:rPr>
          <w:rFonts w:ascii="Verdana" w:hAnsi="Verdana" w:cstheme="minorHAnsi"/>
          <w:sz w:val="24"/>
          <w:szCs w:val="24"/>
        </w:rPr>
        <w:t xml:space="preserve"> comunidades, instituciones del orden local, regional y nacional, incluido la Unidad de Consolidación, lo cual ha permitido acercar la UACT a las comunidades y a la institucionalidad.</w:t>
      </w:r>
    </w:p>
    <w:p w:rsidR="00B722F2" w:rsidRPr="00B57E80" w:rsidRDefault="00B722F2" w:rsidP="00B722F2">
      <w:pPr>
        <w:spacing w:after="0"/>
        <w:jc w:val="both"/>
        <w:rPr>
          <w:rFonts w:ascii="Verdana" w:hAnsi="Verdana" w:cs="Calibri"/>
          <w:sz w:val="24"/>
          <w:szCs w:val="24"/>
        </w:rPr>
      </w:pPr>
    </w:p>
    <w:p w:rsidR="00B722F2" w:rsidRPr="00B57E80" w:rsidRDefault="00B722F2" w:rsidP="00905C49">
      <w:pPr>
        <w:pStyle w:val="Prrafodelista"/>
        <w:numPr>
          <w:ilvl w:val="0"/>
          <w:numId w:val="89"/>
        </w:numPr>
        <w:autoSpaceDE w:val="0"/>
        <w:autoSpaceDN w:val="0"/>
        <w:adjustRightInd w:val="0"/>
        <w:spacing w:after="0" w:line="240" w:lineRule="auto"/>
        <w:ind w:left="360"/>
        <w:jc w:val="both"/>
        <w:rPr>
          <w:rFonts w:ascii="Verdana" w:hAnsi="Verdana" w:cstheme="minorHAnsi"/>
          <w:sz w:val="24"/>
          <w:szCs w:val="24"/>
        </w:rPr>
      </w:pPr>
      <w:r w:rsidRPr="00B57E80">
        <w:rPr>
          <w:rFonts w:ascii="Verdana" w:hAnsi="Verdana" w:cstheme="minorHAnsi"/>
          <w:sz w:val="24"/>
          <w:szCs w:val="24"/>
        </w:rPr>
        <w:t>Entre los proyectos apoyados se encuentra:</w:t>
      </w:r>
    </w:p>
    <w:p w:rsidR="00B722F2" w:rsidRPr="00B57E80" w:rsidRDefault="00B722F2" w:rsidP="00B722F2">
      <w:pPr>
        <w:spacing w:after="0"/>
        <w:jc w:val="both"/>
        <w:rPr>
          <w:rFonts w:ascii="Verdana" w:hAnsi="Verdana" w:cs="Calibri"/>
          <w:sz w:val="24"/>
          <w:szCs w:val="24"/>
        </w:rPr>
      </w:pPr>
    </w:p>
    <w:p w:rsidR="00B722F2" w:rsidRPr="00B57E80" w:rsidRDefault="00B722F2" w:rsidP="00905C49">
      <w:pPr>
        <w:pStyle w:val="Prrafodelista"/>
        <w:numPr>
          <w:ilvl w:val="0"/>
          <w:numId w:val="88"/>
        </w:numPr>
        <w:spacing w:after="0" w:line="240" w:lineRule="auto"/>
        <w:jc w:val="both"/>
        <w:rPr>
          <w:rFonts w:ascii="Verdana" w:hAnsi="Verdana" w:cs="Calibri"/>
          <w:sz w:val="24"/>
          <w:szCs w:val="24"/>
        </w:rPr>
      </w:pPr>
      <w:r w:rsidRPr="00B57E80">
        <w:rPr>
          <w:rFonts w:ascii="Verdana" w:hAnsi="Verdana" w:cs="Calibri"/>
          <w:sz w:val="24"/>
          <w:szCs w:val="24"/>
        </w:rPr>
        <w:t>Dotaciones de máquinas para el mejoramiento de vías terciarias</w:t>
      </w:r>
    </w:p>
    <w:p w:rsidR="00B722F2" w:rsidRPr="00B57E80" w:rsidRDefault="00B722F2" w:rsidP="00905C49">
      <w:pPr>
        <w:pStyle w:val="Prrafodelista"/>
        <w:numPr>
          <w:ilvl w:val="0"/>
          <w:numId w:val="88"/>
        </w:numPr>
        <w:spacing w:after="0" w:line="240" w:lineRule="auto"/>
        <w:jc w:val="both"/>
        <w:rPr>
          <w:rFonts w:ascii="Verdana" w:hAnsi="Verdana" w:cs="Calibri"/>
          <w:sz w:val="24"/>
          <w:szCs w:val="24"/>
        </w:rPr>
      </w:pPr>
      <w:r w:rsidRPr="00B57E80">
        <w:rPr>
          <w:rFonts w:ascii="Verdana" w:hAnsi="Verdana" w:cs="Calibri"/>
          <w:sz w:val="24"/>
          <w:szCs w:val="24"/>
        </w:rPr>
        <w:t>Desarrollo social y comunitario de las regiones focalizadas con proyectos de dotaciones a instituciones educativas, bibliotecas públicas, casas de la cultura</w:t>
      </w:r>
      <w:r w:rsidRPr="00B57E80">
        <w:rPr>
          <w:rFonts w:ascii="Verdana" w:hAnsi="Verdana" w:cs="Calibri"/>
        </w:rPr>
        <w:t>, puestos</w:t>
      </w:r>
      <w:r w:rsidRPr="00B57E80">
        <w:rPr>
          <w:rFonts w:ascii="Verdana" w:hAnsi="Verdana" w:cs="Calibri"/>
          <w:sz w:val="24"/>
          <w:szCs w:val="24"/>
        </w:rPr>
        <w:t xml:space="preserve"> de salud y centros juveniles, infantiles y/o comunitarios. </w:t>
      </w:r>
    </w:p>
    <w:p w:rsidR="00B722F2" w:rsidRPr="00B57E80" w:rsidRDefault="00B722F2" w:rsidP="00905C49">
      <w:pPr>
        <w:pStyle w:val="Prrafodelista"/>
        <w:numPr>
          <w:ilvl w:val="0"/>
          <w:numId w:val="88"/>
        </w:numPr>
        <w:spacing w:after="0" w:line="240" w:lineRule="auto"/>
        <w:jc w:val="both"/>
        <w:rPr>
          <w:rFonts w:ascii="Verdana" w:hAnsi="Verdana" w:cs="Calibri"/>
          <w:sz w:val="24"/>
          <w:szCs w:val="24"/>
        </w:rPr>
      </w:pPr>
      <w:r w:rsidRPr="00B57E80">
        <w:rPr>
          <w:rFonts w:ascii="Verdana" w:hAnsi="Verdana" w:cs="Calibri"/>
          <w:sz w:val="24"/>
          <w:szCs w:val="24"/>
        </w:rPr>
        <w:t>Fortalecimiento institucional y comunitario con la implementación de proyectos de dotación de concejos municipales, resguardos indígenas, juntas de acción comunal y escuelas de formación deportiva.</w:t>
      </w:r>
    </w:p>
    <w:p w:rsidR="00B722F2" w:rsidRPr="00B57E80" w:rsidRDefault="00B722F2" w:rsidP="00905C49">
      <w:pPr>
        <w:pStyle w:val="Prrafodelista"/>
        <w:numPr>
          <w:ilvl w:val="0"/>
          <w:numId w:val="88"/>
        </w:numPr>
        <w:spacing w:after="0" w:line="240" w:lineRule="auto"/>
        <w:jc w:val="both"/>
        <w:rPr>
          <w:rFonts w:ascii="Verdana" w:hAnsi="Verdana" w:cs="Calibri"/>
          <w:sz w:val="24"/>
          <w:szCs w:val="24"/>
        </w:rPr>
      </w:pPr>
      <w:r w:rsidRPr="00B57E80">
        <w:rPr>
          <w:rFonts w:ascii="Verdana" w:hAnsi="Verdana" w:cs="Calibri"/>
          <w:sz w:val="24"/>
          <w:szCs w:val="24"/>
          <w:lang w:val="es-ES"/>
        </w:rPr>
        <w:t xml:space="preserve">Desarrollo productivo de asociaciones de productores y comunidades organizadas. </w:t>
      </w:r>
    </w:p>
    <w:p w:rsidR="00B722F2" w:rsidRPr="00B57E80" w:rsidRDefault="00B722F2" w:rsidP="00905C49">
      <w:pPr>
        <w:pStyle w:val="Prrafodelista"/>
        <w:numPr>
          <w:ilvl w:val="0"/>
          <w:numId w:val="88"/>
        </w:numPr>
        <w:spacing w:after="0" w:line="240" w:lineRule="auto"/>
        <w:jc w:val="both"/>
        <w:rPr>
          <w:rFonts w:ascii="Verdana" w:hAnsi="Verdana" w:cs="Calibri"/>
          <w:sz w:val="24"/>
          <w:szCs w:val="24"/>
        </w:rPr>
      </w:pPr>
      <w:r w:rsidRPr="00B57E80">
        <w:rPr>
          <w:rFonts w:ascii="Verdana" w:hAnsi="Verdana" w:cs="Calibri"/>
          <w:sz w:val="24"/>
          <w:szCs w:val="24"/>
        </w:rPr>
        <w:t xml:space="preserve">Apoyo a la </w:t>
      </w:r>
      <w:r w:rsidRPr="00B57E80">
        <w:rPr>
          <w:rFonts w:ascii="Verdana" w:hAnsi="Verdana" w:cs="Calibri"/>
          <w:sz w:val="24"/>
          <w:szCs w:val="24"/>
          <w:lang w:val="es-ES"/>
        </w:rPr>
        <w:t>gestión de las Alcaldías mediante la realización de estudios y diseños que sirvan como base para el apalancamiento de recursos para mejoramiento de infraestructura y a través de la dotación de equipos para sus oficinas y personal técnico.</w:t>
      </w:r>
    </w:p>
    <w:p w:rsidR="00B722F2" w:rsidRPr="00B57E80" w:rsidRDefault="00B722F2" w:rsidP="00905C49">
      <w:pPr>
        <w:pStyle w:val="Prrafodelista"/>
        <w:numPr>
          <w:ilvl w:val="0"/>
          <w:numId w:val="88"/>
        </w:numPr>
        <w:spacing w:after="0" w:line="240" w:lineRule="auto"/>
        <w:jc w:val="both"/>
        <w:rPr>
          <w:rFonts w:ascii="Verdana" w:hAnsi="Verdana" w:cs="Calibri"/>
          <w:sz w:val="24"/>
          <w:szCs w:val="24"/>
        </w:rPr>
      </w:pPr>
      <w:r w:rsidRPr="00B57E80">
        <w:rPr>
          <w:rFonts w:ascii="Verdana" w:hAnsi="Verdana" w:cs="Calibri"/>
          <w:sz w:val="24"/>
          <w:szCs w:val="24"/>
        </w:rPr>
        <w:t>Desarrollo de Infraestructura social y comunitaria para fortalecimiento de las actividades educativas, deportivas, recreativas, sociales y satisfacción de necesidades básicas de las comunidades asentadas en las diferentes zonas de consolidación.</w:t>
      </w:r>
    </w:p>
    <w:p w:rsidR="00B722F2" w:rsidRPr="00B57E80" w:rsidRDefault="00B722F2" w:rsidP="00B722F2">
      <w:pPr>
        <w:autoSpaceDE w:val="0"/>
        <w:autoSpaceDN w:val="0"/>
        <w:adjustRightInd w:val="0"/>
        <w:jc w:val="both"/>
        <w:rPr>
          <w:rFonts w:ascii="Verdana" w:hAnsi="Verdana" w:cstheme="minorHAnsi"/>
          <w:sz w:val="24"/>
          <w:szCs w:val="24"/>
        </w:rPr>
      </w:pPr>
    </w:p>
    <w:p w:rsidR="00B722F2" w:rsidRPr="00B57E80" w:rsidRDefault="00B722F2" w:rsidP="00905C49">
      <w:pPr>
        <w:pStyle w:val="Prrafodelista"/>
        <w:numPr>
          <w:ilvl w:val="0"/>
          <w:numId w:val="90"/>
        </w:numPr>
        <w:spacing w:after="0" w:line="240" w:lineRule="auto"/>
        <w:jc w:val="both"/>
        <w:rPr>
          <w:rFonts w:ascii="Verdana" w:hAnsi="Verdana" w:cs="Calibri"/>
          <w:sz w:val="24"/>
          <w:szCs w:val="24"/>
        </w:rPr>
      </w:pPr>
      <w:r w:rsidRPr="00B57E80">
        <w:rPr>
          <w:rFonts w:ascii="Verdana" w:hAnsi="Verdana" w:cs="Calibri"/>
          <w:sz w:val="24"/>
          <w:szCs w:val="24"/>
        </w:rPr>
        <w:t xml:space="preserve">Se identificaron 136 organizaciones de base comunitaria, entre ellas </w:t>
      </w:r>
      <w:r w:rsidRPr="00B57E80">
        <w:rPr>
          <w:rFonts w:ascii="Verdana" w:hAnsi="Verdana" w:cstheme="minorHAnsi"/>
          <w:sz w:val="24"/>
          <w:szCs w:val="24"/>
        </w:rPr>
        <w:t xml:space="preserve">Juntas de acción comunal, asociaciones de padres de familia, resguardos indígenas, asociaciones de mujeres, juntas de hogares juveniles y otras; con las cuales se </w:t>
      </w:r>
      <w:r w:rsidRPr="00B57E80">
        <w:rPr>
          <w:rFonts w:ascii="Verdana" w:hAnsi="Verdana" w:cs="Calibri"/>
          <w:sz w:val="24"/>
          <w:szCs w:val="24"/>
        </w:rPr>
        <w:t>inició un proceso de acompañamiento y fortalecimiento organizacional mediante el desarrollo de las siguientes acciones:</w:t>
      </w:r>
    </w:p>
    <w:p w:rsidR="00B722F2" w:rsidRPr="00B57E80" w:rsidRDefault="00B722F2" w:rsidP="00905C49">
      <w:pPr>
        <w:numPr>
          <w:ilvl w:val="0"/>
          <w:numId w:val="110"/>
        </w:numPr>
        <w:autoSpaceDE w:val="0"/>
        <w:autoSpaceDN w:val="0"/>
        <w:adjustRightInd w:val="0"/>
        <w:spacing w:after="0" w:line="240" w:lineRule="auto"/>
        <w:ind w:left="709" w:hanging="425"/>
        <w:jc w:val="both"/>
        <w:rPr>
          <w:rFonts w:ascii="Verdana" w:hAnsi="Verdana" w:cstheme="minorHAnsi"/>
          <w:sz w:val="24"/>
          <w:szCs w:val="24"/>
        </w:rPr>
      </w:pPr>
      <w:r w:rsidRPr="00B57E80">
        <w:rPr>
          <w:rFonts w:ascii="Verdana" w:hAnsi="Verdana" w:cstheme="minorHAnsi"/>
          <w:sz w:val="24"/>
          <w:szCs w:val="24"/>
        </w:rPr>
        <w:t xml:space="preserve">Formulación de diagnósticos participativo (comunitario u organizacional de acuerdo con el tipo de proyecto) </w:t>
      </w:r>
    </w:p>
    <w:p w:rsidR="00B722F2" w:rsidRPr="00B57E80" w:rsidRDefault="00B722F2" w:rsidP="00905C49">
      <w:pPr>
        <w:numPr>
          <w:ilvl w:val="0"/>
          <w:numId w:val="110"/>
        </w:numPr>
        <w:autoSpaceDE w:val="0"/>
        <w:autoSpaceDN w:val="0"/>
        <w:adjustRightInd w:val="0"/>
        <w:spacing w:after="0" w:line="240" w:lineRule="auto"/>
        <w:ind w:left="709" w:hanging="425"/>
        <w:jc w:val="both"/>
        <w:rPr>
          <w:rFonts w:ascii="Verdana" w:hAnsi="Verdana" w:cstheme="minorHAnsi"/>
          <w:sz w:val="24"/>
          <w:szCs w:val="24"/>
        </w:rPr>
      </w:pPr>
      <w:r w:rsidRPr="00B57E80">
        <w:rPr>
          <w:rFonts w:ascii="Verdana" w:hAnsi="Verdana" w:cstheme="minorHAnsi"/>
          <w:sz w:val="24"/>
          <w:szCs w:val="24"/>
        </w:rPr>
        <w:t>Formulación de planes de mejoramiento organizacional, para generar capacidades gerenciales y herramientas de gestión en las organizaciones.</w:t>
      </w:r>
    </w:p>
    <w:p w:rsidR="00B722F2" w:rsidRPr="00B57E80" w:rsidRDefault="00B722F2" w:rsidP="00905C49">
      <w:pPr>
        <w:numPr>
          <w:ilvl w:val="0"/>
          <w:numId w:val="110"/>
        </w:numPr>
        <w:autoSpaceDE w:val="0"/>
        <w:autoSpaceDN w:val="0"/>
        <w:adjustRightInd w:val="0"/>
        <w:spacing w:after="0" w:line="240" w:lineRule="auto"/>
        <w:ind w:left="709" w:hanging="425"/>
        <w:jc w:val="both"/>
        <w:rPr>
          <w:rFonts w:ascii="Verdana" w:hAnsi="Verdana" w:cstheme="minorHAnsi"/>
          <w:sz w:val="24"/>
          <w:szCs w:val="24"/>
        </w:rPr>
      </w:pPr>
      <w:r w:rsidRPr="00B57E80">
        <w:rPr>
          <w:rFonts w:ascii="Verdana" w:hAnsi="Verdana" w:cstheme="minorHAnsi"/>
          <w:sz w:val="24"/>
          <w:szCs w:val="24"/>
        </w:rPr>
        <w:t xml:space="preserve">Generación de “Compromisos positivos” con las organizaciones y comunidades beneficiarias de los proyectos. El sentido de esta actividad es el de reforzar la apropiación del proyecto con reconocimiento del potencial y sostenibilidad del mismo. </w:t>
      </w:r>
    </w:p>
    <w:p w:rsidR="00B722F2" w:rsidRPr="00B57E80" w:rsidRDefault="00B722F2" w:rsidP="00905C49">
      <w:pPr>
        <w:pStyle w:val="Prrafodelista"/>
        <w:numPr>
          <w:ilvl w:val="0"/>
          <w:numId w:val="110"/>
        </w:numPr>
        <w:tabs>
          <w:tab w:val="left" w:pos="709"/>
          <w:tab w:val="left" w:pos="2250"/>
        </w:tabs>
        <w:autoSpaceDE w:val="0"/>
        <w:autoSpaceDN w:val="0"/>
        <w:adjustRightInd w:val="0"/>
        <w:spacing w:after="0" w:line="240" w:lineRule="auto"/>
        <w:ind w:left="709" w:hanging="425"/>
        <w:jc w:val="both"/>
        <w:rPr>
          <w:rFonts w:ascii="Verdana" w:hAnsi="Verdana" w:cstheme="minorHAnsi"/>
          <w:sz w:val="24"/>
          <w:szCs w:val="24"/>
        </w:rPr>
      </w:pPr>
      <w:r w:rsidRPr="00B57E80">
        <w:rPr>
          <w:rFonts w:ascii="Verdana" w:hAnsi="Verdana" w:cstheme="minorHAnsi"/>
          <w:sz w:val="24"/>
          <w:szCs w:val="24"/>
        </w:rPr>
        <w:t>Talleres de construcción de paz.</w:t>
      </w:r>
    </w:p>
    <w:p w:rsidR="00B722F2" w:rsidRPr="00B57E80" w:rsidRDefault="00B722F2" w:rsidP="00B722F2">
      <w:pPr>
        <w:spacing w:after="0"/>
        <w:jc w:val="both"/>
        <w:rPr>
          <w:rFonts w:ascii="Verdana" w:hAnsi="Verdana" w:cs="Calibri"/>
          <w:sz w:val="24"/>
          <w:szCs w:val="24"/>
        </w:rPr>
      </w:pPr>
    </w:p>
    <w:p w:rsidR="00B722F2" w:rsidRPr="00B57E80" w:rsidRDefault="00B722F2" w:rsidP="00B722F2">
      <w:pPr>
        <w:spacing w:after="0"/>
        <w:jc w:val="both"/>
        <w:rPr>
          <w:rFonts w:ascii="Verdana" w:hAnsi="Verdana" w:cs="Calibri"/>
          <w:sz w:val="24"/>
          <w:szCs w:val="24"/>
        </w:rPr>
      </w:pPr>
    </w:p>
    <w:p w:rsidR="00B722F2" w:rsidRPr="00733405" w:rsidRDefault="00B722F2" w:rsidP="00E25E23">
      <w:pPr>
        <w:spacing w:after="0" w:line="240" w:lineRule="auto"/>
        <w:jc w:val="both"/>
        <w:rPr>
          <w:rFonts w:ascii="Verdana" w:hAnsi="Verdana"/>
          <w:color w:val="4F81BD" w:themeColor="accent1"/>
          <w:sz w:val="24"/>
          <w:szCs w:val="24"/>
        </w:rPr>
      </w:pPr>
      <w:r w:rsidRPr="00733405">
        <w:rPr>
          <w:rFonts w:ascii="Verdana" w:hAnsi="Verdana"/>
          <w:color w:val="4F81BD" w:themeColor="accent1"/>
          <w:sz w:val="24"/>
          <w:szCs w:val="24"/>
        </w:rPr>
        <w:t>ELABORACIÓN E IMPLEMENTACIÓN DE LOS PLANES ESTRATÉGICOS TERRITORIALES – PET Y ALINEACIÓN CON LOS PLANES DE ACCIÓN REGIONAL - PAR</w:t>
      </w:r>
    </w:p>
    <w:p w:rsidR="00E25E23" w:rsidRDefault="00E25E23" w:rsidP="00E25E23">
      <w:pPr>
        <w:pStyle w:val="Prrafodelista"/>
        <w:spacing w:after="0" w:line="240" w:lineRule="auto"/>
        <w:ind w:left="360"/>
        <w:jc w:val="both"/>
        <w:rPr>
          <w:rFonts w:ascii="Verdana" w:hAnsi="Verdana"/>
          <w:sz w:val="24"/>
          <w:szCs w:val="24"/>
        </w:rPr>
      </w:pPr>
    </w:p>
    <w:p w:rsidR="00B722F2" w:rsidRPr="00B57E80" w:rsidRDefault="00B722F2" w:rsidP="00905C49">
      <w:pPr>
        <w:pStyle w:val="Prrafodelista"/>
        <w:numPr>
          <w:ilvl w:val="0"/>
          <w:numId w:val="90"/>
        </w:numPr>
        <w:spacing w:after="0" w:line="240" w:lineRule="auto"/>
        <w:jc w:val="both"/>
        <w:rPr>
          <w:rFonts w:ascii="Verdana" w:hAnsi="Verdana"/>
          <w:sz w:val="24"/>
          <w:szCs w:val="24"/>
        </w:rPr>
      </w:pPr>
      <w:r w:rsidRPr="00B57E80">
        <w:rPr>
          <w:rFonts w:ascii="Verdana" w:hAnsi="Verdana"/>
          <w:sz w:val="24"/>
          <w:szCs w:val="24"/>
        </w:rPr>
        <w:t>Los Planes Estratégicos Territoriales – PET se constituyen en los documentos que permitan obtener una visión de los territorios focalizados frente a la PNCRT, atendiendo a las particularidades que presenta cada región de intervención.</w:t>
      </w:r>
    </w:p>
    <w:p w:rsidR="00B722F2" w:rsidRPr="00B57E80" w:rsidRDefault="00B722F2" w:rsidP="00905C49">
      <w:pPr>
        <w:pStyle w:val="Prrafodelista"/>
        <w:numPr>
          <w:ilvl w:val="0"/>
          <w:numId w:val="111"/>
        </w:numPr>
        <w:spacing w:after="0" w:line="240" w:lineRule="auto"/>
        <w:jc w:val="both"/>
        <w:rPr>
          <w:rFonts w:ascii="Verdana" w:hAnsi="Verdana"/>
          <w:sz w:val="24"/>
          <w:szCs w:val="24"/>
        </w:rPr>
      </w:pPr>
      <w:r w:rsidRPr="00B57E80">
        <w:rPr>
          <w:rFonts w:ascii="Verdana" w:hAnsi="Verdana"/>
          <w:sz w:val="24"/>
          <w:szCs w:val="24"/>
        </w:rPr>
        <w:t>Se formularon nueve (9) Planes Estratégicos Territoriales - PET de las Gerencias que permiten una lectura de los territorios focalizados conforme a los pilares y componentes de la PNCRT</w:t>
      </w:r>
      <w:r w:rsidRPr="00B57E80">
        <w:rPr>
          <w:rFonts w:ascii="Verdana" w:hAnsi="Verdana"/>
        </w:rPr>
        <w:t>, para</w:t>
      </w:r>
      <w:r w:rsidRPr="00B57E80">
        <w:rPr>
          <w:rFonts w:ascii="Verdana" w:hAnsi="Verdana"/>
          <w:sz w:val="24"/>
          <w:szCs w:val="24"/>
        </w:rPr>
        <w:t xml:space="preserve"> definir énfasis y objetivos de acuerdo a las especificidades de cada una de las zonas en Consolidación. </w:t>
      </w:r>
    </w:p>
    <w:p w:rsidR="00B722F2" w:rsidRPr="00B57E80" w:rsidRDefault="00B722F2" w:rsidP="00B722F2">
      <w:pPr>
        <w:pStyle w:val="Prrafodelista"/>
        <w:spacing w:line="240" w:lineRule="auto"/>
        <w:jc w:val="both"/>
        <w:rPr>
          <w:rFonts w:ascii="Verdana" w:hAnsi="Verdana"/>
          <w:sz w:val="24"/>
          <w:szCs w:val="24"/>
        </w:rPr>
      </w:pPr>
    </w:p>
    <w:p w:rsidR="00B722F2" w:rsidRPr="00B57E80" w:rsidRDefault="00B722F2" w:rsidP="00905C49">
      <w:pPr>
        <w:pStyle w:val="Prrafodelista"/>
        <w:numPr>
          <w:ilvl w:val="0"/>
          <w:numId w:val="111"/>
        </w:numPr>
        <w:spacing w:after="0" w:line="240" w:lineRule="auto"/>
        <w:jc w:val="both"/>
        <w:rPr>
          <w:rFonts w:ascii="Verdana" w:hAnsi="Verdana"/>
          <w:sz w:val="24"/>
          <w:szCs w:val="24"/>
        </w:rPr>
      </w:pPr>
      <w:r w:rsidRPr="00B57E80">
        <w:rPr>
          <w:rFonts w:ascii="Verdana" w:hAnsi="Verdana"/>
          <w:sz w:val="24"/>
          <w:szCs w:val="24"/>
        </w:rPr>
        <w:t xml:space="preserve">Conforme a los PET, se actualizaron los 11 Planes de Acción Regional – PAR de las 9 Gerencias y 2 Coordinaciones de la UACT, identificando los proyectos e inversiones que se requieren gestionar por parte de la Gerencias, Coordinaciones, Dirección de Articulación y la Dirección del Programa Contra Cultivos Ilícitos - DPCI, para la consolidación del territorio. </w:t>
      </w:r>
    </w:p>
    <w:p w:rsidR="00B722F2" w:rsidRPr="00B57E80" w:rsidRDefault="00B722F2" w:rsidP="00B722F2">
      <w:pPr>
        <w:pStyle w:val="Prrafodelista"/>
        <w:spacing w:line="240" w:lineRule="auto"/>
        <w:rPr>
          <w:rFonts w:ascii="Verdana" w:hAnsi="Verdana"/>
          <w:sz w:val="24"/>
          <w:szCs w:val="24"/>
        </w:rPr>
      </w:pPr>
    </w:p>
    <w:p w:rsidR="00B722F2" w:rsidRPr="00733405" w:rsidRDefault="00B722F2" w:rsidP="00E25E23">
      <w:pPr>
        <w:spacing w:after="0" w:line="240" w:lineRule="auto"/>
        <w:jc w:val="both"/>
        <w:rPr>
          <w:rFonts w:ascii="Verdana" w:hAnsi="Verdana"/>
          <w:color w:val="4F81BD" w:themeColor="accent1"/>
          <w:sz w:val="24"/>
          <w:szCs w:val="24"/>
        </w:rPr>
      </w:pPr>
      <w:r w:rsidRPr="00733405">
        <w:rPr>
          <w:rFonts w:ascii="Verdana" w:hAnsi="Verdana"/>
          <w:color w:val="4F81BD" w:themeColor="accent1"/>
          <w:sz w:val="24"/>
          <w:szCs w:val="24"/>
        </w:rPr>
        <w:t>RETROALIMENTACIÓN Y DIRECCIONAMIENTO ESTRATÉGICO PARA LA IMPLEMENTACIÓN DE LA PNCRT</w:t>
      </w:r>
    </w:p>
    <w:p w:rsidR="00E25E23" w:rsidRDefault="00E25E23" w:rsidP="00B722F2">
      <w:pPr>
        <w:autoSpaceDE w:val="0"/>
        <w:autoSpaceDN w:val="0"/>
        <w:adjustRightInd w:val="0"/>
        <w:spacing w:line="240" w:lineRule="auto"/>
        <w:jc w:val="both"/>
        <w:rPr>
          <w:rFonts w:ascii="Verdana" w:hAnsi="Verdana" w:cs="Arial"/>
          <w:bCs/>
          <w:sz w:val="24"/>
          <w:szCs w:val="24"/>
        </w:rPr>
      </w:pPr>
    </w:p>
    <w:p w:rsidR="00B722F2" w:rsidRPr="00B57E80" w:rsidRDefault="00B722F2" w:rsidP="00B722F2">
      <w:pPr>
        <w:autoSpaceDE w:val="0"/>
        <w:autoSpaceDN w:val="0"/>
        <w:adjustRightInd w:val="0"/>
        <w:spacing w:line="240" w:lineRule="auto"/>
        <w:jc w:val="both"/>
        <w:rPr>
          <w:rFonts w:ascii="Verdana" w:hAnsi="Verdana" w:cs="Arial"/>
          <w:bCs/>
          <w:sz w:val="24"/>
          <w:szCs w:val="24"/>
        </w:rPr>
      </w:pPr>
      <w:r w:rsidRPr="00B57E80">
        <w:rPr>
          <w:rFonts w:ascii="Verdana" w:hAnsi="Verdana" w:cs="Arial"/>
          <w:bCs/>
          <w:sz w:val="24"/>
          <w:szCs w:val="24"/>
        </w:rPr>
        <w:t>Con el fin de mantener una permanente actualización, retroalimentación y direccionamiento de la misma, realizó y/o participó en el periodo 2013 – 2014, los siguientes eventos:</w:t>
      </w:r>
    </w:p>
    <w:p w:rsidR="00B722F2" w:rsidRPr="00B57E80" w:rsidRDefault="00B722F2" w:rsidP="00905C49">
      <w:pPr>
        <w:numPr>
          <w:ilvl w:val="0"/>
          <w:numId w:val="91"/>
        </w:numPr>
        <w:tabs>
          <w:tab w:val="left" w:pos="426"/>
          <w:tab w:val="num" w:pos="1440"/>
          <w:tab w:val="left" w:pos="2250"/>
        </w:tabs>
        <w:autoSpaceDE w:val="0"/>
        <w:autoSpaceDN w:val="0"/>
        <w:adjustRightInd w:val="0"/>
        <w:spacing w:after="0" w:line="240" w:lineRule="auto"/>
        <w:jc w:val="both"/>
        <w:rPr>
          <w:rFonts w:ascii="Verdana" w:hAnsi="Verdana" w:cs="Arial"/>
          <w:sz w:val="24"/>
          <w:szCs w:val="24"/>
          <w:lang w:val="es-ES_tradnl"/>
        </w:rPr>
      </w:pPr>
      <w:r w:rsidRPr="00B57E80">
        <w:rPr>
          <w:rFonts w:ascii="Verdana" w:hAnsi="Verdana" w:cs="Arial"/>
          <w:sz w:val="24"/>
          <w:szCs w:val="24"/>
          <w:lang w:val="es-ES_tradnl"/>
        </w:rPr>
        <w:t>Encuentro temáticos de Desarrollo económico</w:t>
      </w:r>
    </w:p>
    <w:p w:rsidR="00B722F2" w:rsidRPr="00B57E80" w:rsidRDefault="00B722F2" w:rsidP="00905C49">
      <w:pPr>
        <w:numPr>
          <w:ilvl w:val="0"/>
          <w:numId w:val="91"/>
        </w:numPr>
        <w:tabs>
          <w:tab w:val="left" w:pos="426"/>
          <w:tab w:val="num" w:pos="1440"/>
          <w:tab w:val="left" w:pos="2250"/>
        </w:tabs>
        <w:autoSpaceDE w:val="0"/>
        <w:autoSpaceDN w:val="0"/>
        <w:adjustRightInd w:val="0"/>
        <w:spacing w:after="0" w:line="240" w:lineRule="auto"/>
        <w:jc w:val="both"/>
        <w:rPr>
          <w:rFonts w:ascii="Verdana" w:hAnsi="Verdana" w:cs="Arial"/>
          <w:sz w:val="24"/>
          <w:szCs w:val="24"/>
          <w:lang w:val="es-ES_tradnl"/>
        </w:rPr>
      </w:pPr>
      <w:r w:rsidRPr="00B57E80">
        <w:rPr>
          <w:rFonts w:ascii="Verdana" w:hAnsi="Verdana" w:cs="Arial"/>
          <w:sz w:val="24"/>
          <w:szCs w:val="24"/>
          <w:lang w:val="es-ES_tradnl"/>
        </w:rPr>
        <w:t>Encuentro temáticos de Desarrollo Social y Comunitario</w:t>
      </w:r>
    </w:p>
    <w:p w:rsidR="00B722F2" w:rsidRPr="00B57E80" w:rsidRDefault="00B722F2" w:rsidP="00905C49">
      <w:pPr>
        <w:numPr>
          <w:ilvl w:val="0"/>
          <w:numId w:val="91"/>
        </w:numPr>
        <w:tabs>
          <w:tab w:val="left" w:pos="426"/>
          <w:tab w:val="num" w:pos="1440"/>
          <w:tab w:val="left" w:pos="2250"/>
        </w:tabs>
        <w:autoSpaceDE w:val="0"/>
        <w:autoSpaceDN w:val="0"/>
        <w:adjustRightInd w:val="0"/>
        <w:spacing w:after="0" w:line="240" w:lineRule="auto"/>
        <w:jc w:val="both"/>
        <w:rPr>
          <w:rFonts w:ascii="Verdana" w:hAnsi="Verdana" w:cs="Arial"/>
          <w:sz w:val="24"/>
          <w:szCs w:val="24"/>
          <w:lang w:val="es-ES_tradnl"/>
        </w:rPr>
      </w:pPr>
      <w:r w:rsidRPr="00B57E80">
        <w:rPr>
          <w:rFonts w:ascii="Verdana" w:hAnsi="Verdana" w:cs="Arial"/>
          <w:sz w:val="24"/>
          <w:szCs w:val="24"/>
          <w:lang w:val="es-ES_tradnl"/>
        </w:rPr>
        <w:t>Encuentro temáticos de Infraestructura</w:t>
      </w:r>
    </w:p>
    <w:p w:rsidR="00B722F2" w:rsidRPr="00B57E80" w:rsidRDefault="00B722F2" w:rsidP="00905C49">
      <w:pPr>
        <w:numPr>
          <w:ilvl w:val="0"/>
          <w:numId w:val="91"/>
        </w:numPr>
        <w:tabs>
          <w:tab w:val="left" w:pos="426"/>
          <w:tab w:val="num" w:pos="1440"/>
          <w:tab w:val="left" w:pos="2250"/>
        </w:tabs>
        <w:autoSpaceDE w:val="0"/>
        <w:autoSpaceDN w:val="0"/>
        <w:adjustRightInd w:val="0"/>
        <w:spacing w:after="0" w:line="240" w:lineRule="auto"/>
        <w:jc w:val="both"/>
        <w:rPr>
          <w:rFonts w:ascii="Verdana" w:hAnsi="Verdana" w:cs="Arial"/>
          <w:sz w:val="24"/>
          <w:szCs w:val="24"/>
          <w:lang w:val="es-ES_tradnl"/>
        </w:rPr>
      </w:pPr>
      <w:r w:rsidRPr="00B57E80">
        <w:rPr>
          <w:rFonts w:ascii="Verdana" w:hAnsi="Verdana" w:cs="Arial"/>
          <w:sz w:val="24"/>
          <w:szCs w:val="24"/>
          <w:lang w:val="es-ES_tradnl"/>
        </w:rPr>
        <w:t>Encuentro temáticos de Tierras y Ordenamiento Territorial</w:t>
      </w:r>
    </w:p>
    <w:p w:rsidR="00B722F2" w:rsidRPr="00B57E80" w:rsidRDefault="00B722F2" w:rsidP="00905C49">
      <w:pPr>
        <w:numPr>
          <w:ilvl w:val="0"/>
          <w:numId w:val="91"/>
        </w:numPr>
        <w:tabs>
          <w:tab w:val="left" w:pos="426"/>
          <w:tab w:val="num" w:pos="1440"/>
          <w:tab w:val="left" w:pos="2250"/>
        </w:tabs>
        <w:autoSpaceDE w:val="0"/>
        <w:autoSpaceDN w:val="0"/>
        <w:adjustRightInd w:val="0"/>
        <w:spacing w:after="0" w:line="240" w:lineRule="auto"/>
        <w:jc w:val="both"/>
        <w:rPr>
          <w:rFonts w:ascii="Verdana" w:hAnsi="Verdana" w:cs="Arial"/>
          <w:sz w:val="24"/>
          <w:szCs w:val="24"/>
          <w:lang w:val="es-ES_tradnl"/>
        </w:rPr>
      </w:pPr>
      <w:r w:rsidRPr="00B57E80">
        <w:rPr>
          <w:rFonts w:ascii="Verdana" w:hAnsi="Verdana" w:cs="Arial"/>
          <w:sz w:val="24"/>
          <w:szCs w:val="24"/>
          <w:lang w:val="es-ES_tradnl"/>
        </w:rPr>
        <w:t>Encuentro temáticos de Alcaldes y Enlaces Municipales</w:t>
      </w:r>
    </w:p>
    <w:p w:rsidR="00B722F2" w:rsidRPr="00B57E80" w:rsidRDefault="00B722F2" w:rsidP="00905C49">
      <w:pPr>
        <w:numPr>
          <w:ilvl w:val="0"/>
          <w:numId w:val="91"/>
        </w:numPr>
        <w:tabs>
          <w:tab w:val="left" w:pos="426"/>
          <w:tab w:val="num" w:pos="1440"/>
          <w:tab w:val="left" w:pos="2250"/>
        </w:tabs>
        <w:autoSpaceDE w:val="0"/>
        <w:autoSpaceDN w:val="0"/>
        <w:adjustRightInd w:val="0"/>
        <w:spacing w:after="0" w:line="240" w:lineRule="auto"/>
        <w:jc w:val="both"/>
        <w:rPr>
          <w:rFonts w:ascii="Verdana" w:hAnsi="Verdana" w:cs="Arial"/>
          <w:sz w:val="24"/>
          <w:szCs w:val="24"/>
          <w:lang w:val="es-ES_tradnl"/>
        </w:rPr>
      </w:pPr>
      <w:r w:rsidRPr="00B57E80">
        <w:rPr>
          <w:rFonts w:ascii="Verdana" w:hAnsi="Verdana" w:cs="Arial"/>
          <w:sz w:val="24"/>
          <w:szCs w:val="24"/>
          <w:lang w:val="es-ES_tradnl"/>
        </w:rPr>
        <w:t>Encuentro de Enlaces municipales, policiales y militares</w:t>
      </w:r>
    </w:p>
    <w:p w:rsidR="00B722F2" w:rsidRPr="00B57E80" w:rsidRDefault="00B722F2" w:rsidP="00905C49">
      <w:pPr>
        <w:numPr>
          <w:ilvl w:val="0"/>
          <w:numId w:val="91"/>
        </w:numPr>
        <w:tabs>
          <w:tab w:val="left" w:pos="426"/>
          <w:tab w:val="num" w:pos="1440"/>
          <w:tab w:val="left" w:pos="2250"/>
        </w:tabs>
        <w:autoSpaceDE w:val="0"/>
        <w:autoSpaceDN w:val="0"/>
        <w:adjustRightInd w:val="0"/>
        <w:spacing w:after="0" w:line="240" w:lineRule="auto"/>
        <w:jc w:val="both"/>
        <w:rPr>
          <w:rFonts w:ascii="Verdana" w:hAnsi="Verdana"/>
          <w:sz w:val="24"/>
          <w:szCs w:val="24"/>
        </w:rPr>
      </w:pPr>
      <w:r w:rsidRPr="00B57E80">
        <w:rPr>
          <w:rFonts w:ascii="Verdana" w:hAnsi="Verdana" w:cs="Arial"/>
          <w:sz w:val="24"/>
          <w:szCs w:val="24"/>
          <w:lang w:val="es-ES_tradnl"/>
        </w:rPr>
        <w:t>Encuentro temáticos de Fortalecimiento</w:t>
      </w:r>
      <w:r w:rsidRPr="00B57E80">
        <w:rPr>
          <w:rFonts w:ascii="Verdana" w:hAnsi="Verdana"/>
          <w:sz w:val="24"/>
          <w:szCs w:val="24"/>
        </w:rPr>
        <w:t xml:space="preserve"> Institucional  </w:t>
      </w:r>
    </w:p>
    <w:p w:rsidR="00B722F2" w:rsidRPr="00B57E80" w:rsidRDefault="00B722F2" w:rsidP="00B722F2">
      <w:pPr>
        <w:jc w:val="both"/>
        <w:rPr>
          <w:rFonts w:ascii="Verdana" w:hAnsi="Verdana" w:cs="Calibri"/>
          <w:sz w:val="24"/>
          <w:szCs w:val="24"/>
        </w:rPr>
      </w:pPr>
    </w:p>
    <w:p w:rsidR="00B722F2" w:rsidRPr="00E25E23" w:rsidRDefault="00B722F2" w:rsidP="00E25E23">
      <w:pPr>
        <w:spacing w:after="0" w:line="240" w:lineRule="auto"/>
        <w:jc w:val="both"/>
        <w:rPr>
          <w:rFonts w:ascii="Verdana" w:hAnsi="Verdana"/>
          <w:color w:val="4F81BD" w:themeColor="accent1"/>
          <w:sz w:val="24"/>
          <w:szCs w:val="24"/>
        </w:rPr>
      </w:pPr>
      <w:r w:rsidRPr="00E25E23">
        <w:rPr>
          <w:rFonts w:ascii="Verdana" w:hAnsi="Verdana"/>
          <w:color w:val="4F81BD" w:themeColor="accent1"/>
          <w:sz w:val="24"/>
          <w:szCs w:val="24"/>
        </w:rPr>
        <w:t>Retos 2015:</w:t>
      </w:r>
    </w:p>
    <w:p w:rsidR="00B722F2" w:rsidRPr="00B57E80" w:rsidRDefault="00B722F2" w:rsidP="00B722F2">
      <w:pPr>
        <w:spacing w:after="0" w:line="240" w:lineRule="auto"/>
        <w:jc w:val="both"/>
        <w:rPr>
          <w:rFonts w:ascii="Verdana" w:hAnsi="Verdana" w:cs="Calibri"/>
          <w:sz w:val="24"/>
          <w:szCs w:val="24"/>
        </w:rPr>
      </w:pPr>
    </w:p>
    <w:p w:rsidR="00B722F2" w:rsidRPr="00B57E80" w:rsidRDefault="00B722F2" w:rsidP="00905C49">
      <w:pPr>
        <w:pStyle w:val="Prrafodelista"/>
        <w:numPr>
          <w:ilvl w:val="0"/>
          <w:numId w:val="90"/>
        </w:numPr>
        <w:autoSpaceDE w:val="0"/>
        <w:autoSpaceDN w:val="0"/>
        <w:adjustRightInd w:val="0"/>
        <w:spacing w:after="0" w:line="240" w:lineRule="auto"/>
        <w:jc w:val="both"/>
        <w:rPr>
          <w:rFonts w:ascii="Verdana" w:hAnsi="Verdana" w:cstheme="minorHAnsi"/>
          <w:sz w:val="24"/>
          <w:szCs w:val="24"/>
        </w:rPr>
      </w:pPr>
      <w:r w:rsidRPr="00B57E80">
        <w:rPr>
          <w:rFonts w:ascii="Verdana" w:hAnsi="Verdana" w:cstheme="minorHAnsi"/>
          <w:sz w:val="24"/>
          <w:szCs w:val="24"/>
        </w:rPr>
        <w:t xml:space="preserve">Para el 2015 se tiene previsto mediante el PRR la inversión </w:t>
      </w:r>
      <w:r w:rsidRPr="00E25E23">
        <w:rPr>
          <w:rFonts w:ascii="Verdana" w:hAnsi="Verdana" w:cstheme="minorHAnsi"/>
          <w:sz w:val="24"/>
          <w:szCs w:val="24"/>
        </w:rPr>
        <w:t>de 20 mil millones de pesos para proyectos de infraestructura social y 12 mil millones de pesos para proyectos de asistencia comunitaria y generación de ingresos, para atender necesidades de comunidades en</w:t>
      </w:r>
      <w:r w:rsidRPr="00B57E80">
        <w:rPr>
          <w:rFonts w:ascii="Verdana" w:hAnsi="Verdana" w:cstheme="minorHAnsi"/>
          <w:sz w:val="24"/>
          <w:szCs w:val="24"/>
        </w:rPr>
        <w:t xml:space="preserve"> municipios de la PNCRT, mediante la ejecución de 150 proyectos y el fortalecimiento de las capacidades de gestión y de toma de decisiones a las comunidades y organizaciones beneficiadas en los proyectos.</w:t>
      </w:r>
    </w:p>
    <w:p w:rsidR="00B722F2" w:rsidRPr="00B57E80" w:rsidRDefault="00B722F2" w:rsidP="00B722F2">
      <w:pPr>
        <w:pStyle w:val="Prrafodelista"/>
        <w:autoSpaceDE w:val="0"/>
        <w:autoSpaceDN w:val="0"/>
        <w:adjustRightInd w:val="0"/>
        <w:ind w:left="360"/>
        <w:jc w:val="both"/>
        <w:rPr>
          <w:rFonts w:ascii="Verdana" w:hAnsi="Verdana" w:cstheme="minorHAnsi"/>
          <w:sz w:val="24"/>
          <w:szCs w:val="24"/>
        </w:rPr>
      </w:pPr>
    </w:p>
    <w:p w:rsidR="00B722F2" w:rsidRPr="00B57E80" w:rsidRDefault="00B722F2" w:rsidP="00905C49">
      <w:pPr>
        <w:pStyle w:val="Prrafodelista"/>
        <w:numPr>
          <w:ilvl w:val="0"/>
          <w:numId w:val="90"/>
        </w:numPr>
        <w:autoSpaceDE w:val="0"/>
        <w:autoSpaceDN w:val="0"/>
        <w:adjustRightInd w:val="0"/>
        <w:spacing w:after="0" w:line="240" w:lineRule="auto"/>
        <w:jc w:val="both"/>
        <w:rPr>
          <w:rFonts w:ascii="Verdana" w:hAnsi="Verdana" w:cstheme="minorHAnsi"/>
          <w:sz w:val="24"/>
          <w:szCs w:val="24"/>
        </w:rPr>
      </w:pPr>
      <w:r w:rsidRPr="00B57E80">
        <w:rPr>
          <w:rFonts w:ascii="Verdana" w:hAnsi="Verdana" w:cstheme="minorHAnsi"/>
          <w:sz w:val="24"/>
          <w:szCs w:val="24"/>
        </w:rPr>
        <w:t xml:space="preserve">Es necesario realizar un proceso de formulación de nuevos planes de acción regional – PAR, alineados al Plan Nacional de Desarrollo 2014-2018. </w:t>
      </w:r>
    </w:p>
    <w:p w:rsidR="00B722F2" w:rsidRPr="00B57E80" w:rsidRDefault="00B722F2" w:rsidP="00B722F2">
      <w:pPr>
        <w:spacing w:after="0"/>
        <w:jc w:val="both"/>
        <w:rPr>
          <w:rFonts w:ascii="Verdana" w:hAnsi="Verdana" w:cs="Calibri"/>
          <w:sz w:val="24"/>
          <w:szCs w:val="24"/>
        </w:rPr>
      </w:pPr>
    </w:p>
    <w:p w:rsidR="00B722F2" w:rsidRPr="00B57E80" w:rsidRDefault="00B722F2" w:rsidP="00B722F2">
      <w:pPr>
        <w:spacing w:after="0"/>
        <w:jc w:val="both"/>
        <w:rPr>
          <w:rFonts w:ascii="Verdana" w:hAnsi="Verdana" w:cs="Calibri"/>
          <w:sz w:val="24"/>
          <w:szCs w:val="24"/>
        </w:rPr>
      </w:pPr>
    </w:p>
    <w:p w:rsidR="00B722F2" w:rsidRPr="00733405" w:rsidRDefault="00B722F2" w:rsidP="00E25E23">
      <w:pPr>
        <w:spacing w:after="0" w:line="240" w:lineRule="auto"/>
        <w:jc w:val="both"/>
        <w:rPr>
          <w:rFonts w:ascii="Verdana" w:hAnsi="Verdana"/>
          <w:color w:val="4F81BD" w:themeColor="accent1"/>
          <w:sz w:val="24"/>
          <w:szCs w:val="24"/>
        </w:rPr>
      </w:pPr>
      <w:r w:rsidRPr="00733405">
        <w:rPr>
          <w:rFonts w:ascii="Verdana" w:hAnsi="Verdana"/>
          <w:color w:val="4F81BD" w:themeColor="accent1"/>
          <w:sz w:val="24"/>
          <w:szCs w:val="24"/>
        </w:rPr>
        <w:t>FORTALECIMIENTO DE INSTANCIAS DE FORMULACIÓN DE POLÍTICA PÚBLICAS LOCALES A PARTIR DEL CONCEPTO DE LA PARTICIPACIÓN CIUDADANA</w:t>
      </w:r>
    </w:p>
    <w:p w:rsidR="00B722F2" w:rsidRPr="00B57E80" w:rsidRDefault="00B722F2" w:rsidP="00B722F2">
      <w:pPr>
        <w:pStyle w:val="Prrafodelista"/>
        <w:spacing w:after="0" w:line="240" w:lineRule="auto"/>
        <w:ind w:left="360"/>
        <w:rPr>
          <w:rFonts w:ascii="Verdana" w:hAnsi="Verdana" w:cstheme="minorHAnsi"/>
          <w:b/>
          <w:sz w:val="24"/>
          <w:szCs w:val="24"/>
        </w:rPr>
      </w:pPr>
    </w:p>
    <w:p w:rsidR="00B722F2" w:rsidRPr="00E25E23" w:rsidRDefault="00B722F2" w:rsidP="00E25E23">
      <w:pPr>
        <w:autoSpaceDE w:val="0"/>
        <w:autoSpaceDN w:val="0"/>
        <w:adjustRightInd w:val="0"/>
        <w:spacing w:after="0" w:line="240" w:lineRule="auto"/>
        <w:jc w:val="both"/>
        <w:rPr>
          <w:rFonts w:ascii="Verdana" w:hAnsi="Verdana" w:cstheme="minorHAnsi"/>
          <w:sz w:val="24"/>
          <w:szCs w:val="24"/>
        </w:rPr>
      </w:pPr>
      <w:r w:rsidRPr="00E25E23">
        <w:rPr>
          <w:rFonts w:ascii="Verdana" w:hAnsi="Verdana" w:cstheme="minorHAnsi"/>
          <w:sz w:val="24"/>
          <w:szCs w:val="24"/>
        </w:rPr>
        <w:t>A través del seguimiento y análisis de escenarios institucionales, conceptos y poblaciones afines a la Política nacional de Consolidación se elaboraron documentos sobre:</w:t>
      </w:r>
    </w:p>
    <w:p w:rsidR="00B722F2" w:rsidRPr="00B57E80" w:rsidRDefault="00B722F2" w:rsidP="00B722F2">
      <w:pPr>
        <w:pStyle w:val="Prrafodelista"/>
        <w:autoSpaceDE w:val="0"/>
        <w:autoSpaceDN w:val="0"/>
        <w:adjustRightInd w:val="0"/>
        <w:spacing w:after="0" w:line="240" w:lineRule="auto"/>
        <w:ind w:left="360"/>
        <w:jc w:val="both"/>
        <w:rPr>
          <w:rFonts w:ascii="Verdana" w:hAnsi="Verdana" w:cstheme="minorHAnsi"/>
          <w:sz w:val="24"/>
          <w:szCs w:val="24"/>
        </w:rPr>
      </w:pPr>
    </w:p>
    <w:p w:rsidR="00B722F2" w:rsidRPr="00E25E23" w:rsidRDefault="00B722F2" w:rsidP="00905C49">
      <w:pPr>
        <w:pStyle w:val="Prrafodelista"/>
        <w:numPr>
          <w:ilvl w:val="0"/>
          <w:numId w:val="108"/>
        </w:numPr>
        <w:spacing w:after="0" w:line="240" w:lineRule="auto"/>
        <w:ind w:left="426" w:hanging="426"/>
        <w:jc w:val="both"/>
        <w:rPr>
          <w:rFonts w:ascii="Verdana" w:hAnsi="Verdana" w:cs="Calibri"/>
          <w:sz w:val="24"/>
          <w:szCs w:val="24"/>
        </w:rPr>
      </w:pPr>
      <w:r w:rsidRPr="00E25E23">
        <w:rPr>
          <w:rFonts w:ascii="Verdana" w:hAnsi="Verdana" w:cs="Calibri"/>
          <w:sz w:val="24"/>
          <w:szCs w:val="24"/>
        </w:rPr>
        <w:t xml:space="preserve">Consejo Municipal de Política Social – COMPOS y Consejo Municipal de Desarrollo Rural - CMDR. Operatividad y recomendaciones </w:t>
      </w:r>
    </w:p>
    <w:p w:rsidR="00B722F2" w:rsidRPr="00E25E23" w:rsidRDefault="00B722F2" w:rsidP="00905C49">
      <w:pPr>
        <w:pStyle w:val="Prrafodelista"/>
        <w:numPr>
          <w:ilvl w:val="0"/>
          <w:numId w:val="108"/>
        </w:numPr>
        <w:spacing w:after="0" w:line="240" w:lineRule="auto"/>
        <w:ind w:left="426" w:hanging="426"/>
        <w:jc w:val="both"/>
        <w:rPr>
          <w:rFonts w:ascii="Verdana" w:hAnsi="Verdana" w:cs="Calibri"/>
          <w:sz w:val="24"/>
          <w:szCs w:val="24"/>
        </w:rPr>
      </w:pPr>
      <w:r w:rsidRPr="00E25E23">
        <w:rPr>
          <w:rFonts w:ascii="Verdana" w:hAnsi="Verdana" w:cs="Calibri"/>
          <w:sz w:val="24"/>
          <w:szCs w:val="24"/>
        </w:rPr>
        <w:t xml:space="preserve">Inclusión social e institucionalidad rural, una aproximación desde la Política Nacional de Consolidación y Reconstrucción Territorial. </w:t>
      </w:r>
    </w:p>
    <w:p w:rsidR="00B722F2" w:rsidRPr="00E25E23" w:rsidRDefault="00B722F2" w:rsidP="00905C49">
      <w:pPr>
        <w:pStyle w:val="Prrafodelista"/>
        <w:numPr>
          <w:ilvl w:val="0"/>
          <w:numId w:val="108"/>
        </w:numPr>
        <w:spacing w:after="0" w:line="240" w:lineRule="auto"/>
        <w:ind w:left="426" w:hanging="426"/>
        <w:jc w:val="both"/>
        <w:rPr>
          <w:rFonts w:ascii="Verdana" w:hAnsi="Verdana" w:cs="Calibri"/>
          <w:sz w:val="24"/>
          <w:szCs w:val="24"/>
        </w:rPr>
      </w:pPr>
      <w:r w:rsidRPr="00E25E23">
        <w:rPr>
          <w:rFonts w:ascii="Verdana" w:hAnsi="Verdana" w:cs="Calibri"/>
          <w:sz w:val="24"/>
          <w:szCs w:val="24"/>
        </w:rPr>
        <w:t xml:space="preserve">Lineamientos de la participación de las mujeres en el marco de la Política Nacional De Consolidación Y Reconstrucción Territorial – PNCRT. </w:t>
      </w:r>
    </w:p>
    <w:p w:rsidR="00B722F2" w:rsidRPr="00E25E23" w:rsidRDefault="00B722F2" w:rsidP="00905C49">
      <w:pPr>
        <w:pStyle w:val="Prrafodelista"/>
        <w:numPr>
          <w:ilvl w:val="0"/>
          <w:numId w:val="108"/>
        </w:numPr>
        <w:spacing w:after="0" w:line="240" w:lineRule="auto"/>
        <w:ind w:left="426" w:hanging="426"/>
        <w:jc w:val="both"/>
        <w:rPr>
          <w:rFonts w:ascii="Verdana" w:hAnsi="Verdana" w:cs="Calibri"/>
          <w:sz w:val="24"/>
          <w:szCs w:val="24"/>
        </w:rPr>
      </w:pPr>
      <w:r w:rsidRPr="00E25E23">
        <w:rPr>
          <w:rFonts w:ascii="Verdana" w:hAnsi="Verdana" w:cs="Calibri"/>
          <w:sz w:val="24"/>
          <w:szCs w:val="24"/>
        </w:rPr>
        <w:t xml:space="preserve">Organizaciones solidarias en el marco de la Política Nacional De Consolidación Y Reconstrucción Territorial - – PNCRT. </w:t>
      </w:r>
    </w:p>
    <w:p w:rsidR="00B722F2" w:rsidRPr="00B57E80" w:rsidRDefault="00B722F2" w:rsidP="00E25E23">
      <w:pPr>
        <w:spacing w:after="0" w:line="240" w:lineRule="auto"/>
        <w:ind w:left="426" w:hanging="426"/>
        <w:jc w:val="both"/>
        <w:rPr>
          <w:rFonts w:ascii="Verdana" w:hAnsi="Verdana" w:cs="Calibri"/>
          <w:sz w:val="24"/>
          <w:szCs w:val="24"/>
        </w:rPr>
      </w:pPr>
    </w:p>
    <w:p w:rsidR="00B722F2" w:rsidRDefault="00B722F2" w:rsidP="00B722F2">
      <w:pPr>
        <w:spacing w:after="0" w:line="240" w:lineRule="auto"/>
        <w:jc w:val="both"/>
        <w:rPr>
          <w:rFonts w:ascii="Verdana" w:hAnsi="Verdana" w:cs="Calibri"/>
          <w:sz w:val="24"/>
          <w:szCs w:val="24"/>
        </w:rPr>
      </w:pPr>
    </w:p>
    <w:p w:rsidR="008D4B99" w:rsidRPr="00B57E80" w:rsidRDefault="008D4B99" w:rsidP="00B722F2">
      <w:pPr>
        <w:spacing w:after="0" w:line="240" w:lineRule="auto"/>
        <w:jc w:val="both"/>
        <w:rPr>
          <w:rFonts w:ascii="Verdana" w:hAnsi="Verdana" w:cs="Calibri"/>
          <w:sz w:val="24"/>
          <w:szCs w:val="24"/>
        </w:rPr>
      </w:pPr>
    </w:p>
    <w:p w:rsidR="00B722F2" w:rsidRPr="00733405" w:rsidRDefault="00B722F2" w:rsidP="00E25E23">
      <w:pPr>
        <w:spacing w:after="0" w:line="240" w:lineRule="auto"/>
        <w:jc w:val="both"/>
        <w:rPr>
          <w:rFonts w:ascii="Verdana" w:hAnsi="Verdana"/>
          <w:color w:val="4F81BD" w:themeColor="accent1"/>
          <w:sz w:val="24"/>
          <w:szCs w:val="24"/>
        </w:rPr>
      </w:pPr>
      <w:r w:rsidRPr="00733405">
        <w:rPr>
          <w:rFonts w:ascii="Verdana" w:hAnsi="Verdana"/>
          <w:color w:val="4F81BD" w:themeColor="accent1"/>
          <w:sz w:val="24"/>
          <w:szCs w:val="24"/>
        </w:rPr>
        <w:t>PLANEACIÓN, GESTIÓN Y REALIZACIÓN DE EVENTOS DE DIRECCIONAMIENTO ESTRATÉGICO PARA EL FORTALECIMIENTO SUBSECTORES PRODUCTIVOS</w:t>
      </w:r>
    </w:p>
    <w:p w:rsidR="00B722F2" w:rsidRPr="00B57E80" w:rsidRDefault="00B722F2" w:rsidP="00B722F2">
      <w:pPr>
        <w:pStyle w:val="Prrafodelista"/>
        <w:ind w:left="360"/>
        <w:jc w:val="both"/>
        <w:rPr>
          <w:rFonts w:ascii="Verdana" w:hAnsi="Verdana" w:cs="Arial"/>
        </w:rPr>
      </w:pPr>
    </w:p>
    <w:p w:rsidR="00B722F2" w:rsidRPr="00E25E23" w:rsidRDefault="00B722F2" w:rsidP="00905C49">
      <w:pPr>
        <w:pStyle w:val="Prrafodelista"/>
        <w:numPr>
          <w:ilvl w:val="0"/>
          <w:numId w:val="109"/>
        </w:numPr>
        <w:spacing w:after="0" w:line="240" w:lineRule="auto"/>
        <w:ind w:left="426" w:hanging="426"/>
        <w:jc w:val="both"/>
        <w:rPr>
          <w:rFonts w:ascii="Verdana" w:hAnsi="Verdana" w:cs="Calibri"/>
          <w:sz w:val="24"/>
          <w:szCs w:val="24"/>
        </w:rPr>
      </w:pPr>
      <w:r w:rsidRPr="00E25E23">
        <w:rPr>
          <w:rFonts w:ascii="Verdana" w:hAnsi="Verdana" w:cs="Calibri"/>
          <w:sz w:val="24"/>
          <w:szCs w:val="24"/>
        </w:rPr>
        <w:t xml:space="preserve">Primer Seminario Binacional de Cacao para el fortalecimiento del subsector en el Departamento del Putumayo. </w:t>
      </w:r>
    </w:p>
    <w:p w:rsidR="00B722F2" w:rsidRPr="00E25E23" w:rsidRDefault="00B722F2" w:rsidP="00905C49">
      <w:pPr>
        <w:pStyle w:val="Prrafodelista"/>
        <w:numPr>
          <w:ilvl w:val="0"/>
          <w:numId w:val="109"/>
        </w:numPr>
        <w:spacing w:after="0" w:line="240" w:lineRule="auto"/>
        <w:ind w:left="426" w:hanging="426"/>
        <w:jc w:val="both"/>
        <w:rPr>
          <w:rFonts w:ascii="Verdana" w:hAnsi="Verdana" w:cs="Calibri"/>
          <w:sz w:val="24"/>
          <w:szCs w:val="24"/>
        </w:rPr>
      </w:pPr>
      <w:r w:rsidRPr="00E25E23">
        <w:rPr>
          <w:rFonts w:ascii="Verdana" w:hAnsi="Verdana" w:cs="Calibri"/>
          <w:sz w:val="24"/>
          <w:szCs w:val="24"/>
        </w:rPr>
        <w:t>Primer foro cauchero del Norte de Santander.</w:t>
      </w:r>
    </w:p>
    <w:p w:rsidR="00B722F2" w:rsidRPr="00E25E23" w:rsidRDefault="00B722F2" w:rsidP="00905C49">
      <w:pPr>
        <w:pStyle w:val="Prrafodelista"/>
        <w:numPr>
          <w:ilvl w:val="0"/>
          <w:numId w:val="109"/>
        </w:numPr>
        <w:spacing w:after="0" w:line="240" w:lineRule="auto"/>
        <w:ind w:left="426" w:hanging="426"/>
        <w:jc w:val="both"/>
        <w:rPr>
          <w:rFonts w:ascii="Verdana" w:hAnsi="Verdana" w:cs="Calibri"/>
          <w:sz w:val="24"/>
          <w:szCs w:val="24"/>
        </w:rPr>
      </w:pPr>
      <w:r w:rsidRPr="00E25E23">
        <w:rPr>
          <w:rFonts w:ascii="Verdana" w:hAnsi="Verdana" w:cs="Calibri"/>
          <w:sz w:val="24"/>
          <w:szCs w:val="24"/>
        </w:rPr>
        <w:t xml:space="preserve">Apoyo a la realización del Congreso Internacional Cauchero 2014 en el marco de direccionamiento de los procesos de fortalecimiento de las organizaciones de productores de las regiones de Consolidación Territorial. </w:t>
      </w:r>
    </w:p>
    <w:p w:rsidR="00B722F2" w:rsidRPr="00E25E23" w:rsidRDefault="00B722F2" w:rsidP="00905C49">
      <w:pPr>
        <w:pStyle w:val="Prrafodelista"/>
        <w:numPr>
          <w:ilvl w:val="0"/>
          <w:numId w:val="109"/>
        </w:numPr>
        <w:spacing w:after="0" w:line="240" w:lineRule="auto"/>
        <w:ind w:left="426" w:hanging="426"/>
        <w:jc w:val="both"/>
        <w:rPr>
          <w:rFonts w:ascii="Verdana" w:hAnsi="Verdana" w:cs="Calibri"/>
          <w:sz w:val="24"/>
          <w:szCs w:val="24"/>
        </w:rPr>
      </w:pPr>
      <w:r w:rsidRPr="00E25E23">
        <w:rPr>
          <w:rFonts w:ascii="Verdana" w:hAnsi="Verdana" w:cs="Calibri"/>
          <w:sz w:val="24"/>
          <w:szCs w:val="24"/>
        </w:rPr>
        <w:t>Foro Regional Cacaotero en el departamento de Córdoba.</w:t>
      </w:r>
    </w:p>
    <w:p w:rsidR="00B722F2" w:rsidRPr="00E25E23" w:rsidRDefault="00B722F2" w:rsidP="00905C49">
      <w:pPr>
        <w:pStyle w:val="Prrafodelista"/>
        <w:numPr>
          <w:ilvl w:val="0"/>
          <w:numId w:val="109"/>
        </w:numPr>
        <w:spacing w:after="0" w:line="240" w:lineRule="auto"/>
        <w:ind w:left="426" w:hanging="426"/>
        <w:jc w:val="both"/>
        <w:rPr>
          <w:rFonts w:ascii="Verdana" w:hAnsi="Verdana" w:cs="Calibri"/>
          <w:sz w:val="24"/>
          <w:szCs w:val="24"/>
        </w:rPr>
      </w:pPr>
      <w:r w:rsidRPr="00E25E23">
        <w:rPr>
          <w:rFonts w:ascii="Verdana" w:hAnsi="Verdana" w:cs="Calibri"/>
          <w:sz w:val="24"/>
          <w:szCs w:val="24"/>
        </w:rPr>
        <w:t>Foro Regional de Cacao en el departamento del Meta.</w:t>
      </w:r>
    </w:p>
    <w:p w:rsidR="00B722F2" w:rsidRPr="00E25E23" w:rsidRDefault="00B722F2" w:rsidP="00905C49">
      <w:pPr>
        <w:pStyle w:val="Prrafodelista"/>
        <w:numPr>
          <w:ilvl w:val="0"/>
          <w:numId w:val="109"/>
        </w:numPr>
        <w:spacing w:after="0" w:line="240" w:lineRule="auto"/>
        <w:ind w:left="426" w:hanging="426"/>
        <w:jc w:val="both"/>
        <w:rPr>
          <w:rFonts w:ascii="Verdana" w:hAnsi="Verdana" w:cs="Calibri"/>
          <w:sz w:val="24"/>
          <w:szCs w:val="24"/>
        </w:rPr>
      </w:pPr>
      <w:r w:rsidRPr="00E25E23">
        <w:rPr>
          <w:rFonts w:ascii="Verdana" w:hAnsi="Verdana" w:cs="Calibri"/>
          <w:sz w:val="24"/>
          <w:szCs w:val="24"/>
        </w:rPr>
        <w:t>Seminario Regional de Piscicultura realizado en Villa Garzón Putumayo.</w:t>
      </w:r>
    </w:p>
    <w:p w:rsidR="00B722F2" w:rsidRPr="00E25E23" w:rsidRDefault="00B722F2" w:rsidP="00905C49">
      <w:pPr>
        <w:pStyle w:val="Prrafodelista"/>
        <w:numPr>
          <w:ilvl w:val="0"/>
          <w:numId w:val="109"/>
        </w:numPr>
        <w:spacing w:after="0" w:line="240" w:lineRule="auto"/>
        <w:ind w:left="426" w:hanging="426"/>
        <w:jc w:val="both"/>
        <w:rPr>
          <w:rFonts w:ascii="Verdana" w:hAnsi="Verdana" w:cs="Calibri"/>
          <w:sz w:val="24"/>
          <w:szCs w:val="24"/>
        </w:rPr>
      </w:pPr>
      <w:r w:rsidRPr="00E25E23">
        <w:rPr>
          <w:rFonts w:ascii="Verdana" w:hAnsi="Verdana" w:cs="Calibri"/>
          <w:sz w:val="24"/>
          <w:szCs w:val="24"/>
        </w:rPr>
        <w:t>Primer Foro Internacional sobre la Pesca, Acuicultura y Maricultura como Alternativa de Desarrollo Económico en el Pacífico.</w:t>
      </w:r>
    </w:p>
    <w:p w:rsidR="00B722F2" w:rsidRPr="00B57E80" w:rsidRDefault="00B722F2" w:rsidP="00B722F2">
      <w:pPr>
        <w:jc w:val="both"/>
        <w:rPr>
          <w:rFonts w:ascii="Verdana" w:hAnsi="Verdana" w:cs="Calibri"/>
          <w:sz w:val="24"/>
          <w:szCs w:val="24"/>
        </w:rPr>
      </w:pPr>
    </w:p>
    <w:p w:rsidR="00B722F2" w:rsidRPr="00733405" w:rsidRDefault="00B722F2" w:rsidP="00E25E23">
      <w:pPr>
        <w:spacing w:after="0" w:line="240" w:lineRule="auto"/>
        <w:jc w:val="both"/>
        <w:rPr>
          <w:rFonts w:ascii="Verdana" w:hAnsi="Verdana"/>
          <w:color w:val="4F81BD" w:themeColor="accent1"/>
          <w:sz w:val="24"/>
          <w:szCs w:val="24"/>
        </w:rPr>
      </w:pPr>
      <w:r w:rsidRPr="00733405">
        <w:rPr>
          <w:rFonts w:ascii="Verdana" w:hAnsi="Verdana"/>
          <w:color w:val="4F81BD" w:themeColor="accent1"/>
          <w:sz w:val="24"/>
          <w:szCs w:val="24"/>
        </w:rPr>
        <w:t>COMPLEMENTO A LA ESTRATEGIA DE GENERACIÓN DE CONFIANZA</w:t>
      </w:r>
    </w:p>
    <w:p w:rsidR="00B722F2" w:rsidRPr="00B57E80" w:rsidRDefault="00B722F2" w:rsidP="00B722F2">
      <w:pPr>
        <w:spacing w:after="0" w:line="240" w:lineRule="auto"/>
        <w:jc w:val="both"/>
        <w:rPr>
          <w:rFonts w:ascii="Verdana" w:hAnsi="Verdana" w:cs="Arial"/>
          <w:sz w:val="24"/>
          <w:szCs w:val="24"/>
        </w:rPr>
      </w:pPr>
    </w:p>
    <w:p w:rsidR="00B722F2" w:rsidRPr="00B57E80" w:rsidRDefault="00B722F2" w:rsidP="00905C49">
      <w:pPr>
        <w:pStyle w:val="Prrafodelista"/>
        <w:numPr>
          <w:ilvl w:val="0"/>
          <w:numId w:val="90"/>
        </w:numPr>
        <w:autoSpaceDE w:val="0"/>
        <w:autoSpaceDN w:val="0"/>
        <w:adjustRightInd w:val="0"/>
        <w:spacing w:after="0" w:line="240" w:lineRule="auto"/>
        <w:jc w:val="both"/>
        <w:rPr>
          <w:rFonts w:ascii="Verdana" w:hAnsi="Verdana" w:cstheme="minorHAnsi"/>
          <w:sz w:val="24"/>
          <w:szCs w:val="24"/>
        </w:rPr>
      </w:pPr>
      <w:r w:rsidRPr="00B57E80">
        <w:rPr>
          <w:rFonts w:ascii="Verdana" w:hAnsi="Verdana" w:cstheme="minorHAnsi"/>
          <w:sz w:val="24"/>
          <w:szCs w:val="24"/>
        </w:rPr>
        <w:t>Seguimiento y apoyo a gestión al Convenio 052 suscrito entre la UACT y DPS “Programa Activos para la Prosperidad” para la entrega de los mismos con el fin de fortalecer y complementar la oferta pública social que la Unidad moviliza a las regiones de consolidación, en el marco de la estrategia de Generación de Confianza Comunidad – Estado, a Diciembre de 2014 se movilizaron 3´257.359.995  millones de pesos en activos entregados en las diferentes Jornadas de Apoyo al Desarrollo adelantadas en las zonas focalizadas por la PNCRT.</w:t>
      </w:r>
    </w:p>
    <w:p w:rsidR="00B722F2" w:rsidRPr="00B57E80" w:rsidRDefault="00B722F2" w:rsidP="00B722F2">
      <w:pPr>
        <w:spacing w:after="0" w:line="240" w:lineRule="auto"/>
        <w:jc w:val="both"/>
        <w:rPr>
          <w:rFonts w:ascii="Verdana" w:hAnsi="Verdana"/>
          <w:sz w:val="24"/>
          <w:szCs w:val="24"/>
        </w:rPr>
      </w:pPr>
    </w:p>
    <w:p w:rsidR="00B722F2" w:rsidRPr="00B57E80" w:rsidRDefault="00B722F2" w:rsidP="00B722F2">
      <w:pPr>
        <w:spacing w:after="0" w:line="240" w:lineRule="auto"/>
        <w:jc w:val="both"/>
        <w:rPr>
          <w:rFonts w:ascii="Verdana" w:hAnsi="Verdana"/>
          <w:b/>
          <w:sz w:val="24"/>
          <w:szCs w:val="24"/>
        </w:rPr>
      </w:pPr>
    </w:p>
    <w:p w:rsidR="00B722F2" w:rsidRPr="00E25E23" w:rsidRDefault="00581D8C" w:rsidP="00B722F2">
      <w:pPr>
        <w:spacing w:after="0" w:line="240" w:lineRule="auto"/>
        <w:jc w:val="both"/>
        <w:rPr>
          <w:rFonts w:ascii="Verdana" w:hAnsi="Verdana"/>
          <w:b/>
          <w:color w:val="4F81BD" w:themeColor="accent1"/>
          <w:sz w:val="28"/>
          <w:szCs w:val="24"/>
        </w:rPr>
      </w:pPr>
      <w:r w:rsidRPr="00581D8C">
        <w:rPr>
          <w:rFonts w:ascii="Verdana" w:hAnsi="Verdana"/>
          <w:b/>
          <w:noProof/>
          <w:color w:val="4F81BD" w:themeColor="accent1"/>
          <w:sz w:val="28"/>
          <w:szCs w:val="24"/>
          <w:lang w:eastAsia="es-CO"/>
        </w:rPr>
        <w:drawing>
          <wp:inline distT="0" distB="0" distL="0" distR="0">
            <wp:extent cx="216024" cy="216024"/>
            <wp:effectExtent l="19050" t="0" r="0" b="0"/>
            <wp:docPr id="483" name="Objeto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6300192" y="4869160"/>
                      <a:chExt cx="216024" cy="216024"/>
                    </a:xfrm>
                  </a:grpSpPr>
                  <a:sp>
                    <a:nvSpPr>
                      <a:cNvPr id="42" name="41 Rectángulo redondeado"/>
                      <a:cNvSpPr/>
                    </a:nvSpPr>
                    <a:spPr>
                      <a:xfrm>
                        <a:off x="6300192" y="4869160"/>
                        <a:ext cx="216024" cy="216024"/>
                      </a:xfrm>
                      <a:prstGeom prst="roundRect">
                        <a:avLst/>
                      </a:prstGeom>
                      <a:gradFill flip="none" rotWithShape="1">
                        <a:gsLst>
                          <a:gs pos="0">
                            <a:schemeClr val="bg1">
                              <a:lumMod val="65000"/>
                              <a:shade val="30000"/>
                              <a:satMod val="115000"/>
                            </a:schemeClr>
                          </a:gs>
                          <a:gs pos="50000">
                            <a:schemeClr val="bg1">
                              <a:lumMod val="65000"/>
                              <a:shade val="67500"/>
                              <a:satMod val="115000"/>
                            </a:schemeClr>
                          </a:gs>
                          <a:gs pos="100000">
                            <a:schemeClr val="bg1">
                              <a:lumMod val="65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hAnsi="Verdana"/>
          <w:b/>
          <w:color w:val="4F81BD" w:themeColor="accent1"/>
          <w:sz w:val="28"/>
          <w:szCs w:val="24"/>
        </w:rPr>
        <w:t xml:space="preserve">  </w:t>
      </w:r>
      <w:r w:rsidR="00B722F2" w:rsidRPr="00E25E23">
        <w:rPr>
          <w:rFonts w:ascii="Verdana" w:hAnsi="Verdana"/>
          <w:b/>
          <w:color w:val="4F81BD" w:themeColor="accent1"/>
          <w:sz w:val="28"/>
          <w:szCs w:val="24"/>
        </w:rPr>
        <w:t>INFORMES DE LOS ENTES DE CO</w:t>
      </w:r>
      <w:r w:rsidR="00E25E23" w:rsidRPr="00E25E23">
        <w:rPr>
          <w:rFonts w:ascii="Verdana" w:hAnsi="Verdana"/>
          <w:b/>
          <w:color w:val="4F81BD" w:themeColor="accent1"/>
          <w:sz w:val="28"/>
          <w:szCs w:val="24"/>
        </w:rPr>
        <w:t>NTROL QUE VIGILAN A LA ENTIDAD</w:t>
      </w:r>
    </w:p>
    <w:p w:rsidR="00B722F2" w:rsidRDefault="00B722F2" w:rsidP="00B722F2">
      <w:pPr>
        <w:spacing w:after="0" w:line="240" w:lineRule="auto"/>
        <w:jc w:val="both"/>
        <w:rPr>
          <w:rFonts w:ascii="Verdana" w:hAnsi="Verdana"/>
          <w:sz w:val="24"/>
          <w:szCs w:val="24"/>
        </w:rPr>
      </w:pPr>
    </w:p>
    <w:p w:rsidR="00E25E23" w:rsidRPr="00B57E80" w:rsidRDefault="00E25E23" w:rsidP="00B722F2">
      <w:pPr>
        <w:spacing w:after="0" w:line="240" w:lineRule="auto"/>
        <w:jc w:val="both"/>
        <w:rPr>
          <w:rFonts w:ascii="Verdana" w:hAnsi="Verdana"/>
          <w:sz w:val="24"/>
          <w:szCs w:val="24"/>
        </w:rPr>
      </w:pPr>
    </w:p>
    <w:p w:rsidR="00B722F2" w:rsidRPr="00E25E23" w:rsidRDefault="00B722F2" w:rsidP="00B722F2">
      <w:pPr>
        <w:pStyle w:val="Prrafodelista"/>
        <w:spacing w:after="0" w:line="240" w:lineRule="auto"/>
        <w:ind w:left="0"/>
        <w:jc w:val="both"/>
        <w:rPr>
          <w:rFonts w:ascii="Verdana" w:hAnsi="Verdana"/>
          <w:sz w:val="24"/>
          <w:szCs w:val="24"/>
        </w:rPr>
      </w:pPr>
      <w:r w:rsidRPr="00E25E23">
        <w:rPr>
          <w:rFonts w:ascii="Verdana" w:hAnsi="Verdana"/>
          <w:sz w:val="24"/>
          <w:szCs w:val="24"/>
        </w:rPr>
        <w:t>ENTE DE CONTROL: ARCHIVO GENERAL DE LA NACIÓN</w:t>
      </w:r>
    </w:p>
    <w:p w:rsidR="00B722F2" w:rsidRPr="00B57E80" w:rsidRDefault="00B722F2" w:rsidP="00B722F2">
      <w:pPr>
        <w:pStyle w:val="Prrafodelista"/>
        <w:spacing w:after="0" w:line="240" w:lineRule="auto"/>
        <w:jc w:val="both"/>
        <w:rPr>
          <w:rFonts w:ascii="Verdana" w:hAnsi="Verdana"/>
          <w:sz w:val="24"/>
          <w:szCs w:val="24"/>
        </w:rPr>
      </w:pPr>
    </w:p>
    <w:p w:rsidR="00B722F2" w:rsidRPr="00B57E80" w:rsidRDefault="00B722F2" w:rsidP="00B722F2">
      <w:pPr>
        <w:spacing w:after="0" w:line="240" w:lineRule="auto"/>
        <w:jc w:val="both"/>
        <w:rPr>
          <w:rFonts w:ascii="Verdana" w:hAnsi="Verdana"/>
          <w:sz w:val="24"/>
          <w:szCs w:val="24"/>
        </w:rPr>
      </w:pPr>
      <w:r w:rsidRPr="00B57E80">
        <w:rPr>
          <w:rFonts w:ascii="Verdana" w:hAnsi="Verdana"/>
          <w:sz w:val="24"/>
          <w:szCs w:val="24"/>
        </w:rPr>
        <w:t>En la vigencia 2014 se realizó visita de Inspección, Control y Vigilancia, por parte del Archivo General de la Nación con el objetivo de verificar el estado de la Gestión Documental en la Entidad.</w:t>
      </w:r>
    </w:p>
    <w:p w:rsidR="00B722F2" w:rsidRPr="00B57E80" w:rsidRDefault="00B722F2" w:rsidP="00B722F2">
      <w:pPr>
        <w:pStyle w:val="Prrafodelista"/>
        <w:spacing w:after="0" w:line="240" w:lineRule="auto"/>
        <w:jc w:val="both"/>
        <w:rPr>
          <w:rFonts w:ascii="Verdana" w:hAnsi="Verdana"/>
          <w:sz w:val="24"/>
          <w:szCs w:val="24"/>
        </w:rPr>
      </w:pPr>
    </w:p>
    <w:p w:rsidR="00B722F2" w:rsidRPr="00B57E80" w:rsidRDefault="00B722F2" w:rsidP="00B722F2">
      <w:pPr>
        <w:spacing w:after="0" w:line="240" w:lineRule="auto"/>
        <w:jc w:val="both"/>
        <w:rPr>
          <w:rFonts w:ascii="Verdana" w:hAnsi="Verdana"/>
          <w:sz w:val="24"/>
          <w:szCs w:val="24"/>
        </w:rPr>
      </w:pPr>
      <w:r w:rsidRPr="00B57E80">
        <w:rPr>
          <w:rFonts w:ascii="Verdana" w:hAnsi="Verdana"/>
          <w:sz w:val="24"/>
          <w:szCs w:val="24"/>
        </w:rPr>
        <w:t>En desarrollo de la presente visita de Inspección, Control y Vigilancia se establecieron 7 hallazgos, para su cumplimiento se propuso la realización de 27 tareas. Para el 2014 se programó la ejecución de 18 tareas las cuales con corte 31/12/2014 se cumplieron al 100% y el Plan de Mejoramiento presenta un avance acumulado del 46%.</w:t>
      </w:r>
    </w:p>
    <w:p w:rsidR="00B722F2" w:rsidRPr="00B57E80" w:rsidRDefault="00B722F2" w:rsidP="00B722F2">
      <w:pPr>
        <w:spacing w:after="0" w:line="240" w:lineRule="auto"/>
        <w:jc w:val="both"/>
        <w:rPr>
          <w:rFonts w:ascii="Verdana" w:hAnsi="Verdana"/>
          <w:sz w:val="24"/>
          <w:szCs w:val="24"/>
        </w:rPr>
      </w:pPr>
    </w:p>
    <w:p w:rsidR="00B722F2" w:rsidRPr="00B57E80" w:rsidRDefault="00B722F2" w:rsidP="00B722F2">
      <w:pPr>
        <w:spacing w:after="0" w:line="240" w:lineRule="auto"/>
        <w:jc w:val="both"/>
        <w:rPr>
          <w:rFonts w:ascii="Verdana" w:hAnsi="Verdana"/>
          <w:sz w:val="24"/>
          <w:szCs w:val="24"/>
        </w:rPr>
      </w:pPr>
      <w:r w:rsidRPr="00B57E80">
        <w:rPr>
          <w:rFonts w:ascii="Verdana" w:hAnsi="Verdana"/>
          <w:sz w:val="24"/>
          <w:szCs w:val="24"/>
        </w:rPr>
        <w:t>Durante la vigencia 2014 no se realizó auditoria por parte de la Contraloría General de la República.</w:t>
      </w:r>
    </w:p>
    <w:p w:rsidR="00B722F2" w:rsidRPr="00B57E80" w:rsidRDefault="00B722F2" w:rsidP="00B722F2">
      <w:pPr>
        <w:spacing w:after="0" w:line="240" w:lineRule="auto"/>
        <w:jc w:val="both"/>
        <w:rPr>
          <w:rFonts w:ascii="Verdana" w:hAnsi="Verdana"/>
          <w:sz w:val="24"/>
          <w:szCs w:val="24"/>
        </w:rPr>
      </w:pPr>
    </w:p>
    <w:p w:rsidR="00B722F2" w:rsidRPr="00B57E80" w:rsidRDefault="00B722F2" w:rsidP="00B722F2">
      <w:pPr>
        <w:spacing w:after="0" w:line="240" w:lineRule="auto"/>
        <w:jc w:val="both"/>
        <w:rPr>
          <w:rFonts w:ascii="Verdana" w:hAnsi="Verdana"/>
          <w:sz w:val="24"/>
          <w:szCs w:val="24"/>
        </w:rPr>
      </w:pPr>
      <w:r w:rsidRPr="00B57E80">
        <w:rPr>
          <w:rFonts w:ascii="Verdana" w:hAnsi="Verdana"/>
          <w:sz w:val="24"/>
          <w:szCs w:val="24"/>
        </w:rPr>
        <w:t>La Unidad en cabeza del GITCI presentó los siguientes informes en la vigencia 2014 así:</w:t>
      </w:r>
    </w:p>
    <w:p w:rsidR="00B722F2" w:rsidRPr="00B57E80" w:rsidRDefault="00B722F2" w:rsidP="00B722F2">
      <w:pPr>
        <w:pStyle w:val="Prrafodelista"/>
        <w:spacing w:after="0" w:line="240" w:lineRule="auto"/>
        <w:jc w:val="both"/>
        <w:rPr>
          <w:rFonts w:ascii="Verdana" w:hAnsi="Verdana"/>
          <w:sz w:val="24"/>
          <w:szCs w:val="24"/>
        </w:rPr>
      </w:pPr>
    </w:p>
    <w:tbl>
      <w:tblPr>
        <w:tblW w:w="5000" w:type="pct"/>
        <w:jc w:val="center"/>
        <w:tblLayout w:type="fixed"/>
        <w:tblCellMar>
          <w:left w:w="70" w:type="dxa"/>
          <w:right w:w="70" w:type="dxa"/>
        </w:tblCellMar>
        <w:tblLook w:val="04A0"/>
      </w:tblPr>
      <w:tblGrid>
        <w:gridCol w:w="3794"/>
        <w:gridCol w:w="5207"/>
        <w:gridCol w:w="1165"/>
      </w:tblGrid>
      <w:tr w:rsidR="00B722F2" w:rsidRPr="00B57E80" w:rsidTr="00581D8C">
        <w:trPr>
          <w:trHeight w:val="300"/>
          <w:jc w:val="center"/>
        </w:trPr>
        <w:tc>
          <w:tcPr>
            <w:tcW w:w="1866" w:type="pct"/>
            <w:tcBorders>
              <w:top w:val="nil"/>
              <w:left w:val="nil"/>
              <w:bottom w:val="single" w:sz="12" w:space="0" w:color="FFFFFF"/>
              <w:right w:val="single" w:sz="4" w:space="0" w:color="FFFFFF"/>
            </w:tcBorders>
            <w:shd w:val="clear" w:color="4F81BD" w:fill="4F81BD"/>
            <w:noWrap/>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ENTE DE CONTROL</w:t>
            </w:r>
          </w:p>
        </w:tc>
        <w:tc>
          <w:tcPr>
            <w:tcW w:w="2561" w:type="pct"/>
            <w:tcBorders>
              <w:top w:val="nil"/>
              <w:left w:val="single" w:sz="4" w:space="0" w:color="FFFFFF"/>
              <w:bottom w:val="single" w:sz="12" w:space="0" w:color="FFFFFF"/>
              <w:right w:val="single" w:sz="4" w:space="0" w:color="FFFFFF"/>
            </w:tcBorders>
            <w:shd w:val="clear" w:color="4F81BD" w:fill="4F81BD"/>
            <w:noWrap/>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INFORME</w:t>
            </w:r>
          </w:p>
        </w:tc>
        <w:tc>
          <w:tcPr>
            <w:tcW w:w="573" w:type="pct"/>
            <w:tcBorders>
              <w:top w:val="nil"/>
              <w:left w:val="single" w:sz="4" w:space="0" w:color="FFFFFF"/>
              <w:bottom w:val="single" w:sz="12" w:space="0" w:color="FFFFFF"/>
              <w:right w:val="single" w:sz="4" w:space="0" w:color="FFFFFF"/>
            </w:tcBorders>
            <w:shd w:val="clear" w:color="4F81BD" w:fill="4F81BD"/>
            <w:noWrap/>
            <w:vAlign w:val="center"/>
            <w:hideMark/>
          </w:tcPr>
          <w:p w:rsidR="00B722F2" w:rsidRPr="00B57E80" w:rsidRDefault="00B722F2" w:rsidP="00B722F2">
            <w:pPr>
              <w:spacing w:after="0" w:line="240" w:lineRule="auto"/>
              <w:jc w:val="center"/>
              <w:rPr>
                <w:rFonts w:ascii="Verdana" w:eastAsia="Times New Roman" w:hAnsi="Verdana" w:cs="Times New Roman"/>
                <w:b/>
                <w:bCs/>
                <w:color w:val="FFFFFF"/>
                <w:sz w:val="16"/>
                <w:szCs w:val="16"/>
                <w:lang w:eastAsia="es-CO"/>
              </w:rPr>
            </w:pPr>
            <w:r w:rsidRPr="00B57E80">
              <w:rPr>
                <w:rFonts w:ascii="Verdana" w:eastAsia="Times New Roman" w:hAnsi="Verdana" w:cs="Times New Roman"/>
                <w:b/>
                <w:bCs/>
                <w:color w:val="FFFFFF"/>
                <w:sz w:val="16"/>
                <w:szCs w:val="16"/>
                <w:lang w:eastAsia="es-CO"/>
              </w:rPr>
              <w:t>PERIODO</w:t>
            </w:r>
          </w:p>
        </w:tc>
      </w:tr>
      <w:tr w:rsidR="00B722F2" w:rsidRPr="00B57E80" w:rsidTr="00581D8C">
        <w:trPr>
          <w:trHeight w:val="300"/>
          <w:jc w:val="center"/>
        </w:trPr>
        <w:tc>
          <w:tcPr>
            <w:tcW w:w="1866" w:type="pct"/>
            <w:vMerge w:val="restart"/>
            <w:tcBorders>
              <w:top w:val="single" w:sz="4" w:space="0" w:color="FFFFFF"/>
              <w:left w:val="nil"/>
              <w:right w:val="single" w:sz="4" w:space="0" w:color="FFFFFF"/>
            </w:tcBorders>
            <w:shd w:val="clear" w:color="B8CCE4" w:fill="B8CCE4"/>
            <w:noWrap/>
            <w:vAlign w:val="center"/>
            <w:hideMark/>
          </w:tcPr>
          <w:p w:rsidR="00B722F2" w:rsidRPr="00581D8C" w:rsidRDefault="00B722F2" w:rsidP="00B722F2">
            <w:pPr>
              <w:spacing w:after="0" w:line="240" w:lineRule="auto"/>
              <w:jc w:val="center"/>
              <w:rPr>
                <w:rFonts w:ascii="Verdana" w:eastAsia="Times New Roman" w:hAnsi="Verdana" w:cs="Times New Roman"/>
                <w:bCs/>
                <w:color w:val="FFFFFF"/>
                <w:sz w:val="16"/>
                <w:szCs w:val="16"/>
                <w:lang w:eastAsia="es-CO"/>
              </w:rPr>
            </w:pPr>
            <w:r w:rsidRPr="00581D8C">
              <w:rPr>
                <w:rFonts w:ascii="Verdana" w:eastAsia="Times New Roman" w:hAnsi="Verdana" w:cs="Times New Roman"/>
                <w:sz w:val="16"/>
                <w:szCs w:val="16"/>
                <w:lang w:eastAsia="es-CO"/>
              </w:rPr>
              <w:t>CONTRALORÍA GENERAL DE LA REPUBLICA</w:t>
            </w:r>
          </w:p>
        </w:tc>
        <w:tc>
          <w:tcPr>
            <w:tcW w:w="2561" w:type="pct"/>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722F2" w:rsidRPr="00B57E80" w:rsidRDefault="00B722F2" w:rsidP="00B722F2">
            <w:pPr>
              <w:spacing w:after="0" w:line="240" w:lineRule="auto"/>
              <w:jc w:val="center"/>
              <w:rPr>
                <w:rFonts w:ascii="Verdana" w:eastAsia="Times New Roman" w:hAnsi="Verdana" w:cs="Times New Roman"/>
                <w:sz w:val="16"/>
                <w:szCs w:val="16"/>
                <w:lang w:eastAsia="es-CO"/>
              </w:rPr>
            </w:pPr>
            <w:r w:rsidRPr="00B57E80">
              <w:rPr>
                <w:rFonts w:ascii="Verdana" w:eastAsia="Times New Roman" w:hAnsi="Verdana" w:cs="Times New Roman"/>
                <w:sz w:val="16"/>
                <w:szCs w:val="16"/>
                <w:lang w:eastAsia="es-CO"/>
              </w:rPr>
              <w:t>Informe Rendición de Cuentas Fiscal - 2013</w:t>
            </w:r>
          </w:p>
        </w:tc>
        <w:tc>
          <w:tcPr>
            <w:tcW w:w="573" w:type="pct"/>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722F2" w:rsidRPr="00B57E80" w:rsidRDefault="00B722F2" w:rsidP="00B722F2">
            <w:pPr>
              <w:spacing w:after="0" w:line="240" w:lineRule="auto"/>
              <w:jc w:val="center"/>
              <w:rPr>
                <w:rFonts w:ascii="Verdana" w:eastAsia="Times New Roman" w:hAnsi="Verdana" w:cs="Times New Roman"/>
                <w:sz w:val="16"/>
                <w:szCs w:val="16"/>
                <w:lang w:eastAsia="es-CO"/>
              </w:rPr>
            </w:pPr>
            <w:r w:rsidRPr="00B57E80">
              <w:rPr>
                <w:rFonts w:ascii="Verdana" w:eastAsia="Times New Roman" w:hAnsi="Verdana" w:cs="Times New Roman"/>
                <w:sz w:val="16"/>
                <w:szCs w:val="16"/>
                <w:lang w:eastAsia="es-CO"/>
              </w:rPr>
              <w:t>Anual</w:t>
            </w:r>
          </w:p>
        </w:tc>
      </w:tr>
      <w:tr w:rsidR="00B722F2" w:rsidRPr="00B57E80" w:rsidTr="00581D8C">
        <w:trPr>
          <w:trHeight w:val="300"/>
          <w:jc w:val="center"/>
        </w:trPr>
        <w:tc>
          <w:tcPr>
            <w:tcW w:w="1866" w:type="pct"/>
            <w:vMerge/>
            <w:tcBorders>
              <w:left w:val="nil"/>
              <w:right w:val="single" w:sz="4" w:space="0" w:color="FFFFFF"/>
            </w:tcBorders>
            <w:shd w:val="clear" w:color="DCE6F1" w:fill="DCE6F1"/>
            <w:noWrap/>
            <w:vAlign w:val="bottom"/>
            <w:hideMark/>
          </w:tcPr>
          <w:p w:rsidR="00B722F2" w:rsidRPr="00581D8C" w:rsidRDefault="00B722F2" w:rsidP="00B722F2">
            <w:pPr>
              <w:spacing w:after="0" w:line="240" w:lineRule="auto"/>
              <w:rPr>
                <w:rFonts w:ascii="Verdana" w:eastAsia="Times New Roman" w:hAnsi="Verdana" w:cs="Times New Roman"/>
                <w:sz w:val="20"/>
                <w:szCs w:val="20"/>
                <w:lang w:eastAsia="es-CO"/>
              </w:rPr>
            </w:pPr>
          </w:p>
        </w:tc>
        <w:tc>
          <w:tcPr>
            <w:tcW w:w="2561" w:type="pct"/>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722F2" w:rsidRPr="00B57E80" w:rsidRDefault="00B722F2" w:rsidP="00B722F2">
            <w:pPr>
              <w:spacing w:after="0" w:line="240" w:lineRule="auto"/>
              <w:jc w:val="center"/>
              <w:rPr>
                <w:rFonts w:ascii="Verdana" w:eastAsia="Times New Roman" w:hAnsi="Verdana" w:cs="Times New Roman"/>
                <w:sz w:val="16"/>
                <w:szCs w:val="16"/>
                <w:lang w:eastAsia="es-CO"/>
              </w:rPr>
            </w:pPr>
            <w:r w:rsidRPr="00B57E80">
              <w:rPr>
                <w:rFonts w:ascii="Verdana" w:eastAsia="Times New Roman" w:hAnsi="Verdana" w:cs="Times New Roman"/>
                <w:sz w:val="16"/>
                <w:szCs w:val="16"/>
                <w:lang w:eastAsia="es-CO"/>
              </w:rPr>
              <w:t>Información de Personal y Costos -2013</w:t>
            </w:r>
          </w:p>
        </w:tc>
        <w:tc>
          <w:tcPr>
            <w:tcW w:w="573" w:type="pct"/>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722F2" w:rsidRPr="00B57E80" w:rsidRDefault="00B722F2" w:rsidP="00B722F2">
            <w:pPr>
              <w:spacing w:after="0" w:line="240" w:lineRule="auto"/>
              <w:jc w:val="center"/>
              <w:rPr>
                <w:rFonts w:ascii="Verdana" w:eastAsia="Times New Roman" w:hAnsi="Verdana" w:cs="Times New Roman"/>
                <w:sz w:val="16"/>
                <w:szCs w:val="16"/>
                <w:lang w:eastAsia="es-CO"/>
              </w:rPr>
            </w:pPr>
            <w:r w:rsidRPr="00B57E80">
              <w:rPr>
                <w:rFonts w:ascii="Verdana" w:eastAsia="Times New Roman" w:hAnsi="Verdana" w:cs="Times New Roman"/>
                <w:sz w:val="16"/>
                <w:szCs w:val="16"/>
                <w:lang w:eastAsia="es-CO"/>
              </w:rPr>
              <w:t>Anual</w:t>
            </w:r>
          </w:p>
        </w:tc>
      </w:tr>
      <w:tr w:rsidR="00B722F2" w:rsidRPr="00B57E80" w:rsidTr="00581D8C">
        <w:trPr>
          <w:trHeight w:val="300"/>
          <w:jc w:val="center"/>
        </w:trPr>
        <w:tc>
          <w:tcPr>
            <w:tcW w:w="1866" w:type="pct"/>
            <w:vMerge/>
            <w:tcBorders>
              <w:left w:val="nil"/>
              <w:right w:val="single" w:sz="4" w:space="0" w:color="FFFFFF"/>
            </w:tcBorders>
            <w:shd w:val="clear" w:color="B8CCE4" w:fill="B8CCE4"/>
            <w:noWrap/>
            <w:vAlign w:val="bottom"/>
            <w:hideMark/>
          </w:tcPr>
          <w:p w:rsidR="00B722F2" w:rsidRPr="00581D8C" w:rsidRDefault="00B722F2" w:rsidP="00B722F2">
            <w:pPr>
              <w:spacing w:after="0" w:line="240" w:lineRule="auto"/>
              <w:rPr>
                <w:rFonts w:ascii="Verdana" w:eastAsia="Times New Roman" w:hAnsi="Verdana" w:cs="Times New Roman"/>
                <w:sz w:val="20"/>
                <w:szCs w:val="20"/>
                <w:lang w:eastAsia="es-CO"/>
              </w:rPr>
            </w:pPr>
          </w:p>
        </w:tc>
        <w:tc>
          <w:tcPr>
            <w:tcW w:w="2561" w:type="pct"/>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722F2" w:rsidRPr="00B57E80" w:rsidRDefault="00B722F2" w:rsidP="00B722F2">
            <w:pPr>
              <w:spacing w:after="0" w:line="240" w:lineRule="auto"/>
              <w:jc w:val="center"/>
              <w:rPr>
                <w:rFonts w:ascii="Verdana" w:eastAsia="Times New Roman" w:hAnsi="Verdana" w:cs="Times New Roman"/>
                <w:sz w:val="16"/>
                <w:szCs w:val="16"/>
                <w:lang w:eastAsia="es-CO"/>
              </w:rPr>
            </w:pPr>
            <w:r w:rsidRPr="00B57E80">
              <w:rPr>
                <w:rFonts w:ascii="Verdana" w:eastAsia="Times New Roman" w:hAnsi="Verdana" w:cs="Times New Roman"/>
                <w:sz w:val="16"/>
                <w:szCs w:val="16"/>
                <w:lang w:eastAsia="es-CO"/>
              </w:rPr>
              <w:t>Seguimiento Gestión Contractual - 2013</w:t>
            </w:r>
          </w:p>
        </w:tc>
        <w:tc>
          <w:tcPr>
            <w:tcW w:w="573" w:type="pct"/>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722F2" w:rsidRPr="00B57E80" w:rsidRDefault="00B722F2" w:rsidP="00B722F2">
            <w:pPr>
              <w:spacing w:after="0" w:line="240" w:lineRule="auto"/>
              <w:jc w:val="center"/>
              <w:rPr>
                <w:rFonts w:ascii="Verdana" w:eastAsia="Times New Roman" w:hAnsi="Verdana" w:cs="Times New Roman"/>
                <w:sz w:val="16"/>
                <w:szCs w:val="16"/>
                <w:lang w:eastAsia="es-CO"/>
              </w:rPr>
            </w:pPr>
            <w:r w:rsidRPr="00B57E80">
              <w:rPr>
                <w:rFonts w:ascii="Verdana" w:eastAsia="Times New Roman" w:hAnsi="Verdana" w:cs="Times New Roman"/>
                <w:sz w:val="16"/>
                <w:szCs w:val="16"/>
                <w:lang w:eastAsia="es-CO"/>
              </w:rPr>
              <w:t>Trimestral</w:t>
            </w:r>
          </w:p>
        </w:tc>
      </w:tr>
      <w:tr w:rsidR="00B722F2" w:rsidRPr="00B57E80" w:rsidTr="00581D8C">
        <w:trPr>
          <w:trHeight w:val="300"/>
          <w:jc w:val="center"/>
        </w:trPr>
        <w:tc>
          <w:tcPr>
            <w:tcW w:w="1866" w:type="pct"/>
            <w:vMerge/>
            <w:tcBorders>
              <w:left w:val="nil"/>
              <w:bottom w:val="single" w:sz="4" w:space="0" w:color="FFFFFF"/>
              <w:right w:val="single" w:sz="4" w:space="0" w:color="FFFFFF"/>
            </w:tcBorders>
            <w:shd w:val="clear" w:color="DCE6F1" w:fill="DCE6F1"/>
            <w:noWrap/>
            <w:vAlign w:val="bottom"/>
            <w:hideMark/>
          </w:tcPr>
          <w:p w:rsidR="00B722F2" w:rsidRPr="00581D8C" w:rsidRDefault="00B722F2" w:rsidP="00B722F2">
            <w:pPr>
              <w:spacing w:after="0" w:line="240" w:lineRule="auto"/>
              <w:rPr>
                <w:rFonts w:ascii="Verdana" w:eastAsia="Times New Roman" w:hAnsi="Verdana" w:cs="Times New Roman"/>
                <w:sz w:val="20"/>
                <w:szCs w:val="20"/>
                <w:lang w:eastAsia="es-CO"/>
              </w:rPr>
            </w:pPr>
          </w:p>
        </w:tc>
        <w:tc>
          <w:tcPr>
            <w:tcW w:w="2561" w:type="pct"/>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722F2" w:rsidRPr="00B57E80" w:rsidRDefault="00B722F2" w:rsidP="00B722F2">
            <w:pPr>
              <w:spacing w:after="0" w:line="240" w:lineRule="auto"/>
              <w:jc w:val="center"/>
              <w:rPr>
                <w:rFonts w:ascii="Verdana" w:eastAsia="Times New Roman" w:hAnsi="Verdana" w:cs="Times New Roman"/>
                <w:sz w:val="16"/>
                <w:szCs w:val="16"/>
                <w:lang w:eastAsia="es-CO"/>
              </w:rPr>
            </w:pPr>
            <w:r w:rsidRPr="00B57E80">
              <w:rPr>
                <w:rFonts w:ascii="Verdana" w:eastAsia="Times New Roman" w:hAnsi="Verdana" w:cs="Times New Roman"/>
                <w:sz w:val="16"/>
                <w:szCs w:val="16"/>
                <w:lang w:eastAsia="es-CO"/>
              </w:rPr>
              <w:t>Seguimiento a Plan de Mejoramiento CGR</w:t>
            </w:r>
          </w:p>
        </w:tc>
        <w:tc>
          <w:tcPr>
            <w:tcW w:w="573" w:type="pct"/>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722F2" w:rsidRPr="00B57E80" w:rsidRDefault="00B722F2" w:rsidP="00B722F2">
            <w:pPr>
              <w:spacing w:after="0" w:line="240" w:lineRule="auto"/>
              <w:jc w:val="center"/>
              <w:rPr>
                <w:rFonts w:ascii="Verdana" w:eastAsia="Times New Roman" w:hAnsi="Verdana" w:cs="Times New Roman"/>
                <w:sz w:val="16"/>
                <w:szCs w:val="16"/>
                <w:lang w:eastAsia="es-CO"/>
              </w:rPr>
            </w:pPr>
            <w:r w:rsidRPr="00B57E80">
              <w:rPr>
                <w:rFonts w:ascii="Verdana" w:eastAsia="Times New Roman" w:hAnsi="Verdana" w:cs="Times New Roman"/>
                <w:sz w:val="16"/>
                <w:szCs w:val="16"/>
                <w:lang w:eastAsia="es-CO"/>
              </w:rPr>
              <w:t>Semestral</w:t>
            </w:r>
          </w:p>
        </w:tc>
      </w:tr>
      <w:tr w:rsidR="00B722F2" w:rsidRPr="00B57E80" w:rsidTr="00581D8C">
        <w:trPr>
          <w:trHeight w:val="300"/>
          <w:jc w:val="center"/>
        </w:trPr>
        <w:tc>
          <w:tcPr>
            <w:tcW w:w="1866" w:type="pct"/>
            <w:tcBorders>
              <w:top w:val="single" w:sz="4" w:space="0" w:color="FFFFFF"/>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center"/>
              <w:rPr>
                <w:rFonts w:ascii="Verdana" w:eastAsia="Times New Roman" w:hAnsi="Verdana" w:cs="Times New Roman"/>
                <w:sz w:val="20"/>
                <w:szCs w:val="20"/>
                <w:lang w:eastAsia="es-CO"/>
              </w:rPr>
            </w:pPr>
            <w:r w:rsidRPr="00581D8C">
              <w:rPr>
                <w:rFonts w:ascii="Verdana" w:eastAsia="Times New Roman" w:hAnsi="Verdana" w:cs="Times New Roman"/>
                <w:sz w:val="16"/>
                <w:szCs w:val="16"/>
                <w:lang w:eastAsia="es-CO"/>
              </w:rPr>
              <w:t>CONTADURÍA GENERAL DE LA NACIÓN</w:t>
            </w:r>
          </w:p>
        </w:tc>
        <w:tc>
          <w:tcPr>
            <w:tcW w:w="2561" w:type="pct"/>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722F2" w:rsidRPr="00B57E80" w:rsidRDefault="00B722F2" w:rsidP="00B722F2">
            <w:pPr>
              <w:spacing w:after="0" w:line="240" w:lineRule="auto"/>
              <w:jc w:val="center"/>
              <w:rPr>
                <w:rFonts w:ascii="Verdana" w:eastAsia="Times New Roman" w:hAnsi="Verdana" w:cs="Times New Roman"/>
                <w:sz w:val="16"/>
                <w:szCs w:val="16"/>
                <w:lang w:eastAsia="es-CO"/>
              </w:rPr>
            </w:pPr>
            <w:r w:rsidRPr="00B57E80">
              <w:rPr>
                <w:rFonts w:ascii="Verdana" w:eastAsia="Times New Roman" w:hAnsi="Verdana" w:cs="Times New Roman"/>
                <w:sz w:val="16"/>
                <w:szCs w:val="16"/>
                <w:lang w:eastAsia="es-CO"/>
              </w:rPr>
              <w:t>Informe Evaluación del Sistema de Control Interno Contable - 2013</w:t>
            </w:r>
          </w:p>
        </w:tc>
        <w:tc>
          <w:tcPr>
            <w:tcW w:w="573" w:type="pct"/>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722F2" w:rsidRPr="00B57E80" w:rsidRDefault="00B722F2" w:rsidP="00B722F2">
            <w:pPr>
              <w:spacing w:after="0" w:line="240" w:lineRule="auto"/>
              <w:jc w:val="center"/>
              <w:rPr>
                <w:rFonts w:ascii="Verdana" w:eastAsia="Times New Roman" w:hAnsi="Verdana" w:cs="Times New Roman"/>
                <w:sz w:val="16"/>
                <w:szCs w:val="16"/>
                <w:lang w:eastAsia="es-CO"/>
              </w:rPr>
            </w:pPr>
            <w:r w:rsidRPr="00B57E80">
              <w:rPr>
                <w:rFonts w:ascii="Verdana" w:eastAsia="Times New Roman" w:hAnsi="Verdana" w:cs="Times New Roman"/>
                <w:sz w:val="16"/>
                <w:szCs w:val="16"/>
                <w:lang w:eastAsia="es-CO"/>
              </w:rPr>
              <w:t>Anual</w:t>
            </w:r>
          </w:p>
        </w:tc>
      </w:tr>
      <w:tr w:rsidR="00B722F2" w:rsidRPr="00B57E80" w:rsidTr="00581D8C">
        <w:trPr>
          <w:trHeight w:val="300"/>
          <w:jc w:val="center"/>
        </w:trPr>
        <w:tc>
          <w:tcPr>
            <w:tcW w:w="1866" w:type="pct"/>
            <w:tcBorders>
              <w:top w:val="single" w:sz="4" w:space="0" w:color="FFFFFF"/>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jc w:val="center"/>
              <w:rPr>
                <w:rFonts w:ascii="Verdana" w:eastAsia="Times New Roman" w:hAnsi="Verdana" w:cs="Times New Roman"/>
                <w:sz w:val="16"/>
                <w:szCs w:val="16"/>
                <w:lang w:eastAsia="es-CO"/>
              </w:rPr>
            </w:pPr>
            <w:r w:rsidRPr="00581D8C">
              <w:rPr>
                <w:rFonts w:ascii="Verdana" w:eastAsia="Times New Roman" w:hAnsi="Verdana" w:cs="Times New Roman"/>
                <w:sz w:val="16"/>
                <w:szCs w:val="16"/>
                <w:lang w:eastAsia="es-CO"/>
              </w:rPr>
              <w:t>DEPARTAMENTO ADMINISTRATIVO DE LA FUNCIÓN PÚBLICA</w:t>
            </w:r>
          </w:p>
        </w:tc>
        <w:tc>
          <w:tcPr>
            <w:tcW w:w="2561" w:type="pct"/>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722F2" w:rsidRPr="00B57E80" w:rsidRDefault="00B722F2" w:rsidP="00B722F2">
            <w:pPr>
              <w:spacing w:after="0" w:line="240" w:lineRule="auto"/>
              <w:jc w:val="center"/>
              <w:rPr>
                <w:rFonts w:ascii="Verdana" w:eastAsia="Times New Roman" w:hAnsi="Verdana" w:cs="Times New Roman"/>
                <w:sz w:val="16"/>
                <w:szCs w:val="16"/>
                <w:lang w:eastAsia="es-CO"/>
              </w:rPr>
            </w:pPr>
            <w:r w:rsidRPr="00B57E80">
              <w:rPr>
                <w:rFonts w:ascii="Verdana" w:eastAsia="Times New Roman" w:hAnsi="Verdana" w:cs="Times New Roman"/>
                <w:sz w:val="16"/>
                <w:szCs w:val="16"/>
                <w:lang w:eastAsia="es-CO"/>
              </w:rPr>
              <w:t>Informe Ejecutivo Anual, sobre el avance del Modelo Estándar de Control Interno - 2013</w:t>
            </w:r>
          </w:p>
        </w:tc>
        <w:tc>
          <w:tcPr>
            <w:tcW w:w="573" w:type="pct"/>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722F2" w:rsidRPr="00B57E80" w:rsidRDefault="00B722F2" w:rsidP="00B722F2">
            <w:pPr>
              <w:pStyle w:val="Prrafodelista"/>
              <w:spacing w:after="0" w:line="240" w:lineRule="auto"/>
              <w:ind w:left="0"/>
              <w:jc w:val="center"/>
              <w:rPr>
                <w:rFonts w:ascii="Verdana" w:eastAsia="Times New Roman" w:hAnsi="Verdana" w:cs="Times New Roman"/>
                <w:sz w:val="16"/>
                <w:szCs w:val="16"/>
                <w:lang w:eastAsia="es-CO"/>
              </w:rPr>
            </w:pPr>
            <w:r w:rsidRPr="00B57E80">
              <w:rPr>
                <w:rFonts w:ascii="Verdana" w:eastAsia="Times New Roman" w:hAnsi="Verdana" w:cs="Times New Roman"/>
                <w:sz w:val="16"/>
                <w:szCs w:val="16"/>
                <w:lang w:eastAsia="es-CO"/>
              </w:rPr>
              <w:t>Anual</w:t>
            </w:r>
          </w:p>
        </w:tc>
      </w:tr>
      <w:tr w:rsidR="00B722F2" w:rsidRPr="00B57E80" w:rsidTr="00581D8C">
        <w:trPr>
          <w:trHeight w:val="300"/>
          <w:jc w:val="center"/>
        </w:trPr>
        <w:tc>
          <w:tcPr>
            <w:tcW w:w="1866" w:type="pct"/>
            <w:tcBorders>
              <w:top w:val="single" w:sz="4" w:space="0" w:color="FFFFFF"/>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center"/>
              <w:rPr>
                <w:rFonts w:ascii="Verdana" w:eastAsia="Times New Roman" w:hAnsi="Verdana" w:cs="Times New Roman"/>
                <w:sz w:val="16"/>
                <w:szCs w:val="16"/>
                <w:lang w:eastAsia="es-CO"/>
              </w:rPr>
            </w:pPr>
            <w:r w:rsidRPr="00581D8C">
              <w:rPr>
                <w:rFonts w:ascii="Verdana" w:eastAsia="Times New Roman" w:hAnsi="Verdana" w:cs="Times New Roman"/>
                <w:sz w:val="16"/>
                <w:szCs w:val="16"/>
                <w:lang w:eastAsia="es-CO"/>
              </w:rPr>
              <w:t>UNIDAD ADMINISTRATIVA ESPECIAL DE DERECHOS DE AUTOR</w:t>
            </w:r>
          </w:p>
        </w:tc>
        <w:tc>
          <w:tcPr>
            <w:tcW w:w="2561" w:type="pct"/>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722F2" w:rsidRPr="00B57E80" w:rsidRDefault="00B722F2" w:rsidP="00B722F2">
            <w:pPr>
              <w:spacing w:after="0" w:line="240" w:lineRule="auto"/>
              <w:jc w:val="center"/>
              <w:rPr>
                <w:rFonts w:ascii="Verdana" w:eastAsia="Times New Roman" w:hAnsi="Verdana" w:cs="Times New Roman"/>
                <w:sz w:val="16"/>
                <w:szCs w:val="16"/>
                <w:lang w:eastAsia="es-CO"/>
              </w:rPr>
            </w:pPr>
            <w:r w:rsidRPr="00B57E80">
              <w:rPr>
                <w:rFonts w:ascii="Verdana" w:eastAsia="Times New Roman" w:hAnsi="Verdana" w:cs="Times New Roman"/>
                <w:sz w:val="16"/>
                <w:szCs w:val="16"/>
                <w:lang w:eastAsia="es-CO"/>
              </w:rPr>
              <w:t>Informe sobre cumplimiento de normas en materia de derechos de autor sobre software - 2013</w:t>
            </w:r>
          </w:p>
        </w:tc>
        <w:tc>
          <w:tcPr>
            <w:tcW w:w="573" w:type="pct"/>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722F2" w:rsidRPr="00B57E80" w:rsidRDefault="00B722F2" w:rsidP="00B722F2">
            <w:pPr>
              <w:spacing w:after="0" w:line="240" w:lineRule="auto"/>
              <w:jc w:val="center"/>
              <w:rPr>
                <w:rFonts w:ascii="Verdana" w:eastAsia="Times New Roman" w:hAnsi="Verdana" w:cs="Times New Roman"/>
                <w:sz w:val="16"/>
                <w:szCs w:val="16"/>
                <w:lang w:eastAsia="es-CO"/>
              </w:rPr>
            </w:pPr>
            <w:r w:rsidRPr="00B57E80">
              <w:rPr>
                <w:rFonts w:ascii="Verdana" w:eastAsia="Times New Roman" w:hAnsi="Verdana" w:cs="Times New Roman"/>
                <w:sz w:val="16"/>
                <w:szCs w:val="16"/>
                <w:lang w:eastAsia="es-CO"/>
              </w:rPr>
              <w:t>Anual</w:t>
            </w:r>
          </w:p>
        </w:tc>
      </w:tr>
      <w:tr w:rsidR="00B722F2" w:rsidRPr="00B57E80" w:rsidTr="00581D8C">
        <w:trPr>
          <w:trHeight w:val="300"/>
          <w:jc w:val="center"/>
        </w:trPr>
        <w:tc>
          <w:tcPr>
            <w:tcW w:w="1866" w:type="pct"/>
            <w:tcBorders>
              <w:top w:val="single" w:sz="4" w:space="0" w:color="FFFFFF"/>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jc w:val="center"/>
              <w:rPr>
                <w:rFonts w:ascii="Verdana" w:eastAsia="Times New Roman" w:hAnsi="Verdana" w:cs="Times New Roman"/>
                <w:sz w:val="16"/>
                <w:szCs w:val="16"/>
                <w:lang w:eastAsia="es-CO"/>
              </w:rPr>
            </w:pPr>
            <w:r w:rsidRPr="00581D8C">
              <w:rPr>
                <w:rFonts w:ascii="Verdana" w:eastAsia="Times New Roman" w:hAnsi="Verdana" w:cs="Times New Roman"/>
                <w:sz w:val="16"/>
                <w:szCs w:val="16"/>
                <w:lang w:eastAsia="es-CO"/>
              </w:rPr>
              <w:t>CÁMARA DE REPRESENTANTES</w:t>
            </w:r>
          </w:p>
        </w:tc>
        <w:tc>
          <w:tcPr>
            <w:tcW w:w="2561" w:type="pct"/>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722F2" w:rsidRPr="00B57E80" w:rsidRDefault="00B722F2" w:rsidP="00B722F2">
            <w:pPr>
              <w:spacing w:after="0" w:line="240" w:lineRule="auto"/>
              <w:jc w:val="center"/>
              <w:rPr>
                <w:rFonts w:ascii="Verdana" w:eastAsia="Times New Roman" w:hAnsi="Verdana" w:cs="Times New Roman"/>
                <w:sz w:val="16"/>
                <w:szCs w:val="16"/>
                <w:lang w:eastAsia="es-CO"/>
              </w:rPr>
            </w:pPr>
            <w:r w:rsidRPr="00B57E80">
              <w:rPr>
                <w:rFonts w:ascii="Verdana" w:eastAsia="Times New Roman" w:hAnsi="Verdana" w:cs="Times New Roman"/>
                <w:sz w:val="16"/>
                <w:szCs w:val="16"/>
                <w:lang w:eastAsia="es-CO"/>
              </w:rPr>
              <w:t>Informe Comisión legal de cuentas -2013</w:t>
            </w:r>
          </w:p>
        </w:tc>
        <w:tc>
          <w:tcPr>
            <w:tcW w:w="573" w:type="pct"/>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722F2" w:rsidRPr="00B57E80" w:rsidRDefault="00B722F2" w:rsidP="00B722F2">
            <w:pPr>
              <w:spacing w:after="0" w:line="240" w:lineRule="auto"/>
              <w:jc w:val="center"/>
              <w:rPr>
                <w:rFonts w:ascii="Verdana" w:eastAsia="Times New Roman" w:hAnsi="Verdana" w:cs="Times New Roman"/>
                <w:sz w:val="16"/>
                <w:szCs w:val="16"/>
                <w:lang w:eastAsia="es-CO"/>
              </w:rPr>
            </w:pPr>
            <w:r w:rsidRPr="00B57E80">
              <w:rPr>
                <w:rFonts w:ascii="Verdana" w:eastAsia="Times New Roman" w:hAnsi="Verdana" w:cs="Times New Roman"/>
                <w:sz w:val="16"/>
                <w:szCs w:val="16"/>
                <w:lang w:eastAsia="es-CO"/>
              </w:rPr>
              <w:t>Anual</w:t>
            </w:r>
          </w:p>
        </w:tc>
      </w:tr>
      <w:tr w:rsidR="00B722F2" w:rsidRPr="00B57E80" w:rsidTr="00581D8C">
        <w:trPr>
          <w:trHeight w:val="300"/>
          <w:jc w:val="center"/>
        </w:trPr>
        <w:tc>
          <w:tcPr>
            <w:tcW w:w="1866" w:type="pct"/>
            <w:tcBorders>
              <w:top w:val="single" w:sz="4" w:space="0" w:color="FFFFFF"/>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center"/>
              <w:rPr>
                <w:rFonts w:ascii="Verdana" w:eastAsia="Times New Roman" w:hAnsi="Verdana" w:cs="Times New Roman"/>
                <w:sz w:val="16"/>
                <w:szCs w:val="16"/>
                <w:lang w:eastAsia="es-CO"/>
              </w:rPr>
            </w:pPr>
            <w:r w:rsidRPr="00581D8C">
              <w:rPr>
                <w:rFonts w:ascii="Verdana" w:eastAsia="Times New Roman" w:hAnsi="Verdana" w:cs="Times New Roman"/>
                <w:sz w:val="16"/>
                <w:szCs w:val="16"/>
                <w:lang w:eastAsia="es-CO"/>
              </w:rPr>
              <w:t>AGENCIA NACIONAL DE DEFENSA JURÍDICA DEL ESTADO</w:t>
            </w:r>
          </w:p>
        </w:tc>
        <w:tc>
          <w:tcPr>
            <w:tcW w:w="2561" w:type="pct"/>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722F2" w:rsidRPr="00B57E80" w:rsidRDefault="00B722F2" w:rsidP="00B722F2">
            <w:pPr>
              <w:spacing w:after="0" w:line="240" w:lineRule="auto"/>
              <w:jc w:val="center"/>
              <w:rPr>
                <w:rFonts w:ascii="Verdana" w:eastAsia="Times New Roman" w:hAnsi="Verdana" w:cs="Times New Roman"/>
                <w:sz w:val="16"/>
                <w:szCs w:val="16"/>
                <w:lang w:eastAsia="es-CO"/>
              </w:rPr>
            </w:pPr>
            <w:r w:rsidRPr="00B57E80">
              <w:rPr>
                <w:rFonts w:ascii="Verdana" w:eastAsia="Times New Roman" w:hAnsi="Verdana" w:cs="Times New Roman"/>
                <w:sz w:val="16"/>
                <w:szCs w:val="16"/>
                <w:lang w:eastAsia="es-CO"/>
              </w:rPr>
              <w:t>Informe seguimiento y verificación de cumplimiento del registro en el sistema LITIGOB - 2013</w:t>
            </w:r>
          </w:p>
        </w:tc>
        <w:tc>
          <w:tcPr>
            <w:tcW w:w="573" w:type="pct"/>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722F2" w:rsidRPr="00B57E80" w:rsidRDefault="00B722F2" w:rsidP="00B722F2">
            <w:pPr>
              <w:spacing w:after="0" w:line="240" w:lineRule="auto"/>
              <w:jc w:val="center"/>
              <w:rPr>
                <w:rFonts w:ascii="Verdana" w:eastAsia="Times New Roman" w:hAnsi="Verdana" w:cs="Times New Roman"/>
                <w:sz w:val="16"/>
                <w:szCs w:val="16"/>
                <w:lang w:eastAsia="es-CO"/>
              </w:rPr>
            </w:pPr>
            <w:r w:rsidRPr="00B57E80">
              <w:rPr>
                <w:rFonts w:ascii="Verdana" w:eastAsia="Times New Roman" w:hAnsi="Verdana" w:cs="Times New Roman"/>
                <w:sz w:val="16"/>
                <w:szCs w:val="16"/>
                <w:lang w:eastAsia="es-CO"/>
              </w:rPr>
              <w:t>Semestral</w:t>
            </w:r>
          </w:p>
        </w:tc>
      </w:tr>
      <w:tr w:rsidR="00B722F2" w:rsidRPr="00B57E80" w:rsidTr="00581D8C">
        <w:trPr>
          <w:trHeight w:val="70"/>
          <w:jc w:val="center"/>
        </w:trPr>
        <w:tc>
          <w:tcPr>
            <w:tcW w:w="5000" w:type="pct"/>
            <w:gridSpan w:val="3"/>
            <w:tcBorders>
              <w:top w:val="single" w:sz="4" w:space="0" w:color="FFFFFF"/>
              <w:left w:val="nil"/>
              <w:bottom w:val="single" w:sz="4" w:space="0" w:color="FFFFFF"/>
              <w:right w:val="single" w:sz="4" w:space="0" w:color="FFFFFF"/>
            </w:tcBorders>
            <w:shd w:val="clear" w:color="DCE6F1" w:fill="DCE6F1"/>
            <w:noWrap/>
            <w:vAlign w:val="center"/>
          </w:tcPr>
          <w:p w:rsidR="00B722F2" w:rsidRPr="00B57E80" w:rsidRDefault="00B722F2" w:rsidP="00B722F2">
            <w:pPr>
              <w:spacing w:after="0" w:line="240" w:lineRule="auto"/>
              <w:rPr>
                <w:rFonts w:ascii="Verdana" w:eastAsia="Times New Roman" w:hAnsi="Verdana" w:cs="Times New Roman"/>
                <w:sz w:val="12"/>
                <w:szCs w:val="16"/>
                <w:lang w:eastAsia="es-CO"/>
              </w:rPr>
            </w:pPr>
            <w:r w:rsidRPr="00B57E80">
              <w:rPr>
                <w:rFonts w:ascii="Verdana" w:eastAsia="Times New Roman" w:hAnsi="Verdana" w:cs="Times New Roman"/>
                <w:sz w:val="12"/>
                <w:szCs w:val="16"/>
                <w:lang w:eastAsia="es-CO"/>
              </w:rPr>
              <w:t>Fuente: PAAI 2014</w:t>
            </w:r>
          </w:p>
        </w:tc>
      </w:tr>
    </w:tbl>
    <w:p w:rsidR="00B722F2" w:rsidRPr="00B57E80" w:rsidRDefault="00B722F2" w:rsidP="00B722F2">
      <w:pPr>
        <w:pStyle w:val="Prrafodelista"/>
        <w:spacing w:after="0" w:line="240" w:lineRule="auto"/>
        <w:jc w:val="both"/>
        <w:rPr>
          <w:rFonts w:ascii="Verdana" w:hAnsi="Verdana"/>
          <w:sz w:val="24"/>
          <w:szCs w:val="24"/>
        </w:rPr>
      </w:pPr>
    </w:p>
    <w:p w:rsidR="00B722F2" w:rsidRPr="00B57E80" w:rsidRDefault="00B722F2" w:rsidP="00B722F2">
      <w:pPr>
        <w:pStyle w:val="Prrafodelista"/>
        <w:spacing w:after="0" w:line="240" w:lineRule="auto"/>
        <w:jc w:val="both"/>
        <w:rPr>
          <w:rFonts w:ascii="Verdana" w:hAnsi="Verdana"/>
          <w:sz w:val="24"/>
          <w:szCs w:val="24"/>
        </w:rPr>
      </w:pPr>
    </w:p>
    <w:p w:rsidR="00B722F2" w:rsidRPr="00581D8C" w:rsidRDefault="00581D8C" w:rsidP="00B722F2">
      <w:pPr>
        <w:spacing w:after="0" w:line="240" w:lineRule="auto"/>
        <w:jc w:val="both"/>
        <w:rPr>
          <w:rFonts w:ascii="Verdana" w:hAnsi="Verdana"/>
          <w:b/>
          <w:color w:val="4F81BD" w:themeColor="accent1"/>
          <w:sz w:val="28"/>
          <w:szCs w:val="24"/>
        </w:rPr>
      </w:pPr>
      <w:r w:rsidRPr="00581D8C">
        <w:rPr>
          <w:rFonts w:ascii="Verdana" w:hAnsi="Verdana"/>
          <w:b/>
          <w:noProof/>
          <w:sz w:val="24"/>
          <w:szCs w:val="24"/>
          <w:lang w:eastAsia="es-CO"/>
        </w:rPr>
        <w:drawing>
          <wp:inline distT="0" distB="0" distL="0" distR="0">
            <wp:extent cx="216024" cy="216024"/>
            <wp:effectExtent l="19050" t="0" r="0" b="0"/>
            <wp:docPr id="485" name="Objeto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6300192" y="4869160"/>
                      <a:chExt cx="216024" cy="216024"/>
                    </a:xfrm>
                  </a:grpSpPr>
                  <a:sp>
                    <a:nvSpPr>
                      <a:cNvPr id="42" name="41 Rectángulo redondeado"/>
                      <a:cNvSpPr/>
                    </a:nvSpPr>
                    <a:spPr>
                      <a:xfrm>
                        <a:off x="6300192" y="4869160"/>
                        <a:ext cx="216024" cy="216024"/>
                      </a:xfrm>
                      <a:prstGeom prst="roundRect">
                        <a:avLst/>
                      </a:prstGeom>
                      <a:gradFill flip="none" rotWithShape="1">
                        <a:gsLst>
                          <a:gs pos="0">
                            <a:schemeClr val="bg1">
                              <a:lumMod val="65000"/>
                              <a:shade val="30000"/>
                              <a:satMod val="115000"/>
                            </a:schemeClr>
                          </a:gs>
                          <a:gs pos="50000">
                            <a:schemeClr val="bg1">
                              <a:lumMod val="65000"/>
                              <a:shade val="67500"/>
                              <a:satMod val="115000"/>
                            </a:schemeClr>
                          </a:gs>
                          <a:gs pos="100000">
                            <a:schemeClr val="bg1">
                              <a:lumMod val="65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DB1E86">
        <w:rPr>
          <w:rFonts w:ascii="Verdana" w:hAnsi="Verdana"/>
          <w:b/>
          <w:sz w:val="24"/>
          <w:szCs w:val="24"/>
        </w:rPr>
        <w:t xml:space="preserve"> </w:t>
      </w:r>
      <w:r w:rsidR="00B722F2" w:rsidRPr="00581D8C">
        <w:rPr>
          <w:rFonts w:ascii="Verdana" w:hAnsi="Verdana"/>
          <w:b/>
          <w:color w:val="4F81BD" w:themeColor="accent1"/>
          <w:sz w:val="28"/>
          <w:szCs w:val="24"/>
        </w:rPr>
        <w:t>IMPACTO DE LA GESTIÓN</w:t>
      </w:r>
    </w:p>
    <w:p w:rsidR="00DB1E86" w:rsidRPr="00B57E80" w:rsidRDefault="00DB1E86" w:rsidP="00B722F2">
      <w:pPr>
        <w:spacing w:after="0" w:line="240" w:lineRule="auto"/>
        <w:jc w:val="both"/>
        <w:rPr>
          <w:rFonts w:ascii="Verdana" w:hAnsi="Verdana"/>
          <w:sz w:val="24"/>
          <w:szCs w:val="24"/>
        </w:rPr>
      </w:pPr>
    </w:p>
    <w:p w:rsidR="00B722F2" w:rsidRPr="00B57E80" w:rsidRDefault="00B722F2" w:rsidP="00B722F2">
      <w:pPr>
        <w:spacing w:after="0" w:line="240" w:lineRule="auto"/>
        <w:jc w:val="both"/>
        <w:rPr>
          <w:rFonts w:ascii="Verdana" w:hAnsi="Verdana"/>
          <w:sz w:val="24"/>
          <w:szCs w:val="24"/>
        </w:rPr>
      </w:pPr>
    </w:p>
    <w:p w:rsidR="00B722F2" w:rsidRPr="00B57E80" w:rsidRDefault="00B722F2" w:rsidP="00B722F2">
      <w:pPr>
        <w:spacing w:after="0" w:line="240" w:lineRule="auto"/>
        <w:jc w:val="both"/>
        <w:rPr>
          <w:rFonts w:ascii="Verdana" w:hAnsi="Verdana"/>
          <w:sz w:val="24"/>
          <w:szCs w:val="24"/>
        </w:rPr>
      </w:pPr>
      <w:r w:rsidRPr="00B57E80">
        <w:rPr>
          <w:rFonts w:ascii="Verdana" w:hAnsi="Verdana"/>
          <w:sz w:val="24"/>
          <w:szCs w:val="24"/>
        </w:rPr>
        <w:t>El índice sintético de la Política Nacional de Consolidación y Reconstrucción Territorial es una herramienta diseñada para medir y monitorear los avances de los municipios en el proceso de consolidación.  La información que genera es un insumo básico para el proceso de toma de decisiones en el marco de la política ya que permite determinar el avance de los municipios en el tiempo y con respecto a otros municipios; la información que genera es un insumo básico para el proceso de toma de decisiones en el marco de la política, ya que permite determinar el avance de los componentes y pilares por municipio en el tiempo.</w:t>
      </w:r>
    </w:p>
    <w:p w:rsidR="00B722F2" w:rsidRPr="00B57E80" w:rsidRDefault="00B722F2" w:rsidP="00B722F2">
      <w:pPr>
        <w:ind w:left="360"/>
        <w:contextualSpacing/>
        <w:jc w:val="both"/>
        <w:rPr>
          <w:rFonts w:ascii="Verdana" w:hAnsi="Verdana" w:cs="Arial"/>
        </w:rPr>
      </w:pPr>
    </w:p>
    <w:p w:rsidR="0003107F" w:rsidRPr="00B57E80" w:rsidRDefault="0003107F" w:rsidP="0003107F">
      <w:pPr>
        <w:jc w:val="both"/>
        <w:rPr>
          <w:rFonts w:ascii="Verdana" w:hAnsi="Verdana"/>
          <w:sz w:val="24"/>
          <w:szCs w:val="24"/>
        </w:rPr>
      </w:pPr>
      <w:r w:rsidRPr="00B57E80">
        <w:rPr>
          <w:rFonts w:ascii="Verdana" w:hAnsi="Verdana"/>
          <w:sz w:val="24"/>
          <w:szCs w:val="24"/>
        </w:rPr>
        <w:t>A continuación presentamos los avances durante las vigencias 2011, 2012 y 2013.</w:t>
      </w:r>
    </w:p>
    <w:p w:rsidR="0003107F" w:rsidRDefault="0003107F" w:rsidP="0003107F">
      <w:pPr>
        <w:contextualSpacing/>
        <w:jc w:val="both"/>
        <w:rPr>
          <w:rFonts w:ascii="Verdana" w:hAnsi="Verdana" w:cs="Arial"/>
          <w:bCs/>
          <w:color w:val="4F81BD" w:themeColor="accent1"/>
        </w:rPr>
      </w:pPr>
    </w:p>
    <w:p w:rsidR="0003107F" w:rsidRPr="0002103C" w:rsidRDefault="0003107F" w:rsidP="0003107F">
      <w:pPr>
        <w:contextualSpacing/>
        <w:jc w:val="both"/>
        <w:rPr>
          <w:rFonts w:ascii="Verdana" w:hAnsi="Verdana" w:cs="Arial"/>
          <w:color w:val="4F81BD" w:themeColor="accent1"/>
        </w:rPr>
      </w:pPr>
      <w:r w:rsidRPr="0002103C">
        <w:rPr>
          <w:rFonts w:ascii="Verdana" w:hAnsi="Verdana" w:cs="Arial"/>
          <w:bCs/>
          <w:color w:val="4F81BD" w:themeColor="accent1"/>
        </w:rPr>
        <w:t>Índice de Consolidación Resultados por Pilar</w:t>
      </w:r>
    </w:p>
    <w:p w:rsidR="0003107F" w:rsidRPr="00A36D6C" w:rsidRDefault="0003107F" w:rsidP="0003107F">
      <w:pPr>
        <w:ind w:left="426"/>
        <w:contextualSpacing/>
        <w:jc w:val="center"/>
        <w:rPr>
          <w:rFonts w:ascii="Calibri" w:hAnsi="Calibri" w:cs="Arial"/>
        </w:rPr>
      </w:pPr>
      <w:r w:rsidRPr="00447CDC">
        <w:rPr>
          <w:rFonts w:ascii="Calibri" w:hAnsi="Calibri" w:cs="Arial"/>
          <w:noProof/>
          <w:lang w:eastAsia="es-CO"/>
        </w:rPr>
        <w:drawing>
          <wp:inline distT="0" distB="0" distL="0" distR="0">
            <wp:extent cx="6541770" cy="3838575"/>
            <wp:effectExtent l="0" t="0" r="11430" b="9525"/>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B722F2" w:rsidRPr="00B57E80" w:rsidRDefault="00B722F2" w:rsidP="00B722F2">
      <w:pPr>
        <w:ind w:left="360"/>
        <w:contextualSpacing/>
        <w:jc w:val="both"/>
        <w:rPr>
          <w:rFonts w:ascii="Verdana" w:hAnsi="Verdana" w:cs="Arial"/>
        </w:rPr>
      </w:pPr>
    </w:p>
    <w:p w:rsidR="00B722F2" w:rsidRPr="00EC7161" w:rsidRDefault="00B722F2" w:rsidP="00B722F2">
      <w:pPr>
        <w:pStyle w:val="Prrafodelista"/>
        <w:spacing w:after="0" w:line="240" w:lineRule="auto"/>
        <w:ind w:left="0"/>
        <w:jc w:val="both"/>
        <w:rPr>
          <w:rFonts w:ascii="Verdana" w:hAnsi="Verdana"/>
          <w:color w:val="4F81BD" w:themeColor="accent1"/>
          <w:sz w:val="24"/>
          <w:szCs w:val="24"/>
        </w:rPr>
      </w:pPr>
      <w:r w:rsidRPr="00EC7161">
        <w:rPr>
          <w:rFonts w:ascii="Verdana" w:hAnsi="Verdana"/>
          <w:color w:val="4F81BD" w:themeColor="accent1"/>
          <w:sz w:val="24"/>
          <w:szCs w:val="24"/>
        </w:rPr>
        <w:t xml:space="preserve">ACCIONES DEL PROGRAMA RESPUESTA RÁPIDA: </w:t>
      </w:r>
    </w:p>
    <w:p w:rsidR="00B722F2" w:rsidRPr="00B57E80" w:rsidRDefault="00B722F2" w:rsidP="00B722F2">
      <w:pPr>
        <w:tabs>
          <w:tab w:val="left" w:pos="426"/>
          <w:tab w:val="left" w:pos="2250"/>
        </w:tabs>
        <w:autoSpaceDE w:val="0"/>
        <w:autoSpaceDN w:val="0"/>
        <w:adjustRightInd w:val="0"/>
        <w:spacing w:after="0"/>
        <w:jc w:val="both"/>
        <w:rPr>
          <w:rFonts w:ascii="Verdana" w:hAnsi="Verdana" w:cstheme="minorHAnsi"/>
          <w:sz w:val="24"/>
          <w:szCs w:val="24"/>
        </w:rPr>
      </w:pPr>
    </w:p>
    <w:p w:rsidR="00B722F2" w:rsidRPr="00B57E80" w:rsidRDefault="00B722F2" w:rsidP="00905C49">
      <w:pPr>
        <w:pStyle w:val="Prrafodelista"/>
        <w:numPr>
          <w:ilvl w:val="0"/>
          <w:numId w:val="90"/>
        </w:numPr>
        <w:spacing w:after="0" w:line="240" w:lineRule="auto"/>
        <w:jc w:val="both"/>
        <w:rPr>
          <w:rFonts w:ascii="Verdana" w:hAnsi="Verdana" w:cs="Calibri"/>
          <w:sz w:val="24"/>
          <w:szCs w:val="24"/>
        </w:rPr>
      </w:pPr>
      <w:r w:rsidRPr="00B57E80">
        <w:rPr>
          <w:rFonts w:ascii="Verdana" w:hAnsi="Verdana" w:cs="Calibri"/>
          <w:sz w:val="24"/>
          <w:szCs w:val="24"/>
        </w:rPr>
        <w:t xml:space="preserve">A través del Programa de Respuesta Rápida, entre los años 2012 y 2014 el Estado colombiano ha logrado llegar a más de </w:t>
      </w:r>
      <w:r w:rsidRPr="00B57E80">
        <w:rPr>
          <w:rFonts w:ascii="Verdana" w:hAnsi="Verdana" w:cs="Calibri"/>
          <w:b/>
          <w:sz w:val="24"/>
          <w:szCs w:val="24"/>
          <w:u w:val="single"/>
        </w:rPr>
        <w:t>472 nuevas veredas</w:t>
      </w:r>
      <w:r w:rsidRPr="00B57E80">
        <w:rPr>
          <w:rFonts w:ascii="Verdana" w:hAnsi="Verdana" w:cs="Calibri"/>
          <w:b/>
          <w:sz w:val="24"/>
          <w:szCs w:val="24"/>
        </w:rPr>
        <w:t xml:space="preserve"> </w:t>
      </w:r>
      <w:r w:rsidRPr="00B57E80">
        <w:rPr>
          <w:rFonts w:ascii="Verdana" w:hAnsi="Verdana" w:cs="Calibri"/>
          <w:sz w:val="24"/>
          <w:szCs w:val="24"/>
        </w:rPr>
        <w:t xml:space="preserve">de los municipios focalizados bajo esfuerzo integral y esfuerzo gradual. </w:t>
      </w:r>
    </w:p>
    <w:p w:rsidR="00B722F2" w:rsidRPr="00B57E80" w:rsidRDefault="00B722F2" w:rsidP="00B722F2">
      <w:pPr>
        <w:spacing w:after="0"/>
        <w:jc w:val="both"/>
        <w:rPr>
          <w:rFonts w:ascii="Verdana" w:hAnsi="Verdana" w:cs="Calibri"/>
          <w:sz w:val="24"/>
          <w:szCs w:val="24"/>
        </w:rPr>
      </w:pPr>
    </w:p>
    <w:p w:rsidR="00B722F2" w:rsidRPr="00B57E80" w:rsidRDefault="00B722F2" w:rsidP="00905C49">
      <w:pPr>
        <w:pStyle w:val="Prrafodelista"/>
        <w:numPr>
          <w:ilvl w:val="0"/>
          <w:numId w:val="90"/>
        </w:numPr>
        <w:spacing w:after="0" w:line="240" w:lineRule="auto"/>
        <w:jc w:val="both"/>
        <w:rPr>
          <w:rFonts w:ascii="Verdana" w:hAnsi="Verdana" w:cs="Calibri"/>
          <w:sz w:val="24"/>
          <w:szCs w:val="24"/>
        </w:rPr>
      </w:pPr>
      <w:r w:rsidRPr="00B57E80">
        <w:rPr>
          <w:rFonts w:ascii="Verdana" w:hAnsi="Verdana" w:cs="Calibri"/>
          <w:sz w:val="24"/>
          <w:szCs w:val="24"/>
        </w:rPr>
        <w:t xml:space="preserve">Se ha realizado un trabajo de generación de confianza y fortalecimiento de </w:t>
      </w:r>
      <w:r w:rsidRPr="00B57E80">
        <w:rPr>
          <w:rFonts w:ascii="Verdana" w:hAnsi="Verdana" w:cs="Calibri"/>
          <w:b/>
          <w:sz w:val="24"/>
          <w:szCs w:val="24"/>
          <w:u w:val="single"/>
        </w:rPr>
        <w:t>136 organizaciones</w:t>
      </w:r>
      <w:r w:rsidRPr="00B57E80">
        <w:rPr>
          <w:rFonts w:ascii="Verdana" w:hAnsi="Verdana" w:cs="Calibri"/>
          <w:sz w:val="24"/>
          <w:szCs w:val="24"/>
        </w:rPr>
        <w:t xml:space="preserve"> entre ellas Juntas de acción comunal, asociaciones de padres de familia, resguardos indígenas, asociaciones de mujeres, juntas de hogares juveniles, entre otras. </w:t>
      </w:r>
    </w:p>
    <w:p w:rsidR="00B722F2" w:rsidRPr="00B57E80" w:rsidRDefault="00B722F2" w:rsidP="00B722F2">
      <w:pPr>
        <w:pStyle w:val="Prrafodelista"/>
        <w:rPr>
          <w:rFonts w:ascii="Verdana" w:hAnsi="Verdana" w:cs="Calibri"/>
          <w:sz w:val="24"/>
          <w:szCs w:val="24"/>
        </w:rPr>
      </w:pPr>
    </w:p>
    <w:p w:rsidR="00B722F2" w:rsidRPr="00B57E80" w:rsidRDefault="00B722F2" w:rsidP="00905C49">
      <w:pPr>
        <w:pStyle w:val="Prrafodelista"/>
        <w:numPr>
          <w:ilvl w:val="0"/>
          <w:numId w:val="90"/>
        </w:numPr>
        <w:spacing w:after="0" w:line="240" w:lineRule="auto"/>
        <w:jc w:val="both"/>
        <w:rPr>
          <w:rFonts w:ascii="Verdana" w:hAnsi="Verdana" w:cs="Calibri"/>
          <w:sz w:val="24"/>
          <w:szCs w:val="24"/>
        </w:rPr>
      </w:pPr>
      <w:r w:rsidRPr="00B57E80">
        <w:rPr>
          <w:rFonts w:ascii="Verdana" w:hAnsi="Verdana" w:cs="Calibri"/>
          <w:sz w:val="24"/>
          <w:szCs w:val="24"/>
        </w:rPr>
        <w:t xml:space="preserve">La llegada del Estado a nuevos territorios, junto con el trabajo de fortalecimiento comunitario y organizacional que se realiza en el marco del PRR, ha permitido reconstruir la confianza de las comunidades de los municipios que históricamente han sido afectados por el conflicto y los cultivos ilícitos. </w:t>
      </w:r>
    </w:p>
    <w:p w:rsidR="00B722F2" w:rsidRPr="00B57E80" w:rsidRDefault="00B722F2" w:rsidP="00B722F2">
      <w:pPr>
        <w:pStyle w:val="Prrafodelista"/>
        <w:rPr>
          <w:rFonts w:ascii="Verdana" w:hAnsi="Verdana" w:cs="Calibri"/>
          <w:sz w:val="24"/>
          <w:szCs w:val="24"/>
        </w:rPr>
      </w:pPr>
    </w:p>
    <w:p w:rsidR="00B722F2" w:rsidRPr="00733405" w:rsidRDefault="00B722F2" w:rsidP="00733405">
      <w:pPr>
        <w:spacing w:after="0" w:line="240" w:lineRule="auto"/>
        <w:jc w:val="both"/>
        <w:rPr>
          <w:rFonts w:ascii="Verdana" w:hAnsi="Verdana" w:cstheme="minorHAnsi"/>
          <w:color w:val="4F81BD" w:themeColor="accent1"/>
          <w:sz w:val="24"/>
          <w:szCs w:val="24"/>
        </w:rPr>
      </w:pPr>
      <w:r w:rsidRPr="00733405">
        <w:rPr>
          <w:rFonts w:ascii="Verdana" w:hAnsi="Verdana" w:cstheme="minorHAnsi"/>
          <w:color w:val="4F81BD" w:themeColor="accent1"/>
          <w:sz w:val="24"/>
          <w:szCs w:val="24"/>
        </w:rPr>
        <w:t>ELABORACIÓN E IMPLEMENTACIÓN DE LOS PLANES ESTRATÉGICOS TERRITORIALES – PET Y ALINEACIÓN CON LOS PLANES DE ACCIÓN REGIONAL - PAR</w:t>
      </w:r>
    </w:p>
    <w:p w:rsidR="00B722F2" w:rsidRPr="00581D8C" w:rsidRDefault="00B722F2" w:rsidP="00B722F2">
      <w:pPr>
        <w:pStyle w:val="Prrafodelista"/>
        <w:rPr>
          <w:rFonts w:ascii="Verdana" w:hAnsi="Verdana" w:cs="Calibri"/>
          <w:sz w:val="24"/>
          <w:szCs w:val="24"/>
        </w:rPr>
      </w:pPr>
    </w:p>
    <w:p w:rsidR="00B722F2" w:rsidRPr="00581D8C" w:rsidRDefault="00B722F2" w:rsidP="00905C49">
      <w:pPr>
        <w:pStyle w:val="Prrafodelista"/>
        <w:numPr>
          <w:ilvl w:val="0"/>
          <w:numId w:val="90"/>
        </w:numPr>
        <w:spacing w:after="0" w:line="240" w:lineRule="auto"/>
        <w:jc w:val="both"/>
        <w:rPr>
          <w:rFonts w:ascii="Verdana" w:hAnsi="Verdana" w:cs="Calibri"/>
          <w:sz w:val="24"/>
          <w:szCs w:val="24"/>
        </w:rPr>
      </w:pPr>
      <w:r w:rsidRPr="00581D8C">
        <w:rPr>
          <w:rFonts w:ascii="Verdana" w:hAnsi="Verdana" w:cs="Calibri"/>
          <w:sz w:val="24"/>
          <w:szCs w:val="24"/>
        </w:rPr>
        <w:t>Se elaboró un PET en cada región, el cual es un documento se determina la estrategia o estrategias particulares que inciden y permiten alcanzar las metas de la política. Los PET se elaborarán o actualizarán cada cuatro años, con revisión anual y de manera excepcional cuando el Índice Sintético de Consolidación así lo determine, o cuando se presenten cambios en la Política Nacional de Seguridad.</w:t>
      </w:r>
    </w:p>
    <w:p w:rsidR="00581D8C" w:rsidRDefault="00581D8C" w:rsidP="00581D8C">
      <w:pPr>
        <w:pStyle w:val="Prrafodelista"/>
        <w:spacing w:after="0" w:line="240" w:lineRule="auto"/>
        <w:ind w:left="360"/>
        <w:rPr>
          <w:rFonts w:ascii="Verdana" w:hAnsi="Verdana" w:cstheme="minorHAnsi"/>
          <w:sz w:val="24"/>
          <w:szCs w:val="24"/>
        </w:rPr>
      </w:pPr>
    </w:p>
    <w:p w:rsidR="00B722F2" w:rsidRPr="00733405" w:rsidRDefault="00B722F2" w:rsidP="00733405">
      <w:pPr>
        <w:spacing w:after="0" w:line="240" w:lineRule="auto"/>
        <w:jc w:val="both"/>
        <w:rPr>
          <w:rFonts w:ascii="Verdana" w:hAnsi="Verdana" w:cstheme="minorHAnsi"/>
          <w:color w:val="4F81BD" w:themeColor="accent1"/>
          <w:sz w:val="24"/>
          <w:szCs w:val="24"/>
        </w:rPr>
      </w:pPr>
      <w:r w:rsidRPr="00733405">
        <w:rPr>
          <w:rFonts w:ascii="Verdana" w:hAnsi="Verdana" w:cstheme="minorHAnsi"/>
          <w:color w:val="4F81BD" w:themeColor="accent1"/>
          <w:sz w:val="24"/>
          <w:szCs w:val="24"/>
        </w:rPr>
        <w:t>FORTALECIMIENTO DE INSTANCIAS DE FORMULACIÓN DE POLÍTICA PÚBLICAS LOCALES A PARTIR DEL CONCEPTO DE LA PARTICIPACIÓN CIUDADANA</w:t>
      </w:r>
    </w:p>
    <w:p w:rsidR="00B722F2" w:rsidRPr="00581D8C" w:rsidRDefault="00B722F2" w:rsidP="00B722F2">
      <w:pPr>
        <w:spacing w:after="0"/>
        <w:rPr>
          <w:rFonts w:ascii="Verdana" w:hAnsi="Verdana" w:cstheme="minorHAnsi"/>
          <w:sz w:val="24"/>
          <w:szCs w:val="24"/>
        </w:rPr>
      </w:pPr>
    </w:p>
    <w:p w:rsidR="00B722F2" w:rsidRPr="00581D8C" w:rsidRDefault="00B722F2" w:rsidP="00905C49">
      <w:pPr>
        <w:pStyle w:val="Prrafodelista"/>
        <w:numPr>
          <w:ilvl w:val="0"/>
          <w:numId w:val="90"/>
        </w:numPr>
        <w:spacing w:after="0" w:line="240" w:lineRule="auto"/>
        <w:jc w:val="both"/>
        <w:rPr>
          <w:rFonts w:ascii="Verdana" w:hAnsi="Verdana" w:cs="Calibri"/>
          <w:sz w:val="24"/>
          <w:szCs w:val="24"/>
        </w:rPr>
      </w:pPr>
      <w:r w:rsidRPr="00581D8C">
        <w:rPr>
          <w:rFonts w:ascii="Verdana" w:hAnsi="Verdana" w:cs="Calibri"/>
          <w:sz w:val="24"/>
          <w:szCs w:val="24"/>
        </w:rPr>
        <w:t xml:space="preserve">Asesoría y acompañamiento a las gerencias regionales para el fortalecimiento de la participación ciudadana y de las instancias de formulación de políticas públicas. A partir de este componente, hoy las comunidades de las zonas focalizadas tienen mayor acceso a espacios de participación y de decisión de políticas. </w:t>
      </w:r>
    </w:p>
    <w:p w:rsidR="00B722F2" w:rsidRPr="00581D8C" w:rsidRDefault="00B722F2" w:rsidP="00B722F2">
      <w:pPr>
        <w:pStyle w:val="Prrafodelista"/>
        <w:ind w:left="360"/>
        <w:jc w:val="both"/>
        <w:rPr>
          <w:rFonts w:ascii="Verdana" w:hAnsi="Verdana" w:cs="Calibri"/>
          <w:sz w:val="24"/>
          <w:szCs w:val="24"/>
        </w:rPr>
      </w:pPr>
    </w:p>
    <w:p w:rsidR="00B722F2" w:rsidRPr="00581D8C" w:rsidRDefault="00B722F2" w:rsidP="00905C49">
      <w:pPr>
        <w:pStyle w:val="Prrafodelista"/>
        <w:numPr>
          <w:ilvl w:val="0"/>
          <w:numId w:val="90"/>
        </w:numPr>
        <w:spacing w:after="0" w:line="240" w:lineRule="auto"/>
        <w:jc w:val="both"/>
        <w:rPr>
          <w:rFonts w:ascii="Verdana" w:hAnsi="Verdana" w:cs="Calibri"/>
          <w:sz w:val="24"/>
          <w:szCs w:val="24"/>
        </w:rPr>
      </w:pPr>
      <w:r w:rsidRPr="00581D8C">
        <w:rPr>
          <w:rFonts w:ascii="Verdana" w:hAnsi="Verdana" w:cs="Calibri"/>
          <w:sz w:val="24"/>
          <w:szCs w:val="24"/>
        </w:rPr>
        <w:t>Las Gerencias y Coordinaciones Regionales de la UACT, han venido participando activamente en los Comités de Inclusión Social, logrando definir planes de trabajo conjunto para la implementación de la Política de Inclusión Social en los territorios y la gestión y articulación de acciones con el sector privado y de cooperación.</w:t>
      </w:r>
    </w:p>
    <w:p w:rsidR="00B722F2" w:rsidRPr="00581D8C" w:rsidRDefault="00B722F2" w:rsidP="00B722F2">
      <w:pPr>
        <w:pStyle w:val="Prrafodelista"/>
        <w:ind w:left="360"/>
        <w:jc w:val="both"/>
        <w:rPr>
          <w:rFonts w:ascii="Verdana" w:hAnsi="Verdana" w:cs="Calibri"/>
          <w:sz w:val="24"/>
          <w:szCs w:val="24"/>
        </w:rPr>
      </w:pPr>
    </w:p>
    <w:p w:rsidR="00B722F2" w:rsidRPr="00733405" w:rsidRDefault="00B722F2" w:rsidP="00733405">
      <w:pPr>
        <w:spacing w:after="0" w:line="240" w:lineRule="auto"/>
        <w:jc w:val="both"/>
        <w:rPr>
          <w:rFonts w:ascii="Verdana" w:hAnsi="Verdana" w:cstheme="minorHAnsi"/>
          <w:color w:val="4F81BD" w:themeColor="accent1"/>
          <w:sz w:val="24"/>
          <w:szCs w:val="24"/>
        </w:rPr>
      </w:pPr>
      <w:r w:rsidRPr="00733405">
        <w:rPr>
          <w:rFonts w:ascii="Verdana" w:hAnsi="Verdana" w:cstheme="minorHAnsi"/>
          <w:color w:val="4F81BD" w:themeColor="accent1"/>
          <w:sz w:val="24"/>
          <w:szCs w:val="24"/>
        </w:rPr>
        <w:t>PLANEACIÓN, GESTIÓN Y REALIZACIÓN DE EVENTOS DE DIRECCIONAMIENTO ESTRATÉGICO PARA EL FORTALECIMIENTO SUBSECTORES PRODUCTIVOS</w:t>
      </w:r>
    </w:p>
    <w:p w:rsidR="00B722F2" w:rsidRPr="00581D8C" w:rsidRDefault="00B722F2" w:rsidP="00B722F2">
      <w:pPr>
        <w:pStyle w:val="Prrafodelista"/>
        <w:ind w:left="360"/>
        <w:rPr>
          <w:rFonts w:ascii="Verdana" w:hAnsi="Verdana" w:cstheme="minorHAnsi"/>
          <w:sz w:val="24"/>
          <w:szCs w:val="24"/>
        </w:rPr>
      </w:pPr>
    </w:p>
    <w:p w:rsidR="00B722F2" w:rsidRPr="00581D8C" w:rsidRDefault="00B722F2" w:rsidP="00905C49">
      <w:pPr>
        <w:pStyle w:val="Prrafodelista"/>
        <w:numPr>
          <w:ilvl w:val="0"/>
          <w:numId w:val="90"/>
        </w:numPr>
        <w:spacing w:after="0" w:line="240" w:lineRule="auto"/>
        <w:jc w:val="both"/>
        <w:rPr>
          <w:rFonts w:ascii="Verdana" w:hAnsi="Verdana" w:cs="Calibri"/>
          <w:sz w:val="24"/>
          <w:szCs w:val="24"/>
        </w:rPr>
      </w:pPr>
      <w:r w:rsidRPr="00581D8C">
        <w:rPr>
          <w:rFonts w:ascii="Verdana" w:hAnsi="Verdana" w:cs="Calibri"/>
          <w:sz w:val="24"/>
          <w:szCs w:val="24"/>
        </w:rPr>
        <w:t>Fortalecimiento de los subsectores productivos identificados como relevantes para el desarrollo económico de las regiones de consolidación</w:t>
      </w:r>
    </w:p>
    <w:p w:rsidR="00B722F2" w:rsidRPr="00581D8C" w:rsidRDefault="00B722F2" w:rsidP="00B722F2">
      <w:pPr>
        <w:spacing w:after="0"/>
        <w:jc w:val="both"/>
        <w:rPr>
          <w:rFonts w:ascii="Verdana" w:hAnsi="Verdana" w:cs="Calibri"/>
          <w:sz w:val="24"/>
          <w:szCs w:val="24"/>
        </w:rPr>
      </w:pPr>
    </w:p>
    <w:p w:rsidR="00B722F2" w:rsidRPr="00733405" w:rsidRDefault="00B722F2" w:rsidP="00733405">
      <w:pPr>
        <w:spacing w:after="0" w:line="240" w:lineRule="auto"/>
        <w:jc w:val="both"/>
        <w:rPr>
          <w:rFonts w:ascii="Verdana" w:hAnsi="Verdana" w:cstheme="minorHAnsi"/>
          <w:color w:val="4F81BD" w:themeColor="accent1"/>
          <w:sz w:val="24"/>
          <w:szCs w:val="24"/>
        </w:rPr>
      </w:pPr>
      <w:r w:rsidRPr="00733405">
        <w:rPr>
          <w:rFonts w:ascii="Verdana" w:hAnsi="Verdana" w:cstheme="minorHAnsi"/>
          <w:color w:val="4F81BD" w:themeColor="accent1"/>
          <w:sz w:val="24"/>
          <w:szCs w:val="24"/>
        </w:rPr>
        <w:t>COMPLEMENTO A LA ESTRATEGIA DE GENERACIÓN DE CONFIANZA</w:t>
      </w:r>
    </w:p>
    <w:p w:rsidR="00B722F2" w:rsidRPr="00733405" w:rsidRDefault="00B722F2" w:rsidP="00733405">
      <w:pPr>
        <w:spacing w:after="0" w:line="240" w:lineRule="auto"/>
        <w:jc w:val="both"/>
        <w:rPr>
          <w:rFonts w:ascii="Verdana" w:hAnsi="Verdana" w:cstheme="minorHAnsi"/>
          <w:color w:val="4F81BD" w:themeColor="accent1"/>
          <w:sz w:val="24"/>
          <w:szCs w:val="24"/>
        </w:rPr>
      </w:pPr>
    </w:p>
    <w:p w:rsidR="00B722F2" w:rsidRPr="00581D8C" w:rsidRDefault="00B722F2" w:rsidP="00905C49">
      <w:pPr>
        <w:pStyle w:val="Prrafodelista"/>
        <w:numPr>
          <w:ilvl w:val="0"/>
          <w:numId w:val="90"/>
        </w:numPr>
        <w:autoSpaceDE w:val="0"/>
        <w:autoSpaceDN w:val="0"/>
        <w:adjustRightInd w:val="0"/>
        <w:spacing w:after="0" w:line="240" w:lineRule="auto"/>
        <w:jc w:val="both"/>
        <w:rPr>
          <w:rFonts w:ascii="Verdana" w:hAnsi="Verdana" w:cstheme="minorHAnsi"/>
          <w:sz w:val="24"/>
          <w:szCs w:val="24"/>
        </w:rPr>
      </w:pPr>
      <w:r w:rsidRPr="00581D8C">
        <w:rPr>
          <w:rFonts w:ascii="Verdana" w:hAnsi="Verdana" w:cstheme="minorHAnsi"/>
          <w:sz w:val="24"/>
          <w:szCs w:val="24"/>
        </w:rPr>
        <w:t xml:space="preserve">A </w:t>
      </w:r>
      <w:r w:rsidRPr="00581D8C">
        <w:rPr>
          <w:rFonts w:ascii="Verdana" w:hAnsi="Verdana" w:cstheme="minorHAnsi"/>
        </w:rPr>
        <w:t>diciembre</w:t>
      </w:r>
      <w:r w:rsidRPr="00581D8C">
        <w:rPr>
          <w:rFonts w:ascii="Verdana" w:hAnsi="Verdana" w:cstheme="minorHAnsi"/>
          <w:sz w:val="24"/>
          <w:szCs w:val="24"/>
        </w:rPr>
        <w:t xml:space="preserve"> de 2014 se movilizaron 3´</w:t>
      </w:r>
      <w:r w:rsidRPr="00581D8C">
        <w:rPr>
          <w:rFonts w:ascii="Verdana" w:hAnsi="Verdana" w:cstheme="minorHAnsi"/>
        </w:rPr>
        <w:t>257.359.995 millones</w:t>
      </w:r>
      <w:r w:rsidRPr="00581D8C">
        <w:rPr>
          <w:rFonts w:ascii="Verdana" w:hAnsi="Verdana" w:cstheme="minorHAnsi"/>
          <w:sz w:val="24"/>
          <w:szCs w:val="24"/>
        </w:rPr>
        <w:t xml:space="preserve"> de pesos en activos entregados en las diferentes Jornadas de Apoyo al Desarrollo adelantadas en las zonas focalizadas por la PNCRT.</w:t>
      </w:r>
    </w:p>
    <w:p w:rsidR="002955B2" w:rsidRPr="002955B2" w:rsidRDefault="002955B2" w:rsidP="002955B2">
      <w:pPr>
        <w:spacing w:after="0" w:line="240" w:lineRule="auto"/>
        <w:jc w:val="both"/>
        <w:rPr>
          <w:rFonts w:ascii="Verdana" w:hAnsi="Verdana"/>
          <w:b/>
          <w:color w:val="4F81BD" w:themeColor="accent1"/>
          <w:sz w:val="24"/>
          <w:szCs w:val="24"/>
        </w:rPr>
      </w:pPr>
      <w:r w:rsidRPr="002955B2">
        <w:rPr>
          <w:rFonts w:ascii="Verdana" w:hAnsi="Verdana"/>
          <w:b/>
          <w:noProof/>
          <w:color w:val="4F81BD" w:themeColor="accent1"/>
          <w:sz w:val="24"/>
          <w:szCs w:val="24"/>
          <w:lang w:eastAsia="es-CO"/>
        </w:rPr>
        <w:drawing>
          <wp:inline distT="0" distB="0" distL="0" distR="0">
            <wp:extent cx="216024" cy="216024"/>
            <wp:effectExtent l="19050" t="0" r="0" b="0"/>
            <wp:docPr id="489" name="Objeto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6300192" y="4869160"/>
                      <a:chExt cx="216024" cy="216024"/>
                    </a:xfrm>
                  </a:grpSpPr>
                  <a:sp>
                    <a:nvSpPr>
                      <a:cNvPr id="42" name="41 Rectángulo redondeado"/>
                      <a:cNvSpPr/>
                    </a:nvSpPr>
                    <a:spPr>
                      <a:xfrm>
                        <a:off x="6300192" y="4869160"/>
                        <a:ext cx="216024" cy="216024"/>
                      </a:xfrm>
                      <a:prstGeom prst="roundRect">
                        <a:avLst/>
                      </a:prstGeom>
                      <a:gradFill flip="none" rotWithShape="1">
                        <a:gsLst>
                          <a:gs pos="0">
                            <a:schemeClr val="bg1">
                              <a:lumMod val="65000"/>
                              <a:shade val="30000"/>
                              <a:satMod val="115000"/>
                            </a:schemeClr>
                          </a:gs>
                          <a:gs pos="50000">
                            <a:schemeClr val="bg1">
                              <a:lumMod val="65000"/>
                              <a:shade val="67500"/>
                              <a:satMod val="115000"/>
                            </a:schemeClr>
                          </a:gs>
                          <a:gs pos="100000">
                            <a:schemeClr val="bg1">
                              <a:lumMod val="65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hAnsi="Verdana"/>
          <w:b/>
          <w:color w:val="4F81BD" w:themeColor="accent1"/>
          <w:sz w:val="24"/>
          <w:szCs w:val="24"/>
        </w:rPr>
        <w:t xml:space="preserve">  </w:t>
      </w:r>
      <w:r w:rsidRPr="002955B2">
        <w:rPr>
          <w:rFonts w:ascii="Verdana" w:hAnsi="Verdana"/>
          <w:b/>
          <w:color w:val="4F81BD" w:themeColor="accent1"/>
          <w:sz w:val="24"/>
          <w:szCs w:val="24"/>
        </w:rPr>
        <w:t>CONTRATACIÓN</w:t>
      </w:r>
    </w:p>
    <w:tbl>
      <w:tblPr>
        <w:tblW w:w="5000" w:type="pct"/>
        <w:tblCellMar>
          <w:left w:w="70" w:type="dxa"/>
          <w:right w:w="70" w:type="dxa"/>
        </w:tblCellMar>
        <w:tblLook w:val="04A0"/>
      </w:tblPr>
      <w:tblGrid>
        <w:gridCol w:w="2890"/>
        <w:gridCol w:w="3567"/>
        <w:gridCol w:w="1279"/>
        <w:gridCol w:w="1102"/>
        <w:gridCol w:w="1328"/>
      </w:tblGrid>
      <w:tr w:rsidR="002955B2" w:rsidRPr="00985600" w:rsidTr="002955B2">
        <w:trPr>
          <w:trHeight w:val="210"/>
        </w:trPr>
        <w:tc>
          <w:tcPr>
            <w:tcW w:w="1427" w:type="pct"/>
            <w:tcBorders>
              <w:top w:val="nil"/>
              <w:left w:val="nil"/>
              <w:bottom w:val="nil"/>
              <w:right w:val="nil"/>
            </w:tcBorders>
            <w:shd w:val="clear" w:color="auto" w:fill="auto"/>
            <w:vAlign w:val="center"/>
            <w:hideMark/>
          </w:tcPr>
          <w:p w:rsidR="002955B2" w:rsidRPr="00985600" w:rsidRDefault="002955B2" w:rsidP="00F33CF6">
            <w:pPr>
              <w:spacing w:after="0" w:line="240" w:lineRule="auto"/>
              <w:rPr>
                <w:rFonts w:ascii="Times New Roman" w:eastAsia="Times New Roman" w:hAnsi="Times New Roman" w:cs="Times New Roman"/>
                <w:sz w:val="24"/>
                <w:szCs w:val="24"/>
                <w:lang w:eastAsia="es-CO"/>
              </w:rPr>
            </w:pPr>
          </w:p>
        </w:tc>
        <w:tc>
          <w:tcPr>
            <w:tcW w:w="1759" w:type="pct"/>
            <w:tcBorders>
              <w:top w:val="nil"/>
              <w:left w:val="nil"/>
              <w:bottom w:val="nil"/>
              <w:right w:val="nil"/>
            </w:tcBorders>
            <w:shd w:val="clear" w:color="auto" w:fill="auto"/>
            <w:vAlign w:val="center"/>
            <w:hideMark/>
          </w:tcPr>
          <w:p w:rsidR="002955B2" w:rsidRPr="00985600" w:rsidRDefault="002955B2" w:rsidP="00F33CF6">
            <w:pPr>
              <w:spacing w:after="0" w:line="240" w:lineRule="auto"/>
              <w:rPr>
                <w:rFonts w:ascii="Times New Roman" w:eastAsia="Times New Roman" w:hAnsi="Times New Roman" w:cs="Times New Roman"/>
                <w:sz w:val="20"/>
                <w:szCs w:val="20"/>
                <w:lang w:eastAsia="es-CO"/>
              </w:rPr>
            </w:pPr>
          </w:p>
        </w:tc>
        <w:tc>
          <w:tcPr>
            <w:tcW w:w="626" w:type="pct"/>
            <w:tcBorders>
              <w:top w:val="nil"/>
              <w:left w:val="nil"/>
              <w:bottom w:val="nil"/>
              <w:right w:val="nil"/>
            </w:tcBorders>
            <w:shd w:val="clear" w:color="auto" w:fill="auto"/>
            <w:vAlign w:val="center"/>
            <w:hideMark/>
          </w:tcPr>
          <w:p w:rsidR="002955B2" w:rsidRPr="00985600" w:rsidRDefault="002955B2" w:rsidP="00F33CF6">
            <w:pPr>
              <w:spacing w:after="0" w:line="240" w:lineRule="auto"/>
              <w:rPr>
                <w:rFonts w:ascii="Times New Roman" w:eastAsia="Times New Roman" w:hAnsi="Times New Roman" w:cs="Times New Roman"/>
                <w:sz w:val="20"/>
                <w:szCs w:val="20"/>
                <w:lang w:eastAsia="es-CO"/>
              </w:rPr>
            </w:pPr>
          </w:p>
        </w:tc>
        <w:tc>
          <w:tcPr>
            <w:tcW w:w="534" w:type="pct"/>
            <w:tcBorders>
              <w:top w:val="nil"/>
              <w:left w:val="nil"/>
              <w:bottom w:val="nil"/>
              <w:right w:val="nil"/>
            </w:tcBorders>
            <w:shd w:val="clear" w:color="auto" w:fill="auto"/>
            <w:vAlign w:val="center"/>
            <w:hideMark/>
          </w:tcPr>
          <w:p w:rsidR="002955B2" w:rsidRPr="00985600" w:rsidRDefault="002955B2" w:rsidP="00F33CF6">
            <w:pPr>
              <w:spacing w:after="0" w:line="240" w:lineRule="auto"/>
              <w:rPr>
                <w:rFonts w:ascii="Times New Roman" w:eastAsia="Times New Roman" w:hAnsi="Times New Roman" w:cs="Times New Roman"/>
                <w:sz w:val="20"/>
                <w:szCs w:val="20"/>
                <w:lang w:eastAsia="es-CO"/>
              </w:rPr>
            </w:pPr>
          </w:p>
        </w:tc>
        <w:tc>
          <w:tcPr>
            <w:tcW w:w="654" w:type="pct"/>
            <w:tcBorders>
              <w:top w:val="nil"/>
              <w:left w:val="nil"/>
              <w:bottom w:val="nil"/>
              <w:right w:val="nil"/>
            </w:tcBorders>
            <w:shd w:val="clear" w:color="auto" w:fill="auto"/>
            <w:vAlign w:val="center"/>
            <w:hideMark/>
          </w:tcPr>
          <w:p w:rsidR="002955B2" w:rsidRPr="00985600" w:rsidRDefault="002955B2" w:rsidP="00F33CF6">
            <w:pPr>
              <w:spacing w:after="0" w:line="240" w:lineRule="auto"/>
              <w:rPr>
                <w:rFonts w:ascii="Times New Roman" w:eastAsia="Times New Roman" w:hAnsi="Times New Roman" w:cs="Times New Roman"/>
                <w:sz w:val="20"/>
                <w:szCs w:val="20"/>
                <w:lang w:eastAsia="es-CO"/>
              </w:rPr>
            </w:pPr>
          </w:p>
        </w:tc>
      </w:tr>
      <w:tr w:rsidR="002955B2" w:rsidRPr="00985600" w:rsidTr="002955B2">
        <w:trPr>
          <w:trHeight w:val="210"/>
        </w:trPr>
        <w:tc>
          <w:tcPr>
            <w:tcW w:w="1427" w:type="pct"/>
            <w:tcBorders>
              <w:top w:val="nil"/>
              <w:left w:val="nil"/>
              <w:bottom w:val="nil"/>
              <w:right w:val="nil"/>
            </w:tcBorders>
            <w:shd w:val="clear" w:color="auto" w:fill="auto"/>
            <w:noWrap/>
            <w:vAlign w:val="bottom"/>
            <w:hideMark/>
          </w:tcPr>
          <w:p w:rsidR="002955B2" w:rsidRPr="00985600" w:rsidRDefault="002955B2" w:rsidP="00F33CF6">
            <w:pPr>
              <w:spacing w:after="0" w:line="240" w:lineRule="auto"/>
              <w:rPr>
                <w:rFonts w:ascii="Times New Roman" w:eastAsia="Times New Roman" w:hAnsi="Times New Roman" w:cs="Times New Roman"/>
                <w:sz w:val="20"/>
                <w:szCs w:val="20"/>
                <w:lang w:eastAsia="es-CO"/>
              </w:rPr>
            </w:pPr>
          </w:p>
        </w:tc>
        <w:tc>
          <w:tcPr>
            <w:tcW w:w="1759" w:type="pct"/>
            <w:tcBorders>
              <w:top w:val="nil"/>
              <w:left w:val="nil"/>
              <w:bottom w:val="nil"/>
              <w:right w:val="nil"/>
            </w:tcBorders>
            <w:shd w:val="clear" w:color="auto" w:fill="auto"/>
            <w:vAlign w:val="center"/>
            <w:hideMark/>
          </w:tcPr>
          <w:p w:rsidR="002955B2" w:rsidRPr="00985600" w:rsidRDefault="002955B2" w:rsidP="00F33CF6">
            <w:pPr>
              <w:spacing w:after="0" w:line="240" w:lineRule="auto"/>
              <w:rPr>
                <w:rFonts w:ascii="Times New Roman" w:eastAsia="Times New Roman" w:hAnsi="Times New Roman" w:cs="Times New Roman"/>
                <w:sz w:val="20"/>
                <w:szCs w:val="20"/>
                <w:lang w:eastAsia="es-CO"/>
              </w:rPr>
            </w:pPr>
          </w:p>
        </w:tc>
        <w:tc>
          <w:tcPr>
            <w:tcW w:w="1814" w:type="pct"/>
            <w:gridSpan w:val="3"/>
            <w:tcBorders>
              <w:top w:val="nil"/>
              <w:left w:val="nil"/>
              <w:bottom w:val="nil"/>
              <w:right w:val="nil"/>
            </w:tcBorders>
            <w:shd w:val="clear" w:color="DDEBF7" w:fill="DDEBF7"/>
            <w:vAlign w:val="center"/>
            <w:hideMark/>
          </w:tcPr>
          <w:p w:rsidR="002955B2" w:rsidRPr="00985600" w:rsidRDefault="002955B2" w:rsidP="00F33CF6">
            <w:pPr>
              <w:spacing w:after="0" w:line="240" w:lineRule="auto"/>
              <w:jc w:val="center"/>
              <w:rPr>
                <w:rFonts w:ascii="Verdana" w:eastAsia="Times New Roman" w:hAnsi="Verdana" w:cs="Times New Roman"/>
                <w:b/>
                <w:bCs/>
                <w:color w:val="000000"/>
                <w:sz w:val="16"/>
                <w:szCs w:val="16"/>
                <w:lang w:eastAsia="es-CO"/>
              </w:rPr>
            </w:pPr>
            <w:r w:rsidRPr="00985600">
              <w:rPr>
                <w:rFonts w:ascii="Verdana" w:eastAsia="Times New Roman" w:hAnsi="Verdana" w:cs="Times New Roman"/>
                <w:b/>
                <w:bCs/>
                <w:color w:val="000000"/>
                <w:sz w:val="16"/>
                <w:szCs w:val="16"/>
                <w:lang w:eastAsia="es-CO"/>
              </w:rPr>
              <w:t>ESTADO CONTRATO</w:t>
            </w:r>
          </w:p>
        </w:tc>
      </w:tr>
      <w:tr w:rsidR="002955B2" w:rsidRPr="00985600" w:rsidTr="002955B2">
        <w:trPr>
          <w:trHeight w:val="225"/>
        </w:trPr>
        <w:tc>
          <w:tcPr>
            <w:tcW w:w="1427" w:type="pct"/>
            <w:tcBorders>
              <w:top w:val="nil"/>
              <w:left w:val="nil"/>
              <w:bottom w:val="single" w:sz="12" w:space="0" w:color="FFFFFF"/>
              <w:right w:val="single" w:sz="4" w:space="0" w:color="FFFFFF"/>
            </w:tcBorders>
            <w:shd w:val="clear" w:color="5B9BD5" w:fill="5B9BD5"/>
            <w:noWrap/>
            <w:vAlign w:val="bottom"/>
            <w:hideMark/>
          </w:tcPr>
          <w:p w:rsidR="002955B2" w:rsidRPr="00985600" w:rsidRDefault="002955B2" w:rsidP="00F33CF6">
            <w:pPr>
              <w:spacing w:after="0" w:line="240" w:lineRule="auto"/>
              <w:rPr>
                <w:rFonts w:ascii="Verdana" w:eastAsia="Times New Roman" w:hAnsi="Verdana" w:cs="Times New Roman"/>
                <w:b/>
                <w:bCs/>
                <w:color w:val="FFFFFF"/>
                <w:sz w:val="16"/>
                <w:szCs w:val="16"/>
                <w:lang w:eastAsia="es-CO"/>
              </w:rPr>
            </w:pPr>
            <w:r w:rsidRPr="00985600">
              <w:rPr>
                <w:rFonts w:ascii="Verdana" w:eastAsia="Times New Roman" w:hAnsi="Verdana" w:cs="Times New Roman"/>
                <w:b/>
                <w:bCs/>
                <w:color w:val="FFFFFF"/>
                <w:sz w:val="16"/>
                <w:szCs w:val="16"/>
                <w:lang w:eastAsia="es-CO"/>
              </w:rPr>
              <w:t>MODALIDAD</w:t>
            </w:r>
          </w:p>
        </w:tc>
        <w:tc>
          <w:tcPr>
            <w:tcW w:w="1759" w:type="pct"/>
            <w:tcBorders>
              <w:top w:val="nil"/>
              <w:left w:val="nil"/>
              <w:bottom w:val="single" w:sz="12" w:space="0" w:color="FFFFFF"/>
              <w:right w:val="single" w:sz="4" w:space="0" w:color="FFFFFF"/>
            </w:tcBorders>
            <w:shd w:val="clear" w:color="5B9BD5" w:fill="5B9BD5"/>
            <w:noWrap/>
            <w:vAlign w:val="bottom"/>
            <w:hideMark/>
          </w:tcPr>
          <w:p w:rsidR="002955B2" w:rsidRPr="00985600" w:rsidRDefault="002955B2" w:rsidP="00F33CF6">
            <w:pPr>
              <w:spacing w:after="0" w:line="240" w:lineRule="auto"/>
              <w:rPr>
                <w:rFonts w:ascii="Verdana" w:eastAsia="Times New Roman" w:hAnsi="Verdana" w:cs="Times New Roman"/>
                <w:b/>
                <w:bCs/>
                <w:color w:val="FFFFFF"/>
                <w:sz w:val="16"/>
                <w:szCs w:val="16"/>
                <w:lang w:eastAsia="es-CO"/>
              </w:rPr>
            </w:pPr>
            <w:r w:rsidRPr="00985600">
              <w:rPr>
                <w:rFonts w:ascii="Verdana" w:eastAsia="Times New Roman" w:hAnsi="Verdana" w:cs="Times New Roman"/>
                <w:b/>
                <w:bCs/>
                <w:color w:val="FFFFFF"/>
                <w:sz w:val="16"/>
                <w:szCs w:val="16"/>
                <w:lang w:eastAsia="es-CO"/>
              </w:rPr>
              <w:t>TIPO CONTRATO</w:t>
            </w:r>
          </w:p>
        </w:tc>
        <w:tc>
          <w:tcPr>
            <w:tcW w:w="626" w:type="pct"/>
            <w:tcBorders>
              <w:top w:val="nil"/>
              <w:left w:val="nil"/>
              <w:bottom w:val="single" w:sz="12" w:space="0" w:color="FFFFFF"/>
              <w:right w:val="single" w:sz="4" w:space="0" w:color="FFFFFF"/>
            </w:tcBorders>
            <w:shd w:val="clear" w:color="5B9BD5" w:fill="5B9BD5"/>
            <w:noWrap/>
            <w:vAlign w:val="bottom"/>
            <w:hideMark/>
          </w:tcPr>
          <w:p w:rsidR="002955B2" w:rsidRPr="00985600" w:rsidRDefault="002955B2" w:rsidP="00F33CF6">
            <w:pPr>
              <w:spacing w:after="0" w:line="240" w:lineRule="auto"/>
              <w:rPr>
                <w:rFonts w:ascii="Verdana" w:eastAsia="Times New Roman" w:hAnsi="Verdana" w:cs="Times New Roman"/>
                <w:b/>
                <w:bCs/>
                <w:color w:val="FFFFFF"/>
                <w:sz w:val="16"/>
                <w:szCs w:val="16"/>
                <w:lang w:eastAsia="es-CO"/>
              </w:rPr>
            </w:pPr>
            <w:r w:rsidRPr="00985600">
              <w:rPr>
                <w:rFonts w:ascii="Verdana" w:eastAsia="Times New Roman" w:hAnsi="Verdana" w:cs="Times New Roman"/>
                <w:b/>
                <w:bCs/>
                <w:color w:val="FFFFFF"/>
                <w:sz w:val="16"/>
                <w:szCs w:val="16"/>
                <w:lang w:eastAsia="es-CO"/>
              </w:rPr>
              <w:t>En Ejecución</w:t>
            </w:r>
          </w:p>
        </w:tc>
        <w:tc>
          <w:tcPr>
            <w:tcW w:w="534" w:type="pct"/>
            <w:tcBorders>
              <w:top w:val="nil"/>
              <w:left w:val="nil"/>
              <w:bottom w:val="single" w:sz="12" w:space="0" w:color="FFFFFF"/>
              <w:right w:val="single" w:sz="4" w:space="0" w:color="FFFFFF"/>
            </w:tcBorders>
            <w:shd w:val="clear" w:color="5B9BD5" w:fill="5B9BD5"/>
            <w:noWrap/>
            <w:vAlign w:val="bottom"/>
            <w:hideMark/>
          </w:tcPr>
          <w:p w:rsidR="002955B2" w:rsidRPr="00985600" w:rsidRDefault="002955B2" w:rsidP="00F33CF6">
            <w:pPr>
              <w:spacing w:after="0" w:line="240" w:lineRule="auto"/>
              <w:rPr>
                <w:rFonts w:ascii="Verdana" w:eastAsia="Times New Roman" w:hAnsi="Verdana" w:cs="Times New Roman"/>
                <w:b/>
                <w:bCs/>
                <w:color w:val="FFFFFF"/>
                <w:sz w:val="16"/>
                <w:szCs w:val="16"/>
                <w:lang w:eastAsia="es-CO"/>
              </w:rPr>
            </w:pPr>
            <w:r w:rsidRPr="00985600">
              <w:rPr>
                <w:rFonts w:ascii="Verdana" w:eastAsia="Times New Roman" w:hAnsi="Verdana" w:cs="Times New Roman"/>
                <w:b/>
                <w:bCs/>
                <w:color w:val="FFFFFF"/>
                <w:sz w:val="16"/>
                <w:szCs w:val="16"/>
                <w:lang w:eastAsia="es-CO"/>
              </w:rPr>
              <w:t>Terminado</w:t>
            </w:r>
          </w:p>
        </w:tc>
        <w:tc>
          <w:tcPr>
            <w:tcW w:w="654" w:type="pct"/>
            <w:tcBorders>
              <w:top w:val="nil"/>
              <w:left w:val="nil"/>
              <w:bottom w:val="single" w:sz="12" w:space="0" w:color="FFFFFF"/>
              <w:right w:val="single" w:sz="4" w:space="0" w:color="FFFFFF"/>
            </w:tcBorders>
            <w:shd w:val="clear" w:color="5B9BD5" w:fill="5B9BD5"/>
            <w:noWrap/>
            <w:vAlign w:val="bottom"/>
            <w:hideMark/>
          </w:tcPr>
          <w:p w:rsidR="002955B2" w:rsidRPr="00985600" w:rsidRDefault="002955B2" w:rsidP="00F33CF6">
            <w:pPr>
              <w:spacing w:after="0" w:line="240" w:lineRule="auto"/>
              <w:rPr>
                <w:rFonts w:ascii="Verdana" w:eastAsia="Times New Roman" w:hAnsi="Verdana" w:cs="Times New Roman"/>
                <w:b/>
                <w:bCs/>
                <w:color w:val="FFFFFF"/>
                <w:sz w:val="16"/>
                <w:szCs w:val="16"/>
                <w:lang w:eastAsia="es-CO"/>
              </w:rPr>
            </w:pPr>
            <w:r w:rsidRPr="00985600">
              <w:rPr>
                <w:rFonts w:ascii="Verdana" w:eastAsia="Times New Roman" w:hAnsi="Verdana" w:cs="Times New Roman"/>
                <w:b/>
                <w:bCs/>
                <w:color w:val="FFFFFF"/>
                <w:sz w:val="16"/>
                <w:szCs w:val="16"/>
                <w:lang w:eastAsia="es-CO"/>
              </w:rPr>
              <w:t>Total general</w:t>
            </w:r>
          </w:p>
        </w:tc>
      </w:tr>
      <w:tr w:rsidR="002955B2" w:rsidRPr="00985600" w:rsidTr="002955B2">
        <w:trPr>
          <w:trHeight w:val="225"/>
        </w:trPr>
        <w:tc>
          <w:tcPr>
            <w:tcW w:w="1427" w:type="pct"/>
            <w:tcBorders>
              <w:top w:val="single" w:sz="4" w:space="0" w:color="FFFFFF"/>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xml:space="preserve">COMPRAVENTA </w:t>
            </w:r>
          </w:p>
        </w:tc>
        <w:tc>
          <w:tcPr>
            <w:tcW w:w="1759" w:type="pct"/>
            <w:tcBorders>
              <w:top w:val="single" w:sz="4" w:space="0" w:color="FFFFFF"/>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xml:space="preserve">COMPRAVENTA </w:t>
            </w:r>
          </w:p>
        </w:tc>
        <w:tc>
          <w:tcPr>
            <w:tcW w:w="626" w:type="pct"/>
            <w:tcBorders>
              <w:top w:val="single" w:sz="4" w:space="0" w:color="FFFFFF"/>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534" w:type="pct"/>
            <w:tcBorders>
              <w:top w:val="single" w:sz="4" w:space="0" w:color="FFFFFF"/>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1</w:t>
            </w:r>
          </w:p>
        </w:tc>
        <w:tc>
          <w:tcPr>
            <w:tcW w:w="654" w:type="pct"/>
            <w:tcBorders>
              <w:top w:val="single" w:sz="4" w:space="0" w:color="FFFFFF"/>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1</w:t>
            </w:r>
          </w:p>
        </w:tc>
      </w:tr>
      <w:tr w:rsidR="002955B2" w:rsidRPr="00985600" w:rsidTr="002955B2">
        <w:trPr>
          <w:trHeight w:val="210"/>
        </w:trPr>
        <w:tc>
          <w:tcPr>
            <w:tcW w:w="1427"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xml:space="preserve">Total COMPRAVENTA </w:t>
            </w:r>
          </w:p>
        </w:tc>
        <w:tc>
          <w:tcPr>
            <w:tcW w:w="1759"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626"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53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1</w:t>
            </w:r>
          </w:p>
        </w:tc>
        <w:tc>
          <w:tcPr>
            <w:tcW w:w="65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1</w:t>
            </w:r>
          </w:p>
        </w:tc>
      </w:tr>
      <w:tr w:rsidR="002955B2" w:rsidRPr="00985600" w:rsidTr="002955B2">
        <w:trPr>
          <w:trHeight w:val="210"/>
        </w:trPr>
        <w:tc>
          <w:tcPr>
            <w:tcW w:w="1427"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xml:space="preserve">CONTRATACIÓN DIRECTA </w:t>
            </w:r>
          </w:p>
        </w:tc>
        <w:tc>
          <w:tcPr>
            <w:tcW w:w="1759"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CONTRATO DE ARRENDAMIENTO</w:t>
            </w:r>
          </w:p>
        </w:tc>
        <w:tc>
          <w:tcPr>
            <w:tcW w:w="626"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534"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4</w:t>
            </w:r>
          </w:p>
        </w:tc>
        <w:tc>
          <w:tcPr>
            <w:tcW w:w="654"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4</w:t>
            </w:r>
          </w:p>
        </w:tc>
      </w:tr>
      <w:tr w:rsidR="002955B2" w:rsidRPr="00985600" w:rsidTr="002955B2">
        <w:trPr>
          <w:trHeight w:val="210"/>
        </w:trPr>
        <w:tc>
          <w:tcPr>
            <w:tcW w:w="1427"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1759"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CONTRATO DE COMPRAVENTA</w:t>
            </w:r>
          </w:p>
        </w:tc>
        <w:tc>
          <w:tcPr>
            <w:tcW w:w="626"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53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3</w:t>
            </w:r>
          </w:p>
        </w:tc>
        <w:tc>
          <w:tcPr>
            <w:tcW w:w="65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3</w:t>
            </w:r>
          </w:p>
        </w:tc>
      </w:tr>
      <w:tr w:rsidR="002955B2" w:rsidRPr="00985600" w:rsidTr="002955B2">
        <w:trPr>
          <w:trHeight w:val="210"/>
        </w:trPr>
        <w:tc>
          <w:tcPr>
            <w:tcW w:w="1427"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1759"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xml:space="preserve">CONTRATO DE SUMINISTROS </w:t>
            </w:r>
          </w:p>
        </w:tc>
        <w:tc>
          <w:tcPr>
            <w:tcW w:w="626"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534"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1</w:t>
            </w:r>
          </w:p>
        </w:tc>
        <w:tc>
          <w:tcPr>
            <w:tcW w:w="654"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1</w:t>
            </w:r>
          </w:p>
        </w:tc>
      </w:tr>
      <w:tr w:rsidR="002955B2" w:rsidRPr="00985600" w:rsidTr="002955B2">
        <w:trPr>
          <w:trHeight w:val="210"/>
        </w:trPr>
        <w:tc>
          <w:tcPr>
            <w:tcW w:w="1427"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1759"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CONTRATO TRIPARTITO</w:t>
            </w:r>
          </w:p>
        </w:tc>
        <w:tc>
          <w:tcPr>
            <w:tcW w:w="626"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53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1</w:t>
            </w:r>
          </w:p>
        </w:tc>
        <w:tc>
          <w:tcPr>
            <w:tcW w:w="65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1</w:t>
            </w:r>
          </w:p>
        </w:tc>
      </w:tr>
      <w:tr w:rsidR="002955B2" w:rsidRPr="00985600" w:rsidTr="002955B2">
        <w:trPr>
          <w:trHeight w:val="210"/>
        </w:trPr>
        <w:tc>
          <w:tcPr>
            <w:tcW w:w="1427"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1759"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CONVENIO DE ASOCIACIÓN</w:t>
            </w:r>
          </w:p>
        </w:tc>
        <w:tc>
          <w:tcPr>
            <w:tcW w:w="626"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6</w:t>
            </w:r>
          </w:p>
        </w:tc>
        <w:tc>
          <w:tcPr>
            <w:tcW w:w="534"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6</w:t>
            </w:r>
          </w:p>
        </w:tc>
        <w:tc>
          <w:tcPr>
            <w:tcW w:w="654"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12</w:t>
            </w:r>
          </w:p>
        </w:tc>
      </w:tr>
      <w:tr w:rsidR="002955B2" w:rsidRPr="00985600" w:rsidTr="002955B2">
        <w:trPr>
          <w:trHeight w:val="210"/>
        </w:trPr>
        <w:tc>
          <w:tcPr>
            <w:tcW w:w="1427"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1759"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xml:space="preserve">CONVENIO DE ASOCIACIÓN TRIPARTITO </w:t>
            </w:r>
          </w:p>
        </w:tc>
        <w:tc>
          <w:tcPr>
            <w:tcW w:w="626"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53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1</w:t>
            </w:r>
          </w:p>
        </w:tc>
        <w:tc>
          <w:tcPr>
            <w:tcW w:w="65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1</w:t>
            </w:r>
          </w:p>
        </w:tc>
      </w:tr>
      <w:tr w:rsidR="002955B2" w:rsidRPr="00985600" w:rsidTr="002955B2">
        <w:trPr>
          <w:trHeight w:val="210"/>
        </w:trPr>
        <w:tc>
          <w:tcPr>
            <w:tcW w:w="1427"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1759"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CONVENIO INTERADMINISTRATIVO</w:t>
            </w:r>
          </w:p>
        </w:tc>
        <w:tc>
          <w:tcPr>
            <w:tcW w:w="626"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5</w:t>
            </w:r>
          </w:p>
        </w:tc>
        <w:tc>
          <w:tcPr>
            <w:tcW w:w="534"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14</w:t>
            </w:r>
          </w:p>
        </w:tc>
        <w:tc>
          <w:tcPr>
            <w:tcW w:w="654"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19</w:t>
            </w:r>
          </w:p>
        </w:tc>
      </w:tr>
      <w:tr w:rsidR="002955B2" w:rsidRPr="00985600" w:rsidTr="002955B2">
        <w:trPr>
          <w:trHeight w:val="210"/>
        </w:trPr>
        <w:tc>
          <w:tcPr>
            <w:tcW w:w="1427"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1759"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CONVENIO TRIPARTITO</w:t>
            </w:r>
          </w:p>
        </w:tc>
        <w:tc>
          <w:tcPr>
            <w:tcW w:w="626"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1</w:t>
            </w:r>
          </w:p>
        </w:tc>
        <w:tc>
          <w:tcPr>
            <w:tcW w:w="53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65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1</w:t>
            </w:r>
          </w:p>
        </w:tc>
      </w:tr>
      <w:tr w:rsidR="002955B2" w:rsidRPr="00985600" w:rsidTr="002955B2">
        <w:trPr>
          <w:trHeight w:val="210"/>
        </w:trPr>
        <w:tc>
          <w:tcPr>
            <w:tcW w:w="1427"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1759"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PRESTACIÓN DE SERVICIOS</w:t>
            </w:r>
          </w:p>
        </w:tc>
        <w:tc>
          <w:tcPr>
            <w:tcW w:w="626"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534"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87</w:t>
            </w:r>
          </w:p>
        </w:tc>
        <w:tc>
          <w:tcPr>
            <w:tcW w:w="654"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87</w:t>
            </w:r>
          </w:p>
        </w:tc>
      </w:tr>
      <w:tr w:rsidR="002955B2" w:rsidRPr="00985600" w:rsidTr="002955B2">
        <w:trPr>
          <w:trHeight w:val="210"/>
        </w:trPr>
        <w:tc>
          <w:tcPr>
            <w:tcW w:w="1427"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 xml:space="preserve">Total CONTRATACIÓN DIRECTA </w:t>
            </w:r>
          </w:p>
        </w:tc>
        <w:tc>
          <w:tcPr>
            <w:tcW w:w="1759"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 </w:t>
            </w:r>
          </w:p>
        </w:tc>
        <w:tc>
          <w:tcPr>
            <w:tcW w:w="626"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12</w:t>
            </w:r>
          </w:p>
        </w:tc>
        <w:tc>
          <w:tcPr>
            <w:tcW w:w="53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117</w:t>
            </w:r>
          </w:p>
        </w:tc>
        <w:tc>
          <w:tcPr>
            <w:tcW w:w="65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129</w:t>
            </w:r>
          </w:p>
        </w:tc>
      </w:tr>
      <w:tr w:rsidR="002955B2" w:rsidRPr="00985600" w:rsidTr="002955B2">
        <w:trPr>
          <w:trHeight w:val="210"/>
        </w:trPr>
        <w:tc>
          <w:tcPr>
            <w:tcW w:w="1427"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xml:space="preserve">MÍNIMA CUANTÍA </w:t>
            </w:r>
          </w:p>
        </w:tc>
        <w:tc>
          <w:tcPr>
            <w:tcW w:w="1759"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xml:space="preserve">COMPRAVENTA </w:t>
            </w:r>
          </w:p>
        </w:tc>
        <w:tc>
          <w:tcPr>
            <w:tcW w:w="626"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534"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5</w:t>
            </w:r>
          </w:p>
        </w:tc>
        <w:tc>
          <w:tcPr>
            <w:tcW w:w="654"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5</w:t>
            </w:r>
          </w:p>
        </w:tc>
      </w:tr>
      <w:tr w:rsidR="002955B2" w:rsidRPr="00985600" w:rsidTr="002955B2">
        <w:trPr>
          <w:trHeight w:val="210"/>
        </w:trPr>
        <w:tc>
          <w:tcPr>
            <w:tcW w:w="1427"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1759"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xml:space="preserve">CONTRATO DE SEGUROS </w:t>
            </w:r>
          </w:p>
        </w:tc>
        <w:tc>
          <w:tcPr>
            <w:tcW w:w="626"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53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2</w:t>
            </w:r>
          </w:p>
        </w:tc>
        <w:tc>
          <w:tcPr>
            <w:tcW w:w="65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2</w:t>
            </w:r>
          </w:p>
        </w:tc>
      </w:tr>
      <w:tr w:rsidR="002955B2" w:rsidRPr="00985600" w:rsidTr="002955B2">
        <w:trPr>
          <w:trHeight w:val="210"/>
        </w:trPr>
        <w:tc>
          <w:tcPr>
            <w:tcW w:w="1427"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1759"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xml:space="preserve">CONTRATO DE SUMINISTROS </w:t>
            </w:r>
          </w:p>
        </w:tc>
        <w:tc>
          <w:tcPr>
            <w:tcW w:w="626"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534"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4</w:t>
            </w:r>
          </w:p>
        </w:tc>
        <w:tc>
          <w:tcPr>
            <w:tcW w:w="654"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4</w:t>
            </w:r>
          </w:p>
        </w:tc>
      </w:tr>
      <w:tr w:rsidR="002955B2" w:rsidRPr="00985600" w:rsidTr="002955B2">
        <w:trPr>
          <w:trHeight w:val="210"/>
        </w:trPr>
        <w:tc>
          <w:tcPr>
            <w:tcW w:w="1427"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1759"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PRESTACIÓN DE SERVICIOS</w:t>
            </w:r>
          </w:p>
        </w:tc>
        <w:tc>
          <w:tcPr>
            <w:tcW w:w="626"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53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2</w:t>
            </w:r>
          </w:p>
        </w:tc>
        <w:tc>
          <w:tcPr>
            <w:tcW w:w="65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2</w:t>
            </w:r>
          </w:p>
        </w:tc>
      </w:tr>
      <w:tr w:rsidR="002955B2" w:rsidRPr="00985600" w:rsidTr="002955B2">
        <w:trPr>
          <w:trHeight w:val="210"/>
        </w:trPr>
        <w:tc>
          <w:tcPr>
            <w:tcW w:w="1427"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 xml:space="preserve">Total MÍNIMA CUANTÍA </w:t>
            </w:r>
          </w:p>
        </w:tc>
        <w:tc>
          <w:tcPr>
            <w:tcW w:w="1759"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 </w:t>
            </w:r>
          </w:p>
        </w:tc>
        <w:tc>
          <w:tcPr>
            <w:tcW w:w="626"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 </w:t>
            </w:r>
          </w:p>
        </w:tc>
        <w:tc>
          <w:tcPr>
            <w:tcW w:w="534"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13</w:t>
            </w:r>
          </w:p>
        </w:tc>
        <w:tc>
          <w:tcPr>
            <w:tcW w:w="654"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13</w:t>
            </w:r>
          </w:p>
        </w:tc>
      </w:tr>
      <w:tr w:rsidR="002955B2" w:rsidRPr="00985600" w:rsidTr="002955B2">
        <w:trPr>
          <w:trHeight w:val="210"/>
        </w:trPr>
        <w:tc>
          <w:tcPr>
            <w:tcW w:w="1427" w:type="pct"/>
            <w:tcBorders>
              <w:top w:val="nil"/>
              <w:left w:val="nil"/>
              <w:bottom w:val="nil"/>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SELECCIÓN ABREVIADA</w:t>
            </w:r>
          </w:p>
        </w:tc>
        <w:tc>
          <w:tcPr>
            <w:tcW w:w="1759" w:type="pct"/>
            <w:tcBorders>
              <w:top w:val="nil"/>
              <w:left w:val="nil"/>
              <w:bottom w:val="nil"/>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xml:space="preserve">COMPRAVENTA </w:t>
            </w:r>
          </w:p>
        </w:tc>
        <w:tc>
          <w:tcPr>
            <w:tcW w:w="626" w:type="pct"/>
            <w:tcBorders>
              <w:top w:val="nil"/>
              <w:left w:val="nil"/>
              <w:bottom w:val="nil"/>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534" w:type="pct"/>
            <w:tcBorders>
              <w:top w:val="nil"/>
              <w:left w:val="nil"/>
              <w:bottom w:val="nil"/>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3</w:t>
            </w:r>
          </w:p>
        </w:tc>
        <w:tc>
          <w:tcPr>
            <w:tcW w:w="654" w:type="pct"/>
            <w:tcBorders>
              <w:top w:val="nil"/>
              <w:left w:val="nil"/>
              <w:bottom w:val="nil"/>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3</w:t>
            </w:r>
          </w:p>
        </w:tc>
      </w:tr>
      <w:tr w:rsidR="002955B2" w:rsidRPr="00985600" w:rsidTr="002955B2">
        <w:trPr>
          <w:trHeight w:val="210"/>
        </w:trPr>
        <w:tc>
          <w:tcPr>
            <w:tcW w:w="1427" w:type="pct"/>
            <w:tcBorders>
              <w:top w:val="single" w:sz="4" w:space="0" w:color="FFFFFF"/>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1759" w:type="pct"/>
            <w:tcBorders>
              <w:top w:val="single" w:sz="4" w:space="0" w:color="FFFFFF"/>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xml:space="preserve">CONTRATO DE SUMINISTROS </w:t>
            </w:r>
          </w:p>
        </w:tc>
        <w:tc>
          <w:tcPr>
            <w:tcW w:w="626" w:type="pct"/>
            <w:tcBorders>
              <w:top w:val="single" w:sz="4" w:space="0" w:color="FFFFFF"/>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534" w:type="pct"/>
            <w:tcBorders>
              <w:top w:val="single" w:sz="4" w:space="0" w:color="FFFFFF"/>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1</w:t>
            </w:r>
          </w:p>
        </w:tc>
        <w:tc>
          <w:tcPr>
            <w:tcW w:w="654" w:type="pct"/>
            <w:tcBorders>
              <w:top w:val="single" w:sz="4" w:space="0" w:color="FFFFFF"/>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1</w:t>
            </w:r>
          </w:p>
        </w:tc>
      </w:tr>
      <w:tr w:rsidR="002955B2" w:rsidRPr="00985600" w:rsidTr="002955B2">
        <w:trPr>
          <w:trHeight w:val="210"/>
        </w:trPr>
        <w:tc>
          <w:tcPr>
            <w:tcW w:w="1427"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1759"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POLIZAS</w:t>
            </w:r>
          </w:p>
        </w:tc>
        <w:tc>
          <w:tcPr>
            <w:tcW w:w="626"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5</w:t>
            </w:r>
          </w:p>
        </w:tc>
        <w:tc>
          <w:tcPr>
            <w:tcW w:w="53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65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5</w:t>
            </w:r>
          </w:p>
        </w:tc>
      </w:tr>
      <w:tr w:rsidR="002955B2" w:rsidRPr="00985600" w:rsidTr="002955B2">
        <w:trPr>
          <w:trHeight w:val="210"/>
        </w:trPr>
        <w:tc>
          <w:tcPr>
            <w:tcW w:w="1427"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1759"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PRESTACIÓN DE SERVICIOS</w:t>
            </w:r>
          </w:p>
        </w:tc>
        <w:tc>
          <w:tcPr>
            <w:tcW w:w="626"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1</w:t>
            </w:r>
          </w:p>
        </w:tc>
        <w:tc>
          <w:tcPr>
            <w:tcW w:w="534"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5</w:t>
            </w:r>
          </w:p>
        </w:tc>
        <w:tc>
          <w:tcPr>
            <w:tcW w:w="654"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6</w:t>
            </w:r>
          </w:p>
        </w:tc>
      </w:tr>
      <w:tr w:rsidR="002955B2" w:rsidRPr="00985600" w:rsidTr="002955B2">
        <w:trPr>
          <w:trHeight w:val="210"/>
        </w:trPr>
        <w:tc>
          <w:tcPr>
            <w:tcW w:w="1427"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Total SELECCIÓN ABREVIADA</w:t>
            </w:r>
          </w:p>
        </w:tc>
        <w:tc>
          <w:tcPr>
            <w:tcW w:w="1759"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 </w:t>
            </w:r>
          </w:p>
        </w:tc>
        <w:tc>
          <w:tcPr>
            <w:tcW w:w="626"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6</w:t>
            </w:r>
          </w:p>
        </w:tc>
        <w:tc>
          <w:tcPr>
            <w:tcW w:w="53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9</w:t>
            </w:r>
          </w:p>
        </w:tc>
        <w:tc>
          <w:tcPr>
            <w:tcW w:w="65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15</w:t>
            </w:r>
          </w:p>
        </w:tc>
      </w:tr>
      <w:tr w:rsidR="002955B2" w:rsidRPr="00985600" w:rsidTr="002955B2">
        <w:trPr>
          <w:trHeight w:val="210"/>
        </w:trPr>
        <w:tc>
          <w:tcPr>
            <w:tcW w:w="1427"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xml:space="preserve">SUBASTA INVERSA </w:t>
            </w:r>
          </w:p>
        </w:tc>
        <w:tc>
          <w:tcPr>
            <w:tcW w:w="1759"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xml:space="preserve">COMPRAVENTA </w:t>
            </w:r>
          </w:p>
        </w:tc>
        <w:tc>
          <w:tcPr>
            <w:tcW w:w="626"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1</w:t>
            </w:r>
          </w:p>
        </w:tc>
        <w:tc>
          <w:tcPr>
            <w:tcW w:w="534"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1</w:t>
            </w:r>
          </w:p>
        </w:tc>
        <w:tc>
          <w:tcPr>
            <w:tcW w:w="654"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2</w:t>
            </w:r>
          </w:p>
        </w:tc>
      </w:tr>
      <w:tr w:rsidR="002955B2" w:rsidRPr="00985600" w:rsidTr="002955B2">
        <w:trPr>
          <w:trHeight w:val="210"/>
        </w:trPr>
        <w:tc>
          <w:tcPr>
            <w:tcW w:w="1427"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1759"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xml:space="preserve">CONTRATO DE SUMINISTROS </w:t>
            </w:r>
          </w:p>
        </w:tc>
        <w:tc>
          <w:tcPr>
            <w:tcW w:w="626"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53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2</w:t>
            </w:r>
          </w:p>
        </w:tc>
        <w:tc>
          <w:tcPr>
            <w:tcW w:w="65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2</w:t>
            </w:r>
          </w:p>
        </w:tc>
      </w:tr>
      <w:tr w:rsidR="002955B2" w:rsidRPr="00985600" w:rsidTr="002955B2">
        <w:trPr>
          <w:trHeight w:val="210"/>
        </w:trPr>
        <w:tc>
          <w:tcPr>
            <w:tcW w:w="1427"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 xml:space="preserve">Total SUBASTA INVERSA </w:t>
            </w:r>
          </w:p>
        </w:tc>
        <w:tc>
          <w:tcPr>
            <w:tcW w:w="1759"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 </w:t>
            </w:r>
          </w:p>
        </w:tc>
        <w:tc>
          <w:tcPr>
            <w:tcW w:w="626"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1</w:t>
            </w:r>
          </w:p>
        </w:tc>
        <w:tc>
          <w:tcPr>
            <w:tcW w:w="534"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3</w:t>
            </w:r>
          </w:p>
        </w:tc>
        <w:tc>
          <w:tcPr>
            <w:tcW w:w="654"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4</w:t>
            </w:r>
          </w:p>
        </w:tc>
      </w:tr>
      <w:tr w:rsidR="002955B2" w:rsidRPr="00985600" w:rsidTr="002955B2">
        <w:trPr>
          <w:trHeight w:val="225"/>
        </w:trPr>
        <w:tc>
          <w:tcPr>
            <w:tcW w:w="1427"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bCs/>
                <w:color w:val="000000"/>
                <w:sz w:val="18"/>
                <w:szCs w:val="18"/>
                <w:lang w:eastAsia="es-CO"/>
              </w:rPr>
            </w:pPr>
            <w:r w:rsidRPr="002955B2">
              <w:rPr>
                <w:rFonts w:ascii="Verdana" w:eastAsia="Times New Roman" w:hAnsi="Verdana" w:cs="Times New Roman"/>
                <w:bCs/>
                <w:color w:val="000000"/>
                <w:sz w:val="18"/>
                <w:szCs w:val="18"/>
                <w:lang w:eastAsia="es-CO"/>
              </w:rPr>
              <w:t>Total general</w:t>
            </w:r>
          </w:p>
        </w:tc>
        <w:tc>
          <w:tcPr>
            <w:tcW w:w="1759"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bCs/>
                <w:color w:val="000000"/>
                <w:sz w:val="18"/>
                <w:szCs w:val="18"/>
                <w:lang w:eastAsia="es-CO"/>
              </w:rPr>
            </w:pPr>
            <w:r w:rsidRPr="002955B2">
              <w:rPr>
                <w:rFonts w:ascii="Verdana" w:eastAsia="Times New Roman" w:hAnsi="Verdana" w:cs="Times New Roman"/>
                <w:bCs/>
                <w:color w:val="000000"/>
                <w:sz w:val="18"/>
                <w:szCs w:val="18"/>
                <w:lang w:eastAsia="es-CO"/>
              </w:rPr>
              <w:t> </w:t>
            </w:r>
          </w:p>
        </w:tc>
        <w:tc>
          <w:tcPr>
            <w:tcW w:w="626"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bCs/>
                <w:color w:val="000000"/>
                <w:sz w:val="18"/>
                <w:szCs w:val="18"/>
                <w:lang w:eastAsia="es-CO"/>
              </w:rPr>
            </w:pPr>
            <w:r w:rsidRPr="002955B2">
              <w:rPr>
                <w:rFonts w:ascii="Verdana" w:eastAsia="Times New Roman" w:hAnsi="Verdana" w:cs="Times New Roman"/>
                <w:bCs/>
                <w:color w:val="000000"/>
                <w:sz w:val="18"/>
                <w:szCs w:val="18"/>
                <w:lang w:eastAsia="es-CO"/>
              </w:rPr>
              <w:t>19</w:t>
            </w:r>
          </w:p>
        </w:tc>
        <w:tc>
          <w:tcPr>
            <w:tcW w:w="53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bCs/>
                <w:color w:val="000000"/>
                <w:sz w:val="18"/>
                <w:szCs w:val="18"/>
                <w:lang w:eastAsia="es-CO"/>
              </w:rPr>
            </w:pPr>
            <w:r w:rsidRPr="002955B2">
              <w:rPr>
                <w:rFonts w:ascii="Verdana" w:eastAsia="Times New Roman" w:hAnsi="Verdana" w:cs="Times New Roman"/>
                <w:bCs/>
                <w:color w:val="000000"/>
                <w:sz w:val="18"/>
                <w:szCs w:val="18"/>
                <w:lang w:eastAsia="es-CO"/>
              </w:rPr>
              <w:t>143</w:t>
            </w:r>
          </w:p>
        </w:tc>
        <w:tc>
          <w:tcPr>
            <w:tcW w:w="65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bCs/>
                <w:color w:val="000000"/>
                <w:sz w:val="18"/>
                <w:szCs w:val="18"/>
                <w:lang w:eastAsia="es-CO"/>
              </w:rPr>
            </w:pPr>
            <w:r w:rsidRPr="002955B2">
              <w:rPr>
                <w:rFonts w:ascii="Verdana" w:eastAsia="Times New Roman" w:hAnsi="Verdana" w:cs="Times New Roman"/>
                <w:bCs/>
                <w:color w:val="000000"/>
                <w:sz w:val="18"/>
                <w:szCs w:val="18"/>
                <w:lang w:eastAsia="es-CO"/>
              </w:rPr>
              <w:t>162</w:t>
            </w:r>
          </w:p>
        </w:tc>
      </w:tr>
    </w:tbl>
    <w:p w:rsidR="002955B2" w:rsidRPr="00C90ADF" w:rsidRDefault="002955B2" w:rsidP="002955B2">
      <w:pPr>
        <w:spacing w:after="0" w:line="240" w:lineRule="auto"/>
        <w:jc w:val="both"/>
        <w:rPr>
          <w:rFonts w:ascii="Verdana" w:hAnsi="Verdana"/>
          <w:sz w:val="24"/>
          <w:szCs w:val="24"/>
        </w:rPr>
      </w:pPr>
    </w:p>
    <w:p w:rsidR="002955B2" w:rsidRDefault="002955B2" w:rsidP="002955B2">
      <w:pPr>
        <w:spacing w:after="0" w:line="240" w:lineRule="auto"/>
        <w:jc w:val="both"/>
        <w:rPr>
          <w:rFonts w:ascii="Verdana" w:hAnsi="Verdana"/>
          <w:sz w:val="24"/>
          <w:szCs w:val="24"/>
        </w:rPr>
      </w:pPr>
    </w:p>
    <w:tbl>
      <w:tblPr>
        <w:tblW w:w="5000" w:type="pct"/>
        <w:tblCellMar>
          <w:left w:w="70" w:type="dxa"/>
          <w:right w:w="70" w:type="dxa"/>
        </w:tblCellMar>
        <w:tblLook w:val="04A0"/>
      </w:tblPr>
      <w:tblGrid>
        <w:gridCol w:w="2377"/>
        <w:gridCol w:w="3058"/>
        <w:gridCol w:w="1577"/>
        <w:gridCol w:w="1577"/>
        <w:gridCol w:w="1577"/>
      </w:tblGrid>
      <w:tr w:rsidR="002955B2" w:rsidRPr="002955B2" w:rsidTr="002955B2">
        <w:trPr>
          <w:trHeight w:val="210"/>
        </w:trPr>
        <w:tc>
          <w:tcPr>
            <w:tcW w:w="988" w:type="pct"/>
            <w:tcBorders>
              <w:top w:val="nil"/>
              <w:left w:val="nil"/>
              <w:bottom w:val="nil"/>
              <w:right w:val="nil"/>
            </w:tcBorders>
            <w:shd w:val="clear" w:color="auto" w:fill="auto"/>
            <w:vAlign w:val="center"/>
            <w:hideMark/>
          </w:tcPr>
          <w:p w:rsidR="002955B2" w:rsidRPr="002955B2" w:rsidRDefault="002955B2" w:rsidP="00F33CF6">
            <w:pPr>
              <w:spacing w:after="0" w:line="240" w:lineRule="auto"/>
              <w:rPr>
                <w:rFonts w:ascii="Times New Roman" w:eastAsia="Times New Roman" w:hAnsi="Times New Roman" w:cs="Times New Roman"/>
                <w:sz w:val="24"/>
                <w:szCs w:val="24"/>
                <w:lang w:eastAsia="es-CO"/>
              </w:rPr>
            </w:pPr>
          </w:p>
        </w:tc>
        <w:tc>
          <w:tcPr>
            <w:tcW w:w="1296" w:type="pct"/>
            <w:tcBorders>
              <w:top w:val="nil"/>
              <w:left w:val="nil"/>
              <w:bottom w:val="nil"/>
              <w:right w:val="nil"/>
            </w:tcBorders>
            <w:shd w:val="clear" w:color="auto" w:fill="auto"/>
            <w:vAlign w:val="center"/>
            <w:hideMark/>
          </w:tcPr>
          <w:p w:rsidR="002955B2" w:rsidRPr="002955B2" w:rsidRDefault="002955B2" w:rsidP="00F33CF6">
            <w:pPr>
              <w:spacing w:after="0" w:line="240" w:lineRule="auto"/>
              <w:rPr>
                <w:rFonts w:ascii="Times New Roman" w:eastAsia="Times New Roman" w:hAnsi="Times New Roman" w:cs="Times New Roman"/>
                <w:sz w:val="20"/>
                <w:szCs w:val="20"/>
                <w:lang w:eastAsia="es-CO"/>
              </w:rPr>
            </w:pPr>
          </w:p>
        </w:tc>
        <w:tc>
          <w:tcPr>
            <w:tcW w:w="2716" w:type="pct"/>
            <w:gridSpan w:val="3"/>
            <w:tcBorders>
              <w:top w:val="nil"/>
              <w:left w:val="nil"/>
              <w:bottom w:val="single" w:sz="4" w:space="0" w:color="9BC2E6"/>
              <w:right w:val="nil"/>
            </w:tcBorders>
            <w:shd w:val="clear" w:color="DDEBF7" w:fill="DDEBF7"/>
            <w:vAlign w:val="center"/>
            <w:hideMark/>
          </w:tcPr>
          <w:p w:rsidR="002955B2" w:rsidRPr="002955B2" w:rsidRDefault="002955B2" w:rsidP="00F33CF6">
            <w:pPr>
              <w:spacing w:after="0" w:line="240" w:lineRule="auto"/>
              <w:jc w:val="center"/>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Estado del Contrato</w:t>
            </w:r>
          </w:p>
        </w:tc>
      </w:tr>
      <w:tr w:rsidR="002955B2" w:rsidRPr="002955B2" w:rsidTr="002955B2">
        <w:trPr>
          <w:trHeight w:val="210"/>
        </w:trPr>
        <w:tc>
          <w:tcPr>
            <w:tcW w:w="988" w:type="pct"/>
            <w:tcBorders>
              <w:top w:val="nil"/>
              <w:left w:val="nil"/>
              <w:bottom w:val="single" w:sz="4" w:space="0" w:color="9BC2E6"/>
              <w:right w:val="nil"/>
            </w:tcBorders>
            <w:shd w:val="clear" w:color="DDEBF7" w:fill="DDEBF7"/>
            <w:vAlign w:val="center"/>
            <w:hideMark/>
          </w:tcPr>
          <w:p w:rsidR="002955B2" w:rsidRPr="002955B2" w:rsidRDefault="002955B2" w:rsidP="00F33CF6">
            <w:pPr>
              <w:spacing w:after="0" w:line="240" w:lineRule="auto"/>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MODALIDAD</w:t>
            </w:r>
          </w:p>
        </w:tc>
        <w:tc>
          <w:tcPr>
            <w:tcW w:w="1296" w:type="pct"/>
            <w:tcBorders>
              <w:top w:val="nil"/>
              <w:left w:val="nil"/>
              <w:bottom w:val="single" w:sz="4" w:space="0" w:color="9BC2E6"/>
              <w:right w:val="nil"/>
            </w:tcBorders>
            <w:shd w:val="clear" w:color="DDEBF7" w:fill="DDEBF7"/>
            <w:vAlign w:val="center"/>
            <w:hideMark/>
          </w:tcPr>
          <w:p w:rsidR="002955B2" w:rsidRPr="002955B2" w:rsidRDefault="002955B2" w:rsidP="00F33CF6">
            <w:pPr>
              <w:spacing w:after="0" w:line="240" w:lineRule="auto"/>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TIPO CONTRATO</w:t>
            </w:r>
          </w:p>
        </w:tc>
        <w:tc>
          <w:tcPr>
            <w:tcW w:w="892" w:type="pct"/>
            <w:tcBorders>
              <w:top w:val="nil"/>
              <w:left w:val="nil"/>
              <w:bottom w:val="single" w:sz="4" w:space="0" w:color="9BC2E6"/>
              <w:right w:val="nil"/>
            </w:tcBorders>
            <w:shd w:val="clear" w:color="DDEBF7" w:fill="DDEBF7"/>
            <w:vAlign w:val="center"/>
            <w:hideMark/>
          </w:tcPr>
          <w:p w:rsidR="002955B2" w:rsidRPr="002955B2" w:rsidRDefault="002955B2" w:rsidP="00F33CF6">
            <w:pPr>
              <w:spacing w:after="0" w:line="240" w:lineRule="auto"/>
              <w:jc w:val="center"/>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En Ejecución</w:t>
            </w:r>
          </w:p>
        </w:tc>
        <w:tc>
          <w:tcPr>
            <w:tcW w:w="960" w:type="pct"/>
            <w:tcBorders>
              <w:top w:val="nil"/>
              <w:left w:val="nil"/>
              <w:bottom w:val="single" w:sz="4" w:space="0" w:color="9BC2E6"/>
              <w:right w:val="nil"/>
            </w:tcBorders>
            <w:shd w:val="clear" w:color="DDEBF7" w:fill="DDEBF7"/>
            <w:vAlign w:val="center"/>
            <w:hideMark/>
          </w:tcPr>
          <w:p w:rsidR="002955B2" w:rsidRPr="002955B2" w:rsidRDefault="002955B2" w:rsidP="00F33CF6">
            <w:pPr>
              <w:spacing w:after="0" w:line="240" w:lineRule="auto"/>
              <w:jc w:val="center"/>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Terminado</w:t>
            </w:r>
          </w:p>
        </w:tc>
        <w:tc>
          <w:tcPr>
            <w:tcW w:w="864" w:type="pct"/>
            <w:tcBorders>
              <w:top w:val="nil"/>
              <w:left w:val="nil"/>
              <w:bottom w:val="single" w:sz="4" w:space="0" w:color="9BC2E6"/>
              <w:right w:val="nil"/>
            </w:tcBorders>
            <w:shd w:val="clear" w:color="DDEBF7" w:fill="DDEBF7"/>
            <w:vAlign w:val="center"/>
            <w:hideMark/>
          </w:tcPr>
          <w:p w:rsidR="002955B2" w:rsidRPr="002955B2" w:rsidRDefault="002955B2" w:rsidP="00F33CF6">
            <w:pPr>
              <w:spacing w:after="0" w:line="240" w:lineRule="auto"/>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Total general</w:t>
            </w:r>
          </w:p>
        </w:tc>
      </w:tr>
      <w:tr w:rsidR="002955B2" w:rsidRPr="002955B2" w:rsidTr="002955B2">
        <w:trPr>
          <w:trHeight w:val="210"/>
        </w:trPr>
        <w:tc>
          <w:tcPr>
            <w:tcW w:w="988" w:type="pct"/>
            <w:tcBorders>
              <w:top w:val="single" w:sz="4" w:space="0" w:color="FFFFFF"/>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xml:space="preserve">COMPRAVENTA </w:t>
            </w:r>
          </w:p>
        </w:tc>
        <w:tc>
          <w:tcPr>
            <w:tcW w:w="1296" w:type="pct"/>
            <w:tcBorders>
              <w:top w:val="single" w:sz="4" w:space="0" w:color="FFFFFF"/>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xml:space="preserve">COMPRAVENTA </w:t>
            </w:r>
          </w:p>
        </w:tc>
        <w:tc>
          <w:tcPr>
            <w:tcW w:w="892" w:type="pct"/>
            <w:tcBorders>
              <w:top w:val="single" w:sz="4" w:space="0" w:color="FFFFFF"/>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960" w:type="pct"/>
            <w:tcBorders>
              <w:top w:val="single" w:sz="4" w:space="0" w:color="FFFFFF"/>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$ 258.000.000</w:t>
            </w:r>
          </w:p>
        </w:tc>
        <w:tc>
          <w:tcPr>
            <w:tcW w:w="864" w:type="pct"/>
            <w:tcBorders>
              <w:top w:val="single" w:sz="4" w:space="0" w:color="FFFFFF"/>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$ 258.000.000</w:t>
            </w:r>
          </w:p>
        </w:tc>
      </w:tr>
      <w:tr w:rsidR="002955B2" w:rsidRPr="002955B2" w:rsidTr="002955B2">
        <w:trPr>
          <w:trHeight w:val="210"/>
        </w:trPr>
        <w:tc>
          <w:tcPr>
            <w:tcW w:w="988"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 xml:space="preserve">Total COMPRAVENTA </w:t>
            </w:r>
          </w:p>
        </w:tc>
        <w:tc>
          <w:tcPr>
            <w:tcW w:w="1296"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 </w:t>
            </w:r>
          </w:p>
        </w:tc>
        <w:tc>
          <w:tcPr>
            <w:tcW w:w="892"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 </w:t>
            </w:r>
          </w:p>
        </w:tc>
        <w:tc>
          <w:tcPr>
            <w:tcW w:w="960"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$ 258.000.000</w:t>
            </w:r>
          </w:p>
        </w:tc>
        <w:tc>
          <w:tcPr>
            <w:tcW w:w="86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$ 258.000.000</w:t>
            </w:r>
          </w:p>
        </w:tc>
      </w:tr>
      <w:tr w:rsidR="002955B2" w:rsidRPr="002955B2" w:rsidTr="002955B2">
        <w:trPr>
          <w:trHeight w:val="210"/>
        </w:trPr>
        <w:tc>
          <w:tcPr>
            <w:tcW w:w="988"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xml:space="preserve">CONTRATACIÓN DIRECTA </w:t>
            </w:r>
          </w:p>
        </w:tc>
        <w:tc>
          <w:tcPr>
            <w:tcW w:w="1296"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CONTRATO DE ARRENDAMIENTO</w:t>
            </w:r>
          </w:p>
        </w:tc>
        <w:tc>
          <w:tcPr>
            <w:tcW w:w="892"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960"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$ 287.287.632</w:t>
            </w:r>
          </w:p>
        </w:tc>
        <w:tc>
          <w:tcPr>
            <w:tcW w:w="864"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$ 287.287.632</w:t>
            </w:r>
          </w:p>
        </w:tc>
      </w:tr>
      <w:tr w:rsidR="002955B2" w:rsidRPr="002955B2" w:rsidTr="002955B2">
        <w:trPr>
          <w:trHeight w:val="210"/>
        </w:trPr>
        <w:tc>
          <w:tcPr>
            <w:tcW w:w="988"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1296"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CONTRATO DE COMPRAVENTA</w:t>
            </w:r>
          </w:p>
        </w:tc>
        <w:tc>
          <w:tcPr>
            <w:tcW w:w="892"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960"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$ 673.519.900</w:t>
            </w:r>
          </w:p>
        </w:tc>
        <w:tc>
          <w:tcPr>
            <w:tcW w:w="86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$ 673.519.900</w:t>
            </w:r>
          </w:p>
        </w:tc>
      </w:tr>
      <w:tr w:rsidR="002955B2" w:rsidRPr="002955B2" w:rsidTr="002955B2">
        <w:trPr>
          <w:trHeight w:val="210"/>
        </w:trPr>
        <w:tc>
          <w:tcPr>
            <w:tcW w:w="988"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1296"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xml:space="preserve">CONTRATO DE SUMINISTROS </w:t>
            </w:r>
          </w:p>
        </w:tc>
        <w:tc>
          <w:tcPr>
            <w:tcW w:w="892"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960"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$ 12.000.000</w:t>
            </w:r>
          </w:p>
        </w:tc>
        <w:tc>
          <w:tcPr>
            <w:tcW w:w="864"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$ 12.000.000</w:t>
            </w:r>
          </w:p>
        </w:tc>
      </w:tr>
      <w:tr w:rsidR="002955B2" w:rsidRPr="002955B2" w:rsidTr="002955B2">
        <w:trPr>
          <w:trHeight w:val="210"/>
        </w:trPr>
        <w:tc>
          <w:tcPr>
            <w:tcW w:w="988"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1296"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CONTRATO TRIPARTITO</w:t>
            </w:r>
          </w:p>
        </w:tc>
        <w:tc>
          <w:tcPr>
            <w:tcW w:w="892"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960"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$ 800.000.000</w:t>
            </w:r>
          </w:p>
        </w:tc>
        <w:tc>
          <w:tcPr>
            <w:tcW w:w="86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$ 800.000.000</w:t>
            </w:r>
          </w:p>
        </w:tc>
      </w:tr>
      <w:tr w:rsidR="002955B2" w:rsidRPr="002955B2" w:rsidTr="002955B2">
        <w:trPr>
          <w:trHeight w:val="210"/>
        </w:trPr>
        <w:tc>
          <w:tcPr>
            <w:tcW w:w="988"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1296"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CONVENIO DE ASOCIACIÓN</w:t>
            </w:r>
          </w:p>
        </w:tc>
        <w:tc>
          <w:tcPr>
            <w:tcW w:w="892"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$ 49.089.920.200</w:t>
            </w:r>
          </w:p>
        </w:tc>
        <w:tc>
          <w:tcPr>
            <w:tcW w:w="960"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$ 2.198.919.231</w:t>
            </w:r>
          </w:p>
        </w:tc>
        <w:tc>
          <w:tcPr>
            <w:tcW w:w="864"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$ 51.288.839.431</w:t>
            </w:r>
          </w:p>
        </w:tc>
      </w:tr>
      <w:tr w:rsidR="002955B2" w:rsidRPr="002955B2" w:rsidTr="002955B2">
        <w:trPr>
          <w:trHeight w:val="210"/>
        </w:trPr>
        <w:tc>
          <w:tcPr>
            <w:tcW w:w="988"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1296"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xml:space="preserve">CONVENIO DE ASOCIACIÓN TRIPARTITO </w:t>
            </w:r>
          </w:p>
        </w:tc>
        <w:tc>
          <w:tcPr>
            <w:tcW w:w="892"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960"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$ 393.200.000</w:t>
            </w:r>
          </w:p>
        </w:tc>
        <w:tc>
          <w:tcPr>
            <w:tcW w:w="86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$ 393.200.000</w:t>
            </w:r>
          </w:p>
        </w:tc>
      </w:tr>
      <w:tr w:rsidR="002955B2" w:rsidRPr="002955B2" w:rsidTr="002955B2">
        <w:trPr>
          <w:trHeight w:val="210"/>
        </w:trPr>
        <w:tc>
          <w:tcPr>
            <w:tcW w:w="988"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1296"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CONVENIO INTERADMINISTRATIVO</w:t>
            </w:r>
          </w:p>
        </w:tc>
        <w:tc>
          <w:tcPr>
            <w:tcW w:w="892"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$ 689.800.000</w:t>
            </w:r>
          </w:p>
        </w:tc>
        <w:tc>
          <w:tcPr>
            <w:tcW w:w="960"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$ 6.372.474.800</w:t>
            </w:r>
          </w:p>
        </w:tc>
        <w:tc>
          <w:tcPr>
            <w:tcW w:w="864"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$ 7.062.274.800</w:t>
            </w:r>
          </w:p>
        </w:tc>
      </w:tr>
      <w:tr w:rsidR="002955B2" w:rsidRPr="002955B2" w:rsidTr="002955B2">
        <w:trPr>
          <w:trHeight w:val="210"/>
        </w:trPr>
        <w:tc>
          <w:tcPr>
            <w:tcW w:w="988"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1296"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CONVENIO TRIPARTITO</w:t>
            </w:r>
          </w:p>
        </w:tc>
        <w:tc>
          <w:tcPr>
            <w:tcW w:w="892"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$ 638.450.000</w:t>
            </w:r>
          </w:p>
        </w:tc>
        <w:tc>
          <w:tcPr>
            <w:tcW w:w="960"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86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$ 638.450.000</w:t>
            </w:r>
          </w:p>
        </w:tc>
      </w:tr>
      <w:tr w:rsidR="002955B2" w:rsidRPr="002955B2" w:rsidTr="002955B2">
        <w:trPr>
          <w:trHeight w:val="210"/>
        </w:trPr>
        <w:tc>
          <w:tcPr>
            <w:tcW w:w="988"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1296"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PRESTACIÓN DE SERVICIOS</w:t>
            </w:r>
          </w:p>
        </w:tc>
        <w:tc>
          <w:tcPr>
            <w:tcW w:w="892"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960"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$ 7.578.910.333</w:t>
            </w:r>
          </w:p>
        </w:tc>
        <w:tc>
          <w:tcPr>
            <w:tcW w:w="864"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$ 7.578.910.333</w:t>
            </w:r>
          </w:p>
        </w:tc>
      </w:tr>
      <w:tr w:rsidR="002955B2" w:rsidRPr="002955B2" w:rsidTr="002955B2">
        <w:trPr>
          <w:trHeight w:val="210"/>
        </w:trPr>
        <w:tc>
          <w:tcPr>
            <w:tcW w:w="988"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 xml:space="preserve">Total CONTRATACIÓN DIRECTA </w:t>
            </w:r>
          </w:p>
        </w:tc>
        <w:tc>
          <w:tcPr>
            <w:tcW w:w="1296"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 </w:t>
            </w:r>
          </w:p>
        </w:tc>
        <w:tc>
          <w:tcPr>
            <w:tcW w:w="892"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$ 50.418.170.200</w:t>
            </w:r>
          </w:p>
        </w:tc>
        <w:tc>
          <w:tcPr>
            <w:tcW w:w="960"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$ 18.316.311.896</w:t>
            </w:r>
          </w:p>
        </w:tc>
        <w:tc>
          <w:tcPr>
            <w:tcW w:w="86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$ 68.734.482.096</w:t>
            </w:r>
          </w:p>
        </w:tc>
      </w:tr>
      <w:tr w:rsidR="002955B2" w:rsidRPr="002955B2" w:rsidTr="002955B2">
        <w:trPr>
          <w:trHeight w:val="210"/>
        </w:trPr>
        <w:tc>
          <w:tcPr>
            <w:tcW w:w="988"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xml:space="preserve">MÍNIMA CUANTÍA </w:t>
            </w:r>
          </w:p>
        </w:tc>
        <w:tc>
          <w:tcPr>
            <w:tcW w:w="1296"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xml:space="preserve">COMPRAVENTA </w:t>
            </w:r>
          </w:p>
        </w:tc>
        <w:tc>
          <w:tcPr>
            <w:tcW w:w="892"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960"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$ 39.914.700</w:t>
            </w:r>
          </w:p>
        </w:tc>
        <w:tc>
          <w:tcPr>
            <w:tcW w:w="864"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$ 39.914.700</w:t>
            </w:r>
          </w:p>
        </w:tc>
      </w:tr>
      <w:tr w:rsidR="002955B2" w:rsidRPr="002955B2" w:rsidTr="002955B2">
        <w:trPr>
          <w:trHeight w:val="210"/>
        </w:trPr>
        <w:tc>
          <w:tcPr>
            <w:tcW w:w="988"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1296"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xml:space="preserve">CONTRATO DE SEGUROS </w:t>
            </w:r>
          </w:p>
        </w:tc>
        <w:tc>
          <w:tcPr>
            <w:tcW w:w="892"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960"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$ 26.217.021</w:t>
            </w:r>
          </w:p>
        </w:tc>
        <w:tc>
          <w:tcPr>
            <w:tcW w:w="86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$ 26.217.021</w:t>
            </w:r>
          </w:p>
        </w:tc>
      </w:tr>
      <w:tr w:rsidR="002955B2" w:rsidRPr="002955B2" w:rsidTr="002955B2">
        <w:trPr>
          <w:trHeight w:val="210"/>
        </w:trPr>
        <w:tc>
          <w:tcPr>
            <w:tcW w:w="988"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1296"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xml:space="preserve">CONTRATO DE SUMINISTROS </w:t>
            </w:r>
          </w:p>
        </w:tc>
        <w:tc>
          <w:tcPr>
            <w:tcW w:w="892"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960"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$ 76.226.030</w:t>
            </w:r>
          </w:p>
        </w:tc>
        <w:tc>
          <w:tcPr>
            <w:tcW w:w="864"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$ 76.226.030</w:t>
            </w:r>
          </w:p>
        </w:tc>
      </w:tr>
      <w:tr w:rsidR="002955B2" w:rsidRPr="002955B2" w:rsidTr="002955B2">
        <w:trPr>
          <w:trHeight w:val="210"/>
        </w:trPr>
        <w:tc>
          <w:tcPr>
            <w:tcW w:w="988"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1296"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PRESTACIÓN DE SERVICIOS</w:t>
            </w:r>
          </w:p>
        </w:tc>
        <w:tc>
          <w:tcPr>
            <w:tcW w:w="892"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960"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$ 30.314.720</w:t>
            </w:r>
          </w:p>
        </w:tc>
        <w:tc>
          <w:tcPr>
            <w:tcW w:w="86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$ 30.314.720</w:t>
            </w:r>
          </w:p>
        </w:tc>
      </w:tr>
      <w:tr w:rsidR="002955B2" w:rsidRPr="002955B2" w:rsidTr="002955B2">
        <w:trPr>
          <w:trHeight w:val="210"/>
        </w:trPr>
        <w:tc>
          <w:tcPr>
            <w:tcW w:w="988"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 xml:space="preserve">Total MÍNIMA CUANTÍA </w:t>
            </w:r>
          </w:p>
        </w:tc>
        <w:tc>
          <w:tcPr>
            <w:tcW w:w="1296"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 </w:t>
            </w:r>
          </w:p>
        </w:tc>
        <w:tc>
          <w:tcPr>
            <w:tcW w:w="892"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 </w:t>
            </w:r>
          </w:p>
        </w:tc>
        <w:tc>
          <w:tcPr>
            <w:tcW w:w="960"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$ 172.672.471</w:t>
            </w:r>
          </w:p>
        </w:tc>
        <w:tc>
          <w:tcPr>
            <w:tcW w:w="864"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$ 172.672.471</w:t>
            </w:r>
          </w:p>
        </w:tc>
      </w:tr>
      <w:tr w:rsidR="002955B2" w:rsidRPr="002955B2" w:rsidTr="002955B2">
        <w:trPr>
          <w:trHeight w:val="210"/>
        </w:trPr>
        <w:tc>
          <w:tcPr>
            <w:tcW w:w="988" w:type="pct"/>
            <w:tcBorders>
              <w:top w:val="nil"/>
              <w:left w:val="nil"/>
              <w:bottom w:val="nil"/>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SELECCIÓN ABREVIADA</w:t>
            </w:r>
          </w:p>
        </w:tc>
        <w:tc>
          <w:tcPr>
            <w:tcW w:w="1296" w:type="pct"/>
            <w:tcBorders>
              <w:top w:val="nil"/>
              <w:left w:val="nil"/>
              <w:bottom w:val="nil"/>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xml:space="preserve">COMPRAVENTA </w:t>
            </w:r>
          </w:p>
        </w:tc>
        <w:tc>
          <w:tcPr>
            <w:tcW w:w="892" w:type="pct"/>
            <w:tcBorders>
              <w:top w:val="nil"/>
              <w:left w:val="nil"/>
              <w:bottom w:val="nil"/>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960" w:type="pct"/>
            <w:tcBorders>
              <w:top w:val="nil"/>
              <w:left w:val="nil"/>
              <w:bottom w:val="nil"/>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$ 1.305.956.943</w:t>
            </w:r>
          </w:p>
        </w:tc>
        <w:tc>
          <w:tcPr>
            <w:tcW w:w="864" w:type="pct"/>
            <w:tcBorders>
              <w:top w:val="nil"/>
              <w:left w:val="nil"/>
              <w:bottom w:val="nil"/>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$ 1.305.956.943</w:t>
            </w:r>
          </w:p>
        </w:tc>
      </w:tr>
      <w:tr w:rsidR="002955B2" w:rsidRPr="002955B2" w:rsidTr="002955B2">
        <w:trPr>
          <w:trHeight w:val="210"/>
        </w:trPr>
        <w:tc>
          <w:tcPr>
            <w:tcW w:w="988" w:type="pct"/>
            <w:tcBorders>
              <w:top w:val="single" w:sz="4" w:space="0" w:color="FFFFFF"/>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1296" w:type="pct"/>
            <w:tcBorders>
              <w:top w:val="single" w:sz="4" w:space="0" w:color="FFFFFF"/>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xml:space="preserve">CONTRATO DE SUMINISTROS </w:t>
            </w:r>
          </w:p>
        </w:tc>
        <w:tc>
          <w:tcPr>
            <w:tcW w:w="892" w:type="pct"/>
            <w:tcBorders>
              <w:top w:val="single" w:sz="4" w:space="0" w:color="FFFFFF"/>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960" w:type="pct"/>
            <w:tcBorders>
              <w:top w:val="single" w:sz="4" w:space="0" w:color="FFFFFF"/>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$ 200.000.000</w:t>
            </w:r>
          </w:p>
        </w:tc>
        <w:tc>
          <w:tcPr>
            <w:tcW w:w="864" w:type="pct"/>
            <w:tcBorders>
              <w:top w:val="single" w:sz="4" w:space="0" w:color="FFFFFF"/>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$ 200.000.000</w:t>
            </w:r>
          </w:p>
        </w:tc>
      </w:tr>
      <w:tr w:rsidR="002955B2" w:rsidRPr="002955B2" w:rsidTr="002955B2">
        <w:trPr>
          <w:trHeight w:val="210"/>
        </w:trPr>
        <w:tc>
          <w:tcPr>
            <w:tcW w:w="988"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1296"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POLIZAS</w:t>
            </w:r>
          </w:p>
        </w:tc>
        <w:tc>
          <w:tcPr>
            <w:tcW w:w="892"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$ 270.336.672</w:t>
            </w:r>
          </w:p>
        </w:tc>
        <w:tc>
          <w:tcPr>
            <w:tcW w:w="960"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86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$ 270.336.672</w:t>
            </w:r>
          </w:p>
        </w:tc>
      </w:tr>
      <w:tr w:rsidR="002955B2" w:rsidRPr="002955B2" w:rsidTr="002955B2">
        <w:trPr>
          <w:trHeight w:val="210"/>
        </w:trPr>
        <w:tc>
          <w:tcPr>
            <w:tcW w:w="988"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1296"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PRESTACIÓN DE SERVICIOS</w:t>
            </w:r>
          </w:p>
        </w:tc>
        <w:tc>
          <w:tcPr>
            <w:tcW w:w="892"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$ 1.300.000.000</w:t>
            </w:r>
          </w:p>
        </w:tc>
        <w:tc>
          <w:tcPr>
            <w:tcW w:w="960"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$ 1.454.230.595</w:t>
            </w:r>
          </w:p>
        </w:tc>
        <w:tc>
          <w:tcPr>
            <w:tcW w:w="864"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$ 2.754.230.595</w:t>
            </w:r>
          </w:p>
        </w:tc>
      </w:tr>
      <w:tr w:rsidR="002955B2" w:rsidRPr="002955B2" w:rsidTr="002955B2">
        <w:trPr>
          <w:trHeight w:val="210"/>
        </w:trPr>
        <w:tc>
          <w:tcPr>
            <w:tcW w:w="988"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Total SELECCIÓN ABREVIADA</w:t>
            </w:r>
          </w:p>
        </w:tc>
        <w:tc>
          <w:tcPr>
            <w:tcW w:w="1296"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 </w:t>
            </w:r>
          </w:p>
        </w:tc>
        <w:tc>
          <w:tcPr>
            <w:tcW w:w="892"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$ 1.570.336.672</w:t>
            </w:r>
          </w:p>
        </w:tc>
        <w:tc>
          <w:tcPr>
            <w:tcW w:w="960"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$ 2.960.187.538</w:t>
            </w:r>
          </w:p>
        </w:tc>
        <w:tc>
          <w:tcPr>
            <w:tcW w:w="86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$ 4.530.524.210</w:t>
            </w:r>
          </w:p>
        </w:tc>
      </w:tr>
      <w:tr w:rsidR="002955B2" w:rsidRPr="002955B2" w:rsidTr="002955B2">
        <w:trPr>
          <w:trHeight w:val="210"/>
        </w:trPr>
        <w:tc>
          <w:tcPr>
            <w:tcW w:w="988"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xml:space="preserve">SUBASTA INVERSA </w:t>
            </w:r>
          </w:p>
        </w:tc>
        <w:tc>
          <w:tcPr>
            <w:tcW w:w="1296"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xml:space="preserve">COMPRAVENTA </w:t>
            </w:r>
          </w:p>
        </w:tc>
        <w:tc>
          <w:tcPr>
            <w:tcW w:w="892"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$ 45.500.000</w:t>
            </w:r>
          </w:p>
        </w:tc>
        <w:tc>
          <w:tcPr>
            <w:tcW w:w="960"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$ 75.000.000</w:t>
            </w:r>
          </w:p>
        </w:tc>
        <w:tc>
          <w:tcPr>
            <w:tcW w:w="864"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$ 120.500.000</w:t>
            </w:r>
          </w:p>
        </w:tc>
      </w:tr>
      <w:tr w:rsidR="002955B2" w:rsidRPr="002955B2" w:rsidTr="002955B2">
        <w:trPr>
          <w:trHeight w:val="210"/>
        </w:trPr>
        <w:tc>
          <w:tcPr>
            <w:tcW w:w="988"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1296"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xml:space="preserve">CONTRATO DE SUMINISTROS </w:t>
            </w:r>
          </w:p>
        </w:tc>
        <w:tc>
          <w:tcPr>
            <w:tcW w:w="892"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w:t>
            </w:r>
          </w:p>
        </w:tc>
        <w:tc>
          <w:tcPr>
            <w:tcW w:w="960"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$ 259.690.886</w:t>
            </w:r>
          </w:p>
        </w:tc>
        <w:tc>
          <w:tcPr>
            <w:tcW w:w="86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color w:val="000000"/>
                <w:sz w:val="16"/>
                <w:szCs w:val="16"/>
                <w:lang w:eastAsia="es-CO"/>
              </w:rPr>
            </w:pPr>
            <w:r w:rsidRPr="002955B2">
              <w:rPr>
                <w:rFonts w:ascii="Verdana" w:eastAsia="Times New Roman" w:hAnsi="Verdana" w:cs="Times New Roman"/>
                <w:color w:val="000000"/>
                <w:sz w:val="16"/>
                <w:szCs w:val="16"/>
                <w:lang w:eastAsia="es-CO"/>
              </w:rPr>
              <w:t>$ 259.690.886</w:t>
            </w:r>
          </w:p>
        </w:tc>
      </w:tr>
      <w:tr w:rsidR="002955B2" w:rsidRPr="002955B2" w:rsidTr="002955B2">
        <w:trPr>
          <w:trHeight w:val="210"/>
        </w:trPr>
        <w:tc>
          <w:tcPr>
            <w:tcW w:w="988"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 xml:space="preserve">Total SUBASTA INVERSA </w:t>
            </w:r>
          </w:p>
        </w:tc>
        <w:tc>
          <w:tcPr>
            <w:tcW w:w="1296"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 </w:t>
            </w:r>
          </w:p>
        </w:tc>
        <w:tc>
          <w:tcPr>
            <w:tcW w:w="892"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$ 45.500.000</w:t>
            </w:r>
          </w:p>
        </w:tc>
        <w:tc>
          <w:tcPr>
            <w:tcW w:w="960"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$ 334.690.886</w:t>
            </w:r>
          </w:p>
        </w:tc>
        <w:tc>
          <w:tcPr>
            <w:tcW w:w="864" w:type="pct"/>
            <w:tcBorders>
              <w:top w:val="nil"/>
              <w:left w:val="nil"/>
              <w:bottom w:val="single" w:sz="4" w:space="0" w:color="FFFFFF"/>
              <w:right w:val="single" w:sz="4" w:space="0" w:color="FFFFFF"/>
            </w:tcBorders>
            <w:shd w:val="clear" w:color="BDD7EE" w:fill="BDD7EE"/>
            <w:noWrap/>
            <w:vAlign w:val="bottom"/>
            <w:hideMark/>
          </w:tcPr>
          <w:p w:rsidR="002955B2" w:rsidRPr="002955B2" w:rsidRDefault="002955B2" w:rsidP="00F33CF6">
            <w:pPr>
              <w:spacing w:after="0" w:line="240" w:lineRule="auto"/>
              <w:jc w:val="right"/>
              <w:rPr>
                <w:rFonts w:ascii="Verdana" w:eastAsia="Times New Roman" w:hAnsi="Verdana" w:cs="Times New Roman"/>
                <w:bCs/>
                <w:color w:val="000000"/>
                <w:sz w:val="16"/>
                <w:szCs w:val="16"/>
                <w:lang w:eastAsia="es-CO"/>
              </w:rPr>
            </w:pPr>
            <w:r w:rsidRPr="002955B2">
              <w:rPr>
                <w:rFonts w:ascii="Verdana" w:eastAsia="Times New Roman" w:hAnsi="Verdana" w:cs="Times New Roman"/>
                <w:bCs/>
                <w:color w:val="000000"/>
                <w:sz w:val="16"/>
                <w:szCs w:val="16"/>
                <w:lang w:eastAsia="es-CO"/>
              </w:rPr>
              <w:t>$ 380.190.886</w:t>
            </w:r>
          </w:p>
        </w:tc>
      </w:tr>
      <w:tr w:rsidR="002955B2" w:rsidRPr="002955B2" w:rsidTr="002955B2">
        <w:trPr>
          <w:trHeight w:val="225"/>
        </w:trPr>
        <w:tc>
          <w:tcPr>
            <w:tcW w:w="988"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bCs/>
                <w:color w:val="000000"/>
                <w:sz w:val="18"/>
                <w:szCs w:val="18"/>
                <w:lang w:eastAsia="es-CO"/>
              </w:rPr>
            </w:pPr>
            <w:r w:rsidRPr="002955B2">
              <w:rPr>
                <w:rFonts w:ascii="Verdana" w:eastAsia="Times New Roman" w:hAnsi="Verdana" w:cs="Times New Roman"/>
                <w:bCs/>
                <w:color w:val="000000"/>
                <w:sz w:val="18"/>
                <w:szCs w:val="18"/>
                <w:lang w:eastAsia="es-CO"/>
              </w:rPr>
              <w:t>Total general</w:t>
            </w:r>
          </w:p>
        </w:tc>
        <w:tc>
          <w:tcPr>
            <w:tcW w:w="1296"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rPr>
                <w:rFonts w:ascii="Verdana" w:eastAsia="Times New Roman" w:hAnsi="Verdana" w:cs="Times New Roman"/>
                <w:bCs/>
                <w:color w:val="000000"/>
                <w:sz w:val="18"/>
                <w:szCs w:val="18"/>
                <w:lang w:eastAsia="es-CO"/>
              </w:rPr>
            </w:pPr>
            <w:r w:rsidRPr="002955B2">
              <w:rPr>
                <w:rFonts w:ascii="Verdana" w:eastAsia="Times New Roman" w:hAnsi="Verdana" w:cs="Times New Roman"/>
                <w:bCs/>
                <w:color w:val="000000"/>
                <w:sz w:val="18"/>
                <w:szCs w:val="18"/>
                <w:lang w:eastAsia="es-CO"/>
              </w:rPr>
              <w:t> </w:t>
            </w:r>
          </w:p>
        </w:tc>
        <w:tc>
          <w:tcPr>
            <w:tcW w:w="892"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bCs/>
                <w:color w:val="000000"/>
                <w:sz w:val="18"/>
                <w:szCs w:val="18"/>
                <w:lang w:eastAsia="es-CO"/>
              </w:rPr>
            </w:pPr>
            <w:r w:rsidRPr="002955B2">
              <w:rPr>
                <w:rFonts w:ascii="Verdana" w:eastAsia="Times New Roman" w:hAnsi="Verdana" w:cs="Times New Roman"/>
                <w:bCs/>
                <w:color w:val="000000"/>
                <w:sz w:val="18"/>
                <w:szCs w:val="18"/>
                <w:lang w:eastAsia="es-CO"/>
              </w:rPr>
              <w:t>$ 52.034.006.872</w:t>
            </w:r>
          </w:p>
        </w:tc>
        <w:tc>
          <w:tcPr>
            <w:tcW w:w="960"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bCs/>
                <w:color w:val="000000"/>
                <w:sz w:val="18"/>
                <w:szCs w:val="18"/>
                <w:lang w:eastAsia="es-CO"/>
              </w:rPr>
            </w:pPr>
            <w:r w:rsidRPr="002955B2">
              <w:rPr>
                <w:rFonts w:ascii="Verdana" w:eastAsia="Times New Roman" w:hAnsi="Verdana" w:cs="Times New Roman"/>
                <w:bCs/>
                <w:color w:val="000000"/>
                <w:sz w:val="18"/>
                <w:szCs w:val="18"/>
                <w:lang w:eastAsia="es-CO"/>
              </w:rPr>
              <w:t>$ 22.041.862.791</w:t>
            </w:r>
          </w:p>
        </w:tc>
        <w:tc>
          <w:tcPr>
            <w:tcW w:w="864" w:type="pct"/>
            <w:tcBorders>
              <w:top w:val="nil"/>
              <w:left w:val="nil"/>
              <w:bottom w:val="single" w:sz="4" w:space="0" w:color="FFFFFF"/>
              <w:right w:val="single" w:sz="4" w:space="0" w:color="FFFFFF"/>
            </w:tcBorders>
            <w:shd w:val="clear" w:color="DDEBF7" w:fill="DDEBF7"/>
            <w:noWrap/>
            <w:vAlign w:val="bottom"/>
            <w:hideMark/>
          </w:tcPr>
          <w:p w:rsidR="002955B2" w:rsidRPr="002955B2" w:rsidRDefault="002955B2" w:rsidP="00F33CF6">
            <w:pPr>
              <w:spacing w:after="0" w:line="240" w:lineRule="auto"/>
              <w:jc w:val="right"/>
              <w:rPr>
                <w:rFonts w:ascii="Verdana" w:eastAsia="Times New Roman" w:hAnsi="Verdana" w:cs="Times New Roman"/>
                <w:bCs/>
                <w:color w:val="000000"/>
                <w:sz w:val="18"/>
                <w:szCs w:val="18"/>
                <w:lang w:eastAsia="es-CO"/>
              </w:rPr>
            </w:pPr>
            <w:r w:rsidRPr="002955B2">
              <w:rPr>
                <w:rFonts w:ascii="Verdana" w:eastAsia="Times New Roman" w:hAnsi="Verdana" w:cs="Times New Roman"/>
                <w:bCs/>
                <w:color w:val="000000"/>
                <w:sz w:val="18"/>
                <w:szCs w:val="18"/>
                <w:lang w:eastAsia="es-CO"/>
              </w:rPr>
              <w:t>$ 74.075.869.663</w:t>
            </w:r>
          </w:p>
        </w:tc>
      </w:tr>
    </w:tbl>
    <w:p w:rsidR="002955B2" w:rsidRDefault="002955B2" w:rsidP="002955B2">
      <w:pPr>
        <w:spacing w:after="0" w:line="240" w:lineRule="auto"/>
        <w:jc w:val="both"/>
        <w:rPr>
          <w:rFonts w:ascii="Verdana" w:hAnsi="Verdana"/>
          <w:sz w:val="24"/>
          <w:szCs w:val="24"/>
        </w:rPr>
      </w:pPr>
    </w:p>
    <w:p w:rsidR="002955B2" w:rsidRDefault="002955B2" w:rsidP="002955B2">
      <w:pPr>
        <w:spacing w:after="0" w:line="240" w:lineRule="auto"/>
        <w:jc w:val="both"/>
        <w:rPr>
          <w:rFonts w:ascii="Verdana" w:hAnsi="Verdana"/>
          <w:sz w:val="24"/>
          <w:szCs w:val="24"/>
        </w:rPr>
      </w:pPr>
    </w:p>
    <w:p w:rsidR="002955B2" w:rsidRPr="002955B2" w:rsidRDefault="002955B2" w:rsidP="002955B2">
      <w:pPr>
        <w:spacing w:after="0" w:line="240" w:lineRule="auto"/>
        <w:jc w:val="both"/>
        <w:rPr>
          <w:rFonts w:ascii="Verdana" w:hAnsi="Verdana"/>
          <w:b/>
          <w:color w:val="4F81BD" w:themeColor="accent1"/>
          <w:sz w:val="28"/>
          <w:szCs w:val="24"/>
        </w:rPr>
      </w:pPr>
      <w:r w:rsidRPr="002955B2">
        <w:rPr>
          <w:rFonts w:ascii="Verdana" w:hAnsi="Verdana"/>
          <w:noProof/>
          <w:sz w:val="24"/>
          <w:szCs w:val="24"/>
          <w:lang w:eastAsia="es-CO"/>
        </w:rPr>
        <w:drawing>
          <wp:inline distT="0" distB="0" distL="0" distR="0">
            <wp:extent cx="216024" cy="216024"/>
            <wp:effectExtent l="19050" t="0" r="0" b="0"/>
            <wp:docPr id="488" name="Objeto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6300192" y="4869160"/>
                      <a:chExt cx="216024" cy="216024"/>
                    </a:xfrm>
                  </a:grpSpPr>
                  <a:sp>
                    <a:nvSpPr>
                      <a:cNvPr id="42" name="41 Rectángulo redondeado"/>
                      <a:cNvSpPr/>
                    </a:nvSpPr>
                    <a:spPr>
                      <a:xfrm>
                        <a:off x="6300192" y="4869160"/>
                        <a:ext cx="216024" cy="216024"/>
                      </a:xfrm>
                      <a:prstGeom prst="roundRect">
                        <a:avLst/>
                      </a:prstGeom>
                      <a:gradFill flip="none" rotWithShape="1">
                        <a:gsLst>
                          <a:gs pos="0">
                            <a:schemeClr val="bg1">
                              <a:lumMod val="65000"/>
                              <a:shade val="30000"/>
                              <a:satMod val="115000"/>
                            </a:schemeClr>
                          </a:gs>
                          <a:gs pos="50000">
                            <a:schemeClr val="bg1">
                              <a:lumMod val="65000"/>
                              <a:shade val="67500"/>
                              <a:satMod val="115000"/>
                            </a:schemeClr>
                          </a:gs>
                          <a:gs pos="100000">
                            <a:schemeClr val="bg1">
                              <a:lumMod val="65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hAnsi="Verdana"/>
          <w:sz w:val="24"/>
          <w:szCs w:val="24"/>
        </w:rPr>
        <w:t xml:space="preserve">  </w:t>
      </w:r>
      <w:r w:rsidRPr="002955B2">
        <w:rPr>
          <w:rFonts w:ascii="Verdana" w:hAnsi="Verdana"/>
          <w:b/>
          <w:color w:val="4F81BD" w:themeColor="accent1"/>
          <w:sz w:val="28"/>
          <w:szCs w:val="24"/>
        </w:rPr>
        <w:t>PLANES DE MEJORA</w:t>
      </w:r>
    </w:p>
    <w:p w:rsidR="002955B2" w:rsidRDefault="002955B2" w:rsidP="002955B2">
      <w:pPr>
        <w:spacing w:after="0" w:line="240" w:lineRule="auto"/>
        <w:jc w:val="both"/>
        <w:rPr>
          <w:rFonts w:ascii="Verdana" w:hAnsi="Verdana"/>
          <w:sz w:val="24"/>
          <w:szCs w:val="24"/>
        </w:rPr>
      </w:pPr>
    </w:p>
    <w:p w:rsidR="002955B2" w:rsidRPr="00962870" w:rsidRDefault="002955B2" w:rsidP="002955B2">
      <w:pPr>
        <w:spacing w:after="0" w:line="240" w:lineRule="auto"/>
        <w:jc w:val="both"/>
        <w:rPr>
          <w:rFonts w:ascii="Verdana" w:hAnsi="Verdana"/>
          <w:sz w:val="24"/>
          <w:szCs w:val="24"/>
        </w:rPr>
      </w:pPr>
      <w:r w:rsidRPr="00962870">
        <w:rPr>
          <w:rFonts w:ascii="Verdana" w:hAnsi="Verdana"/>
          <w:sz w:val="24"/>
          <w:szCs w:val="24"/>
        </w:rPr>
        <w:t>Se suscribió Plan de Mejoramiento como producto de la auditoría realizada por la CGR para la vigencia 2012, se realiza seguimiento semestral a su cumplimiento. El plan de mejoramiento lo conforman 38 hallazgo para los cuales se definieron 473 accion</w:t>
      </w:r>
      <w:r>
        <w:rPr>
          <w:rFonts w:ascii="Verdana" w:hAnsi="Verdana"/>
          <w:sz w:val="24"/>
          <w:szCs w:val="24"/>
        </w:rPr>
        <w:t>es</w:t>
      </w:r>
      <w:r w:rsidRPr="00962870">
        <w:rPr>
          <w:rFonts w:ascii="Verdana" w:hAnsi="Verdana"/>
          <w:sz w:val="24"/>
          <w:szCs w:val="24"/>
        </w:rPr>
        <w:t xml:space="preserve"> y con corte a 31 de diciembre de 2014 se ejecutaron 466 acciones, presentándose un cumplimiento del 98.5%.”</w:t>
      </w:r>
    </w:p>
    <w:p w:rsidR="002955B2" w:rsidRDefault="002955B2" w:rsidP="002955B2">
      <w:pPr>
        <w:spacing w:after="0" w:line="240" w:lineRule="auto"/>
        <w:jc w:val="both"/>
        <w:rPr>
          <w:rFonts w:ascii="Verdana" w:hAnsi="Verdana"/>
          <w:sz w:val="24"/>
          <w:szCs w:val="24"/>
        </w:rPr>
      </w:pPr>
    </w:p>
    <w:p w:rsidR="002955B2" w:rsidRDefault="002955B2" w:rsidP="002955B2">
      <w:pPr>
        <w:spacing w:after="0" w:line="240" w:lineRule="auto"/>
        <w:jc w:val="both"/>
        <w:rPr>
          <w:rFonts w:ascii="Verdana" w:hAnsi="Verdana"/>
          <w:sz w:val="24"/>
          <w:szCs w:val="24"/>
        </w:rPr>
      </w:pPr>
    </w:p>
    <w:tbl>
      <w:tblPr>
        <w:tblW w:w="5000" w:type="pct"/>
        <w:jc w:val="center"/>
        <w:tblCellMar>
          <w:left w:w="70" w:type="dxa"/>
          <w:right w:w="70" w:type="dxa"/>
        </w:tblCellMar>
        <w:tblLook w:val="04A0"/>
      </w:tblPr>
      <w:tblGrid>
        <w:gridCol w:w="2188"/>
        <w:gridCol w:w="3318"/>
        <w:gridCol w:w="4660"/>
      </w:tblGrid>
      <w:tr w:rsidR="002955B2" w:rsidRPr="00962870" w:rsidTr="002955B2">
        <w:trPr>
          <w:trHeight w:val="240"/>
          <w:jc w:val="center"/>
        </w:trPr>
        <w:tc>
          <w:tcPr>
            <w:tcW w:w="1076" w:type="pct"/>
            <w:tcBorders>
              <w:top w:val="single" w:sz="8" w:space="0" w:color="FFFFFF"/>
              <w:left w:val="single" w:sz="8" w:space="0" w:color="FFFFFF"/>
              <w:bottom w:val="single" w:sz="12" w:space="0" w:color="FFFFFF"/>
              <w:right w:val="single" w:sz="8" w:space="0" w:color="FFFFFF"/>
            </w:tcBorders>
            <w:shd w:val="clear" w:color="000000" w:fill="5B9BD5"/>
            <w:vAlign w:val="center"/>
            <w:hideMark/>
          </w:tcPr>
          <w:p w:rsidR="002955B2" w:rsidRPr="002955B2" w:rsidRDefault="002955B2" w:rsidP="00F33CF6">
            <w:pPr>
              <w:spacing w:after="0" w:line="240" w:lineRule="auto"/>
              <w:rPr>
                <w:rFonts w:ascii="Verdana" w:eastAsia="Times New Roman" w:hAnsi="Verdana" w:cs="Times New Roman"/>
                <w:bCs/>
                <w:color w:val="FFFFFF"/>
                <w:sz w:val="18"/>
                <w:szCs w:val="18"/>
                <w:lang w:eastAsia="es-CO"/>
              </w:rPr>
            </w:pPr>
            <w:r w:rsidRPr="002955B2">
              <w:rPr>
                <w:rFonts w:ascii="Verdana" w:eastAsia="Times New Roman" w:hAnsi="Verdana" w:cs="Times New Roman"/>
                <w:bCs/>
                <w:color w:val="FFFFFF"/>
                <w:sz w:val="18"/>
                <w:szCs w:val="18"/>
                <w:lang w:eastAsia="es-CO"/>
              </w:rPr>
              <w:t>AUDITADO</w:t>
            </w:r>
          </w:p>
        </w:tc>
        <w:tc>
          <w:tcPr>
            <w:tcW w:w="3924" w:type="pct"/>
            <w:gridSpan w:val="2"/>
            <w:tcBorders>
              <w:top w:val="single" w:sz="8" w:space="0" w:color="FFFFFF"/>
              <w:left w:val="nil"/>
              <w:bottom w:val="single" w:sz="12" w:space="0" w:color="FFFFFF"/>
              <w:right w:val="single" w:sz="8" w:space="0" w:color="FFFFFF"/>
            </w:tcBorders>
            <w:shd w:val="clear" w:color="000000" w:fill="DEEBF7"/>
            <w:vAlign w:val="center"/>
            <w:hideMark/>
          </w:tcPr>
          <w:p w:rsidR="002955B2" w:rsidRPr="002955B2" w:rsidRDefault="002955B2" w:rsidP="00F33CF6">
            <w:pPr>
              <w:spacing w:after="0" w:line="240" w:lineRule="auto"/>
              <w:rPr>
                <w:rFonts w:ascii="Verdana" w:eastAsia="Times New Roman" w:hAnsi="Verdana" w:cs="Times New Roman"/>
                <w:bCs/>
                <w:color w:val="000000"/>
                <w:sz w:val="18"/>
                <w:szCs w:val="18"/>
                <w:lang w:eastAsia="es-CO"/>
              </w:rPr>
            </w:pPr>
            <w:r w:rsidRPr="002955B2">
              <w:rPr>
                <w:rFonts w:ascii="Verdana" w:eastAsia="Times New Roman" w:hAnsi="Verdana" w:cs="Times New Roman"/>
                <w:bCs/>
                <w:color w:val="000000"/>
                <w:sz w:val="18"/>
                <w:szCs w:val="18"/>
                <w:lang w:eastAsia="es-CO"/>
              </w:rPr>
              <w:t>U.A.C.T.</w:t>
            </w:r>
          </w:p>
        </w:tc>
      </w:tr>
      <w:tr w:rsidR="002955B2" w:rsidRPr="00962870" w:rsidTr="002955B2">
        <w:trPr>
          <w:trHeight w:val="255"/>
          <w:jc w:val="center"/>
        </w:trPr>
        <w:tc>
          <w:tcPr>
            <w:tcW w:w="1076" w:type="pct"/>
            <w:tcBorders>
              <w:top w:val="nil"/>
              <w:left w:val="single" w:sz="8" w:space="0" w:color="FFFFFF"/>
              <w:bottom w:val="single" w:sz="8" w:space="0" w:color="FFFFFF"/>
              <w:right w:val="single" w:sz="8" w:space="0" w:color="FFFFFF"/>
            </w:tcBorders>
            <w:shd w:val="clear" w:color="000000" w:fill="5B9BD5"/>
            <w:vAlign w:val="center"/>
            <w:hideMark/>
          </w:tcPr>
          <w:p w:rsidR="002955B2" w:rsidRPr="002955B2" w:rsidRDefault="002955B2" w:rsidP="00F33CF6">
            <w:pPr>
              <w:spacing w:after="0" w:line="240" w:lineRule="auto"/>
              <w:rPr>
                <w:rFonts w:ascii="Verdana" w:eastAsia="Times New Roman" w:hAnsi="Verdana" w:cs="Times New Roman"/>
                <w:bCs/>
                <w:color w:val="FFFFFF"/>
                <w:sz w:val="18"/>
                <w:szCs w:val="18"/>
                <w:lang w:eastAsia="es-CO"/>
              </w:rPr>
            </w:pPr>
            <w:r w:rsidRPr="002955B2">
              <w:rPr>
                <w:rFonts w:ascii="Verdana" w:eastAsia="Times New Roman" w:hAnsi="Verdana" w:cs="Times New Roman"/>
                <w:bCs/>
                <w:color w:val="FFFFFF"/>
                <w:sz w:val="18"/>
                <w:szCs w:val="18"/>
                <w:lang w:eastAsia="es-CO"/>
              </w:rPr>
              <w:t xml:space="preserve">AUDITOR </w:t>
            </w:r>
          </w:p>
        </w:tc>
        <w:tc>
          <w:tcPr>
            <w:tcW w:w="3924" w:type="pct"/>
            <w:gridSpan w:val="2"/>
            <w:tcBorders>
              <w:top w:val="single" w:sz="12" w:space="0" w:color="FFFFFF"/>
              <w:left w:val="nil"/>
              <w:bottom w:val="single" w:sz="8" w:space="0" w:color="FFFFFF"/>
              <w:right w:val="single" w:sz="8" w:space="0" w:color="FFFFFF"/>
            </w:tcBorders>
            <w:shd w:val="clear" w:color="000000" w:fill="D2DEEF"/>
            <w:vAlign w:val="center"/>
            <w:hideMark/>
          </w:tcPr>
          <w:p w:rsidR="002955B2" w:rsidRPr="002955B2" w:rsidRDefault="002955B2" w:rsidP="00F33CF6">
            <w:pPr>
              <w:spacing w:after="0" w:line="240" w:lineRule="auto"/>
              <w:rPr>
                <w:rFonts w:ascii="Verdana" w:eastAsia="Times New Roman" w:hAnsi="Verdana" w:cs="Times New Roman"/>
                <w:bCs/>
                <w:color w:val="000000"/>
                <w:sz w:val="18"/>
                <w:szCs w:val="18"/>
                <w:lang w:eastAsia="es-CO"/>
              </w:rPr>
            </w:pPr>
            <w:r w:rsidRPr="002955B2">
              <w:rPr>
                <w:rFonts w:ascii="Verdana" w:eastAsia="Times New Roman" w:hAnsi="Verdana" w:cs="Times New Roman"/>
                <w:bCs/>
                <w:color w:val="000000"/>
                <w:sz w:val="18"/>
                <w:szCs w:val="18"/>
                <w:lang w:eastAsia="es-CO"/>
              </w:rPr>
              <w:t xml:space="preserve">CONTRALORÍA GENERAL DE LA REPÚBLICA </w:t>
            </w:r>
          </w:p>
        </w:tc>
      </w:tr>
      <w:tr w:rsidR="002955B2" w:rsidRPr="00962870" w:rsidTr="002955B2">
        <w:trPr>
          <w:trHeight w:val="240"/>
          <w:jc w:val="center"/>
        </w:trPr>
        <w:tc>
          <w:tcPr>
            <w:tcW w:w="1076" w:type="pct"/>
            <w:tcBorders>
              <w:top w:val="nil"/>
              <w:left w:val="single" w:sz="8" w:space="0" w:color="FFFFFF"/>
              <w:bottom w:val="single" w:sz="8" w:space="0" w:color="FFFFFF"/>
              <w:right w:val="single" w:sz="8" w:space="0" w:color="FFFFFF"/>
            </w:tcBorders>
            <w:shd w:val="clear" w:color="000000" w:fill="5B9BD5"/>
            <w:vAlign w:val="center"/>
            <w:hideMark/>
          </w:tcPr>
          <w:p w:rsidR="002955B2" w:rsidRPr="002955B2" w:rsidRDefault="002955B2" w:rsidP="00F33CF6">
            <w:pPr>
              <w:spacing w:after="0" w:line="240" w:lineRule="auto"/>
              <w:rPr>
                <w:rFonts w:ascii="Verdana" w:eastAsia="Times New Roman" w:hAnsi="Verdana" w:cs="Times New Roman"/>
                <w:bCs/>
                <w:color w:val="FFFFFF"/>
                <w:sz w:val="18"/>
                <w:szCs w:val="18"/>
                <w:lang w:eastAsia="es-CO"/>
              </w:rPr>
            </w:pPr>
            <w:r w:rsidRPr="002955B2">
              <w:rPr>
                <w:rFonts w:ascii="Verdana" w:eastAsia="Times New Roman" w:hAnsi="Verdana" w:cs="Times New Roman"/>
                <w:bCs/>
                <w:color w:val="FFFFFF"/>
                <w:sz w:val="18"/>
                <w:szCs w:val="18"/>
                <w:lang w:eastAsia="es-CO"/>
              </w:rPr>
              <w:t xml:space="preserve">VIGENCIA  </w:t>
            </w:r>
          </w:p>
        </w:tc>
        <w:tc>
          <w:tcPr>
            <w:tcW w:w="3924" w:type="pct"/>
            <w:gridSpan w:val="2"/>
            <w:tcBorders>
              <w:top w:val="single" w:sz="8" w:space="0" w:color="FFFFFF"/>
              <w:left w:val="nil"/>
              <w:bottom w:val="single" w:sz="8" w:space="0" w:color="FFFFFF"/>
              <w:right w:val="single" w:sz="8" w:space="0" w:color="FFFFFF"/>
            </w:tcBorders>
            <w:shd w:val="clear" w:color="000000" w:fill="EAEFF7"/>
            <w:vAlign w:val="center"/>
            <w:hideMark/>
          </w:tcPr>
          <w:p w:rsidR="002955B2" w:rsidRPr="002955B2" w:rsidRDefault="002955B2" w:rsidP="00F33CF6">
            <w:pPr>
              <w:spacing w:after="0" w:line="240" w:lineRule="auto"/>
              <w:rPr>
                <w:rFonts w:ascii="Verdana" w:eastAsia="Times New Roman" w:hAnsi="Verdana" w:cs="Times New Roman"/>
                <w:bCs/>
                <w:color w:val="000000"/>
                <w:sz w:val="18"/>
                <w:szCs w:val="18"/>
                <w:lang w:eastAsia="es-CO"/>
              </w:rPr>
            </w:pPr>
            <w:r w:rsidRPr="002955B2">
              <w:rPr>
                <w:rFonts w:ascii="Verdana" w:eastAsia="Times New Roman" w:hAnsi="Verdana" w:cs="Times New Roman"/>
                <w:bCs/>
                <w:color w:val="000000"/>
                <w:sz w:val="18"/>
                <w:szCs w:val="18"/>
                <w:lang w:eastAsia="es-CO"/>
              </w:rPr>
              <w:t>2.012</w:t>
            </w:r>
          </w:p>
        </w:tc>
      </w:tr>
      <w:tr w:rsidR="002955B2" w:rsidRPr="00962870" w:rsidTr="002955B2">
        <w:trPr>
          <w:trHeight w:val="240"/>
          <w:jc w:val="center"/>
        </w:trPr>
        <w:tc>
          <w:tcPr>
            <w:tcW w:w="5000" w:type="pct"/>
            <w:gridSpan w:val="3"/>
            <w:tcBorders>
              <w:top w:val="single" w:sz="8" w:space="0" w:color="FFFFFF"/>
              <w:left w:val="single" w:sz="8" w:space="0" w:color="FFFFFF"/>
              <w:bottom w:val="single" w:sz="8" w:space="0" w:color="FFFFFF"/>
              <w:right w:val="single" w:sz="8" w:space="0" w:color="FFFFFF"/>
            </w:tcBorders>
            <w:shd w:val="clear" w:color="000000" w:fill="5B9BD5"/>
            <w:vAlign w:val="center"/>
            <w:hideMark/>
          </w:tcPr>
          <w:p w:rsidR="002955B2" w:rsidRPr="002955B2" w:rsidRDefault="002955B2" w:rsidP="00F33CF6">
            <w:pPr>
              <w:spacing w:after="0" w:line="240" w:lineRule="auto"/>
              <w:jc w:val="center"/>
              <w:rPr>
                <w:rFonts w:ascii="Verdana" w:eastAsia="Times New Roman" w:hAnsi="Verdana" w:cs="Times New Roman"/>
                <w:bCs/>
                <w:color w:val="FFFFFF"/>
                <w:sz w:val="18"/>
                <w:szCs w:val="18"/>
                <w:lang w:eastAsia="es-CO"/>
              </w:rPr>
            </w:pPr>
            <w:r w:rsidRPr="002955B2">
              <w:rPr>
                <w:rFonts w:ascii="Verdana" w:eastAsia="Times New Roman" w:hAnsi="Verdana" w:cs="Times New Roman"/>
                <w:bCs/>
                <w:color w:val="FFFFFF"/>
                <w:sz w:val="18"/>
                <w:szCs w:val="18"/>
                <w:lang w:eastAsia="es-CO"/>
              </w:rPr>
              <w:t>HALLAZGOS</w:t>
            </w:r>
          </w:p>
        </w:tc>
      </w:tr>
      <w:tr w:rsidR="002955B2" w:rsidRPr="00962870" w:rsidTr="002955B2">
        <w:trPr>
          <w:trHeight w:val="240"/>
          <w:jc w:val="center"/>
        </w:trPr>
        <w:tc>
          <w:tcPr>
            <w:tcW w:w="2708" w:type="pct"/>
            <w:gridSpan w:val="2"/>
            <w:tcBorders>
              <w:top w:val="single" w:sz="8" w:space="0" w:color="FFFFFF"/>
              <w:left w:val="single" w:sz="8" w:space="0" w:color="FFFFFF"/>
              <w:bottom w:val="single" w:sz="8" w:space="0" w:color="FFFFFF"/>
              <w:right w:val="single" w:sz="8" w:space="0" w:color="FFFFFF"/>
            </w:tcBorders>
            <w:shd w:val="clear" w:color="000000" w:fill="5B9BD5"/>
            <w:vAlign w:val="center"/>
            <w:hideMark/>
          </w:tcPr>
          <w:p w:rsidR="002955B2" w:rsidRPr="002955B2" w:rsidRDefault="002955B2" w:rsidP="00F33CF6">
            <w:pPr>
              <w:spacing w:after="0" w:line="240" w:lineRule="auto"/>
              <w:jc w:val="center"/>
              <w:rPr>
                <w:rFonts w:ascii="Verdana" w:eastAsia="Times New Roman" w:hAnsi="Verdana" w:cs="Times New Roman"/>
                <w:bCs/>
                <w:color w:val="FFFFFF"/>
                <w:sz w:val="18"/>
                <w:szCs w:val="18"/>
                <w:u w:val="single"/>
                <w:lang w:eastAsia="es-CO"/>
              </w:rPr>
            </w:pPr>
            <w:r w:rsidRPr="002955B2">
              <w:rPr>
                <w:rFonts w:ascii="Verdana" w:eastAsia="Times New Roman" w:hAnsi="Verdana" w:cs="Times New Roman"/>
                <w:bCs/>
                <w:color w:val="FFFFFF"/>
                <w:sz w:val="18"/>
                <w:szCs w:val="18"/>
                <w:u w:val="single"/>
                <w:lang w:eastAsia="es-CO"/>
              </w:rPr>
              <w:t>ADMINISTRATIVOS</w:t>
            </w:r>
          </w:p>
        </w:tc>
        <w:tc>
          <w:tcPr>
            <w:tcW w:w="2292" w:type="pct"/>
            <w:tcBorders>
              <w:top w:val="nil"/>
              <w:left w:val="nil"/>
              <w:bottom w:val="single" w:sz="8" w:space="0" w:color="FFFFFF"/>
              <w:right w:val="single" w:sz="8" w:space="0" w:color="FFFFFF"/>
            </w:tcBorders>
            <w:shd w:val="clear" w:color="000000" w:fill="EAEFF7"/>
            <w:vAlign w:val="center"/>
            <w:hideMark/>
          </w:tcPr>
          <w:p w:rsidR="002955B2" w:rsidRPr="002955B2" w:rsidRDefault="002955B2" w:rsidP="00F33CF6">
            <w:pPr>
              <w:spacing w:after="0" w:line="240" w:lineRule="auto"/>
              <w:jc w:val="center"/>
              <w:rPr>
                <w:rFonts w:ascii="Verdana" w:eastAsia="Times New Roman" w:hAnsi="Verdana" w:cs="Times New Roman"/>
                <w:bCs/>
                <w:color w:val="000000" w:themeColor="text1"/>
                <w:sz w:val="18"/>
                <w:szCs w:val="18"/>
                <w:u w:val="single"/>
                <w:lang w:eastAsia="es-CO"/>
              </w:rPr>
            </w:pPr>
            <w:r w:rsidRPr="002955B2">
              <w:rPr>
                <w:rFonts w:ascii="Verdana" w:eastAsia="Times New Roman" w:hAnsi="Verdana" w:cs="Times New Roman"/>
                <w:bCs/>
                <w:color w:val="000000" w:themeColor="text1"/>
                <w:sz w:val="18"/>
                <w:szCs w:val="18"/>
                <w:u w:val="single"/>
                <w:lang w:eastAsia="es-CO"/>
              </w:rPr>
              <w:t>25</w:t>
            </w:r>
          </w:p>
        </w:tc>
      </w:tr>
      <w:tr w:rsidR="002955B2" w:rsidRPr="00962870" w:rsidTr="002955B2">
        <w:trPr>
          <w:trHeight w:val="240"/>
          <w:jc w:val="center"/>
        </w:trPr>
        <w:tc>
          <w:tcPr>
            <w:tcW w:w="2708" w:type="pct"/>
            <w:gridSpan w:val="2"/>
            <w:tcBorders>
              <w:top w:val="single" w:sz="8" w:space="0" w:color="FFFFFF"/>
              <w:left w:val="single" w:sz="8" w:space="0" w:color="FFFFFF"/>
              <w:bottom w:val="single" w:sz="8" w:space="0" w:color="FFFFFF"/>
              <w:right w:val="single" w:sz="8" w:space="0" w:color="FFFFFF"/>
            </w:tcBorders>
            <w:shd w:val="clear" w:color="000000" w:fill="5B9BD5"/>
            <w:vAlign w:val="center"/>
            <w:hideMark/>
          </w:tcPr>
          <w:p w:rsidR="002955B2" w:rsidRPr="002955B2" w:rsidRDefault="002955B2" w:rsidP="00F33CF6">
            <w:pPr>
              <w:spacing w:after="0" w:line="240" w:lineRule="auto"/>
              <w:jc w:val="center"/>
              <w:rPr>
                <w:rFonts w:ascii="Verdana" w:eastAsia="Times New Roman" w:hAnsi="Verdana" w:cs="Times New Roman"/>
                <w:bCs/>
                <w:color w:val="FFFFFF"/>
                <w:sz w:val="18"/>
                <w:szCs w:val="18"/>
                <w:u w:val="single"/>
                <w:lang w:eastAsia="es-CO"/>
              </w:rPr>
            </w:pPr>
            <w:r w:rsidRPr="002955B2">
              <w:rPr>
                <w:rFonts w:ascii="Verdana" w:eastAsia="Times New Roman" w:hAnsi="Verdana" w:cs="Times New Roman"/>
                <w:bCs/>
                <w:color w:val="FFFFFF"/>
                <w:sz w:val="18"/>
                <w:szCs w:val="18"/>
                <w:u w:val="single"/>
                <w:lang w:eastAsia="es-CO"/>
              </w:rPr>
              <w:t>DISCIPLINARIOS</w:t>
            </w:r>
          </w:p>
        </w:tc>
        <w:tc>
          <w:tcPr>
            <w:tcW w:w="2292" w:type="pct"/>
            <w:tcBorders>
              <w:top w:val="nil"/>
              <w:left w:val="nil"/>
              <w:bottom w:val="single" w:sz="8" w:space="0" w:color="FFFFFF"/>
              <w:right w:val="single" w:sz="8" w:space="0" w:color="FFFFFF"/>
            </w:tcBorders>
            <w:shd w:val="clear" w:color="000000" w:fill="D2DEEF"/>
            <w:vAlign w:val="center"/>
            <w:hideMark/>
          </w:tcPr>
          <w:p w:rsidR="002955B2" w:rsidRPr="002955B2" w:rsidRDefault="002955B2" w:rsidP="00F33CF6">
            <w:pPr>
              <w:spacing w:after="0" w:line="240" w:lineRule="auto"/>
              <w:jc w:val="center"/>
              <w:rPr>
                <w:rFonts w:ascii="Verdana" w:eastAsia="Times New Roman" w:hAnsi="Verdana" w:cs="Times New Roman"/>
                <w:bCs/>
                <w:color w:val="000000" w:themeColor="text1"/>
                <w:sz w:val="18"/>
                <w:szCs w:val="18"/>
                <w:u w:val="single"/>
                <w:lang w:eastAsia="es-CO"/>
              </w:rPr>
            </w:pPr>
            <w:r w:rsidRPr="002955B2">
              <w:rPr>
                <w:rFonts w:ascii="Verdana" w:eastAsia="Times New Roman" w:hAnsi="Verdana" w:cs="Times New Roman"/>
                <w:bCs/>
                <w:color w:val="000000" w:themeColor="text1"/>
                <w:sz w:val="18"/>
                <w:szCs w:val="18"/>
                <w:u w:val="single"/>
                <w:lang w:eastAsia="es-CO"/>
              </w:rPr>
              <w:t>13</w:t>
            </w:r>
          </w:p>
        </w:tc>
      </w:tr>
      <w:tr w:rsidR="002955B2" w:rsidRPr="00962870" w:rsidTr="002955B2">
        <w:trPr>
          <w:trHeight w:val="240"/>
          <w:jc w:val="center"/>
        </w:trPr>
        <w:tc>
          <w:tcPr>
            <w:tcW w:w="2708" w:type="pct"/>
            <w:gridSpan w:val="2"/>
            <w:tcBorders>
              <w:top w:val="single" w:sz="8" w:space="0" w:color="FFFFFF"/>
              <w:left w:val="single" w:sz="8" w:space="0" w:color="FFFFFF"/>
              <w:bottom w:val="single" w:sz="8" w:space="0" w:color="FFFFFF"/>
              <w:right w:val="single" w:sz="8" w:space="0" w:color="FFFFFF"/>
            </w:tcBorders>
            <w:shd w:val="clear" w:color="000000" w:fill="5B9BD5"/>
            <w:vAlign w:val="center"/>
            <w:hideMark/>
          </w:tcPr>
          <w:p w:rsidR="002955B2" w:rsidRPr="002955B2" w:rsidRDefault="002955B2" w:rsidP="00F33CF6">
            <w:pPr>
              <w:spacing w:after="0" w:line="240" w:lineRule="auto"/>
              <w:jc w:val="center"/>
              <w:rPr>
                <w:rFonts w:ascii="Verdana" w:eastAsia="Times New Roman" w:hAnsi="Verdana" w:cs="Times New Roman"/>
                <w:bCs/>
                <w:color w:val="FFFFFF"/>
                <w:sz w:val="18"/>
                <w:szCs w:val="18"/>
                <w:u w:val="single"/>
                <w:lang w:eastAsia="es-CO"/>
              </w:rPr>
            </w:pPr>
            <w:r w:rsidRPr="002955B2">
              <w:rPr>
                <w:rFonts w:ascii="Verdana" w:eastAsia="Times New Roman" w:hAnsi="Verdana" w:cs="Times New Roman"/>
                <w:bCs/>
                <w:color w:val="FFFFFF"/>
                <w:sz w:val="18"/>
                <w:szCs w:val="18"/>
                <w:u w:val="single"/>
                <w:lang w:eastAsia="es-CO"/>
              </w:rPr>
              <w:t>FISCALES</w:t>
            </w:r>
          </w:p>
        </w:tc>
        <w:tc>
          <w:tcPr>
            <w:tcW w:w="2292" w:type="pct"/>
            <w:tcBorders>
              <w:top w:val="nil"/>
              <w:left w:val="nil"/>
              <w:bottom w:val="single" w:sz="8" w:space="0" w:color="FFFFFF"/>
              <w:right w:val="single" w:sz="8" w:space="0" w:color="FFFFFF"/>
            </w:tcBorders>
            <w:shd w:val="clear" w:color="000000" w:fill="DEEBF7"/>
            <w:vAlign w:val="center"/>
            <w:hideMark/>
          </w:tcPr>
          <w:p w:rsidR="002955B2" w:rsidRPr="002955B2" w:rsidRDefault="002955B2" w:rsidP="00F33CF6">
            <w:pPr>
              <w:spacing w:after="0" w:line="240" w:lineRule="auto"/>
              <w:jc w:val="center"/>
              <w:rPr>
                <w:rFonts w:ascii="Verdana" w:eastAsia="Times New Roman" w:hAnsi="Verdana" w:cs="Times New Roman"/>
                <w:bCs/>
                <w:color w:val="000000" w:themeColor="text1"/>
                <w:sz w:val="18"/>
                <w:szCs w:val="18"/>
                <w:u w:val="single"/>
                <w:lang w:eastAsia="es-CO"/>
              </w:rPr>
            </w:pPr>
            <w:r w:rsidRPr="002955B2">
              <w:rPr>
                <w:rFonts w:ascii="Verdana" w:eastAsia="Times New Roman" w:hAnsi="Verdana" w:cs="Times New Roman"/>
                <w:bCs/>
                <w:color w:val="000000" w:themeColor="text1"/>
                <w:sz w:val="18"/>
                <w:szCs w:val="18"/>
                <w:u w:val="single"/>
                <w:lang w:eastAsia="es-CO"/>
              </w:rPr>
              <w:t>0</w:t>
            </w:r>
          </w:p>
        </w:tc>
      </w:tr>
      <w:tr w:rsidR="002955B2" w:rsidRPr="00962870" w:rsidTr="002955B2">
        <w:trPr>
          <w:trHeight w:val="240"/>
          <w:jc w:val="center"/>
        </w:trPr>
        <w:tc>
          <w:tcPr>
            <w:tcW w:w="2708" w:type="pct"/>
            <w:gridSpan w:val="2"/>
            <w:tcBorders>
              <w:top w:val="single" w:sz="8" w:space="0" w:color="FFFFFF"/>
              <w:left w:val="single" w:sz="8" w:space="0" w:color="FFFFFF"/>
              <w:bottom w:val="single" w:sz="8" w:space="0" w:color="FFFFFF"/>
              <w:right w:val="single" w:sz="8" w:space="0" w:color="FFFFFF"/>
            </w:tcBorders>
            <w:shd w:val="clear" w:color="000000" w:fill="5B9BD5"/>
            <w:vAlign w:val="center"/>
            <w:hideMark/>
          </w:tcPr>
          <w:p w:rsidR="002955B2" w:rsidRPr="002955B2" w:rsidRDefault="002955B2" w:rsidP="00F33CF6">
            <w:pPr>
              <w:spacing w:after="0" w:line="240" w:lineRule="auto"/>
              <w:jc w:val="center"/>
              <w:rPr>
                <w:rFonts w:ascii="Verdana" w:eastAsia="Times New Roman" w:hAnsi="Verdana" w:cs="Times New Roman"/>
                <w:bCs/>
                <w:color w:val="FFFFFF"/>
                <w:sz w:val="18"/>
                <w:szCs w:val="18"/>
                <w:u w:val="single"/>
                <w:lang w:eastAsia="es-CO"/>
              </w:rPr>
            </w:pPr>
            <w:r w:rsidRPr="002955B2">
              <w:rPr>
                <w:rFonts w:ascii="Verdana" w:eastAsia="Times New Roman" w:hAnsi="Verdana" w:cs="Times New Roman"/>
                <w:bCs/>
                <w:color w:val="FFFFFF"/>
                <w:sz w:val="18"/>
                <w:szCs w:val="18"/>
                <w:u w:val="single"/>
                <w:lang w:eastAsia="es-CO"/>
              </w:rPr>
              <w:t>PENALES</w:t>
            </w:r>
          </w:p>
        </w:tc>
        <w:tc>
          <w:tcPr>
            <w:tcW w:w="2292" w:type="pct"/>
            <w:tcBorders>
              <w:top w:val="nil"/>
              <w:left w:val="nil"/>
              <w:bottom w:val="single" w:sz="8" w:space="0" w:color="FFFFFF"/>
              <w:right w:val="single" w:sz="8" w:space="0" w:color="FFFFFF"/>
            </w:tcBorders>
            <w:shd w:val="clear" w:color="000000" w:fill="BDD7EE"/>
            <w:vAlign w:val="center"/>
            <w:hideMark/>
          </w:tcPr>
          <w:p w:rsidR="002955B2" w:rsidRPr="002955B2" w:rsidRDefault="002955B2" w:rsidP="00F33CF6">
            <w:pPr>
              <w:spacing w:after="0" w:line="240" w:lineRule="auto"/>
              <w:jc w:val="center"/>
              <w:rPr>
                <w:rFonts w:ascii="Verdana" w:eastAsia="Times New Roman" w:hAnsi="Verdana" w:cs="Times New Roman"/>
                <w:bCs/>
                <w:color w:val="000000" w:themeColor="text1"/>
                <w:sz w:val="18"/>
                <w:szCs w:val="18"/>
                <w:u w:val="single"/>
                <w:lang w:eastAsia="es-CO"/>
              </w:rPr>
            </w:pPr>
            <w:r w:rsidRPr="002955B2">
              <w:rPr>
                <w:rFonts w:ascii="Verdana" w:eastAsia="Times New Roman" w:hAnsi="Verdana" w:cs="Times New Roman"/>
                <w:bCs/>
                <w:color w:val="000000" w:themeColor="text1"/>
                <w:sz w:val="18"/>
                <w:szCs w:val="18"/>
                <w:u w:val="single"/>
                <w:lang w:eastAsia="es-CO"/>
              </w:rPr>
              <w:t>0</w:t>
            </w:r>
          </w:p>
        </w:tc>
      </w:tr>
      <w:tr w:rsidR="002955B2" w:rsidRPr="00962870" w:rsidTr="002955B2">
        <w:trPr>
          <w:trHeight w:val="240"/>
          <w:jc w:val="center"/>
        </w:trPr>
        <w:tc>
          <w:tcPr>
            <w:tcW w:w="2708" w:type="pct"/>
            <w:gridSpan w:val="2"/>
            <w:tcBorders>
              <w:top w:val="single" w:sz="8" w:space="0" w:color="FFFFFF"/>
              <w:left w:val="single" w:sz="8" w:space="0" w:color="FFFFFF"/>
              <w:bottom w:val="single" w:sz="8" w:space="0" w:color="FFFFFF"/>
              <w:right w:val="single" w:sz="8" w:space="0" w:color="FFFFFF"/>
            </w:tcBorders>
            <w:shd w:val="clear" w:color="000000" w:fill="5B9BD5"/>
            <w:vAlign w:val="center"/>
            <w:hideMark/>
          </w:tcPr>
          <w:p w:rsidR="002955B2" w:rsidRPr="002955B2" w:rsidRDefault="002955B2" w:rsidP="00F33CF6">
            <w:pPr>
              <w:spacing w:after="0" w:line="240" w:lineRule="auto"/>
              <w:jc w:val="center"/>
              <w:rPr>
                <w:rFonts w:ascii="Verdana" w:eastAsia="Times New Roman" w:hAnsi="Verdana" w:cs="Times New Roman"/>
                <w:bCs/>
                <w:color w:val="FFFFFF"/>
                <w:sz w:val="18"/>
                <w:szCs w:val="18"/>
                <w:u w:val="single"/>
                <w:lang w:eastAsia="es-CO"/>
              </w:rPr>
            </w:pPr>
            <w:r w:rsidRPr="002955B2">
              <w:rPr>
                <w:rFonts w:ascii="Verdana" w:eastAsia="Times New Roman" w:hAnsi="Verdana" w:cs="Times New Roman"/>
                <w:bCs/>
                <w:color w:val="FFFFFF"/>
                <w:sz w:val="18"/>
                <w:szCs w:val="18"/>
                <w:u w:val="single"/>
                <w:lang w:eastAsia="es-CO"/>
              </w:rPr>
              <w:t>TOTAL</w:t>
            </w:r>
          </w:p>
        </w:tc>
        <w:tc>
          <w:tcPr>
            <w:tcW w:w="2292" w:type="pct"/>
            <w:tcBorders>
              <w:top w:val="nil"/>
              <w:left w:val="nil"/>
              <w:bottom w:val="single" w:sz="8" w:space="0" w:color="FFFFFF"/>
              <w:right w:val="single" w:sz="8" w:space="0" w:color="FFFFFF"/>
            </w:tcBorders>
            <w:shd w:val="clear" w:color="000000" w:fill="5B9BD5"/>
            <w:vAlign w:val="center"/>
            <w:hideMark/>
          </w:tcPr>
          <w:p w:rsidR="002955B2" w:rsidRPr="002955B2" w:rsidRDefault="002955B2" w:rsidP="00F33CF6">
            <w:pPr>
              <w:spacing w:after="0" w:line="240" w:lineRule="auto"/>
              <w:jc w:val="center"/>
              <w:rPr>
                <w:rFonts w:ascii="Verdana" w:eastAsia="Times New Roman" w:hAnsi="Verdana" w:cs="Times New Roman"/>
                <w:bCs/>
                <w:color w:val="000000" w:themeColor="text1"/>
                <w:sz w:val="18"/>
                <w:szCs w:val="18"/>
                <w:u w:val="single"/>
                <w:lang w:eastAsia="es-CO"/>
              </w:rPr>
            </w:pPr>
            <w:r w:rsidRPr="002955B2">
              <w:rPr>
                <w:rFonts w:ascii="Verdana" w:eastAsia="Times New Roman" w:hAnsi="Verdana" w:cs="Times New Roman"/>
                <w:bCs/>
                <w:color w:val="000000" w:themeColor="text1"/>
                <w:sz w:val="18"/>
                <w:szCs w:val="18"/>
                <w:u w:val="single"/>
                <w:lang w:eastAsia="es-CO"/>
              </w:rPr>
              <w:t>38</w:t>
            </w:r>
          </w:p>
        </w:tc>
      </w:tr>
    </w:tbl>
    <w:p w:rsidR="002955B2" w:rsidRDefault="002955B2" w:rsidP="002955B2">
      <w:pPr>
        <w:spacing w:after="0" w:line="240" w:lineRule="auto"/>
        <w:jc w:val="both"/>
        <w:rPr>
          <w:rFonts w:ascii="Verdana" w:hAnsi="Verdana"/>
          <w:sz w:val="24"/>
          <w:szCs w:val="24"/>
        </w:rPr>
      </w:pPr>
    </w:p>
    <w:p w:rsidR="002955B2" w:rsidRDefault="002955B2" w:rsidP="002955B2">
      <w:pPr>
        <w:spacing w:after="0" w:line="240" w:lineRule="auto"/>
        <w:jc w:val="center"/>
        <w:rPr>
          <w:rFonts w:ascii="Verdana" w:hAnsi="Verdana"/>
          <w:sz w:val="24"/>
          <w:szCs w:val="24"/>
        </w:rPr>
      </w:pPr>
      <w:r w:rsidRPr="00490F2D">
        <w:rPr>
          <w:rFonts w:ascii="Verdana" w:hAnsi="Verdana"/>
          <w:noProof/>
          <w:sz w:val="24"/>
          <w:szCs w:val="24"/>
          <w:lang w:eastAsia="es-CO"/>
        </w:rPr>
        <w:drawing>
          <wp:inline distT="0" distB="0" distL="0" distR="0">
            <wp:extent cx="4200525" cy="3222625"/>
            <wp:effectExtent l="0" t="0" r="9525" b="15875"/>
            <wp:docPr id="487"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955B2" w:rsidRDefault="002955B2" w:rsidP="002955B2">
      <w:pPr>
        <w:spacing w:after="0" w:line="240" w:lineRule="auto"/>
        <w:jc w:val="both"/>
        <w:rPr>
          <w:rFonts w:ascii="Verdana" w:hAnsi="Verdana"/>
          <w:sz w:val="24"/>
          <w:szCs w:val="24"/>
        </w:rPr>
      </w:pPr>
    </w:p>
    <w:p w:rsidR="00B722F2" w:rsidRPr="00581D8C" w:rsidRDefault="00581D8C" w:rsidP="00581D8C">
      <w:pPr>
        <w:spacing w:after="0" w:line="240" w:lineRule="auto"/>
        <w:rPr>
          <w:rFonts w:ascii="Verdana" w:hAnsi="Verdana"/>
          <w:b/>
          <w:sz w:val="28"/>
          <w:szCs w:val="24"/>
        </w:rPr>
      </w:pPr>
      <w:r w:rsidRPr="00581D8C">
        <w:rPr>
          <w:rFonts w:ascii="Verdana" w:hAnsi="Verdana"/>
          <w:b/>
          <w:noProof/>
          <w:sz w:val="24"/>
          <w:szCs w:val="24"/>
          <w:lang w:eastAsia="es-CO"/>
        </w:rPr>
        <w:drawing>
          <wp:inline distT="0" distB="0" distL="0" distR="0">
            <wp:extent cx="216024" cy="216024"/>
            <wp:effectExtent l="19050" t="0" r="0" b="0"/>
            <wp:docPr id="484" name="Objeto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6300192" y="4869160"/>
                      <a:chExt cx="216024" cy="216024"/>
                    </a:xfrm>
                  </a:grpSpPr>
                  <a:sp>
                    <a:nvSpPr>
                      <a:cNvPr id="42" name="41 Rectángulo redondeado"/>
                      <a:cNvSpPr/>
                    </a:nvSpPr>
                    <a:spPr>
                      <a:xfrm>
                        <a:off x="6300192" y="4869160"/>
                        <a:ext cx="216024" cy="216024"/>
                      </a:xfrm>
                      <a:prstGeom prst="roundRect">
                        <a:avLst/>
                      </a:prstGeom>
                      <a:gradFill flip="none" rotWithShape="1">
                        <a:gsLst>
                          <a:gs pos="0">
                            <a:schemeClr val="bg1">
                              <a:lumMod val="65000"/>
                              <a:shade val="30000"/>
                              <a:satMod val="115000"/>
                            </a:schemeClr>
                          </a:gs>
                          <a:gs pos="50000">
                            <a:schemeClr val="bg1">
                              <a:lumMod val="65000"/>
                              <a:shade val="67500"/>
                              <a:satMod val="115000"/>
                            </a:schemeClr>
                          </a:gs>
                          <a:gs pos="100000">
                            <a:schemeClr val="bg1">
                              <a:lumMod val="65000"/>
                              <a:shade val="100000"/>
                              <a:satMod val="115000"/>
                            </a:schemeClr>
                          </a:gs>
                        </a:gsLst>
                        <a:lin ang="10800000" scaled="1"/>
                        <a:tileRect/>
                      </a:gra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hAnsi="Verdana"/>
          <w:b/>
          <w:sz w:val="24"/>
          <w:szCs w:val="24"/>
        </w:rPr>
        <w:t xml:space="preserve">  </w:t>
      </w:r>
      <w:r w:rsidR="00B722F2" w:rsidRPr="00581D8C">
        <w:rPr>
          <w:rFonts w:ascii="Verdana" w:hAnsi="Verdana"/>
          <w:b/>
          <w:color w:val="4F81BD" w:themeColor="accent1"/>
          <w:sz w:val="28"/>
          <w:szCs w:val="24"/>
        </w:rPr>
        <w:t>PQRS</w:t>
      </w:r>
    </w:p>
    <w:p w:rsidR="00B722F2" w:rsidRPr="00581D8C" w:rsidRDefault="00B722F2" w:rsidP="00B722F2">
      <w:pPr>
        <w:spacing w:after="0" w:line="240" w:lineRule="auto"/>
        <w:jc w:val="both"/>
        <w:rPr>
          <w:rFonts w:ascii="Verdana" w:hAnsi="Verdana"/>
          <w:b/>
          <w:sz w:val="24"/>
          <w:szCs w:val="24"/>
        </w:rPr>
      </w:pPr>
    </w:p>
    <w:p w:rsidR="00B722F2" w:rsidRPr="00581D8C" w:rsidRDefault="00B722F2" w:rsidP="00B722F2">
      <w:pPr>
        <w:spacing w:after="0" w:line="240" w:lineRule="auto"/>
        <w:jc w:val="both"/>
        <w:rPr>
          <w:rFonts w:ascii="Verdana" w:hAnsi="Verdana"/>
          <w:sz w:val="24"/>
          <w:szCs w:val="24"/>
        </w:rPr>
      </w:pPr>
      <w:r w:rsidRPr="00581D8C">
        <w:rPr>
          <w:rFonts w:ascii="Verdana" w:hAnsi="Verdana"/>
          <w:sz w:val="24"/>
          <w:szCs w:val="24"/>
        </w:rPr>
        <w:t>En concordancia con la estrategia del Gobierno Nacional que tiene por objeto contribuir a la construcción de un Estado más eficiente, transparente y participativo, la UACT dio continuidad a las diferentes actividades que garantizan la participación ciudadana y la atención de peticiones, algunas de las cuales están contempladas en la estrategia del plan anticorrupción y de atención al ciudadano 2013.</w:t>
      </w:r>
    </w:p>
    <w:p w:rsidR="00B722F2" w:rsidRPr="00581D8C" w:rsidRDefault="00B722F2" w:rsidP="00B722F2">
      <w:pPr>
        <w:spacing w:after="0" w:line="240" w:lineRule="auto"/>
        <w:jc w:val="both"/>
        <w:rPr>
          <w:rFonts w:ascii="Verdana" w:hAnsi="Verdana"/>
          <w:sz w:val="24"/>
          <w:szCs w:val="24"/>
        </w:rPr>
      </w:pPr>
    </w:p>
    <w:p w:rsidR="00B722F2" w:rsidRPr="00581D8C" w:rsidRDefault="00B722F2" w:rsidP="00B722F2">
      <w:pPr>
        <w:spacing w:after="0" w:line="240" w:lineRule="auto"/>
        <w:jc w:val="both"/>
        <w:rPr>
          <w:rFonts w:ascii="Verdana" w:hAnsi="Verdana"/>
          <w:sz w:val="24"/>
          <w:szCs w:val="24"/>
        </w:rPr>
      </w:pPr>
      <w:r w:rsidRPr="00581D8C">
        <w:rPr>
          <w:rFonts w:ascii="Verdana" w:hAnsi="Verdana"/>
          <w:sz w:val="24"/>
          <w:szCs w:val="24"/>
        </w:rPr>
        <w:t>Es importante resaltar que uno de los objetivos estratégicos de la UACT o pilares, se concentran en la participación ciudadana y buen gobierno, aunque de forma transversal en el marco de la PNCRT y de la PNEMCIDA las diferentes áreas misionales se enfocan en procesos de participación ciudadana para la consolidación territorial. Para ello se realiza la articulación en los territorios a través de reuniones, consejos y comités con familias, comunidades, líderes, Juntas, organizaciones, consejos, fundaciones e instituciones de los municipios de intervención con los cuales se realiza la priorización de proyectos los cuales incluyen el control social como fortalecimiento a la participación.</w:t>
      </w:r>
    </w:p>
    <w:p w:rsidR="00B722F2" w:rsidRPr="00581D8C" w:rsidRDefault="00B722F2" w:rsidP="00B722F2">
      <w:pPr>
        <w:spacing w:after="0" w:line="240" w:lineRule="auto"/>
        <w:jc w:val="both"/>
        <w:rPr>
          <w:rFonts w:ascii="Verdana" w:hAnsi="Verdana"/>
          <w:b/>
          <w:sz w:val="24"/>
          <w:szCs w:val="24"/>
        </w:rPr>
      </w:pPr>
    </w:p>
    <w:tbl>
      <w:tblPr>
        <w:tblW w:w="5000" w:type="pct"/>
        <w:tblLayout w:type="fixed"/>
        <w:tblCellMar>
          <w:left w:w="70" w:type="dxa"/>
          <w:right w:w="70" w:type="dxa"/>
        </w:tblCellMar>
        <w:tblLook w:val="04A0"/>
      </w:tblPr>
      <w:tblGrid>
        <w:gridCol w:w="2904"/>
        <w:gridCol w:w="558"/>
        <w:gridCol w:w="559"/>
        <w:gridCol w:w="557"/>
        <w:gridCol w:w="559"/>
        <w:gridCol w:w="559"/>
        <w:gridCol w:w="557"/>
        <w:gridCol w:w="559"/>
        <w:gridCol w:w="557"/>
        <w:gridCol w:w="559"/>
        <w:gridCol w:w="559"/>
        <w:gridCol w:w="557"/>
        <w:gridCol w:w="559"/>
        <w:gridCol w:w="563"/>
      </w:tblGrid>
      <w:tr w:rsidR="00B722F2" w:rsidRPr="00581D8C" w:rsidTr="006D37DF">
        <w:trPr>
          <w:trHeight w:val="330"/>
        </w:trPr>
        <w:tc>
          <w:tcPr>
            <w:tcW w:w="1428" w:type="pct"/>
            <w:tcBorders>
              <w:top w:val="nil"/>
              <w:left w:val="nil"/>
              <w:bottom w:val="single" w:sz="12" w:space="0" w:color="FFFFFF"/>
              <w:right w:val="single" w:sz="4" w:space="0" w:color="FFFFFF"/>
            </w:tcBorders>
            <w:shd w:val="clear" w:color="4F81BD" w:fill="4F81BD"/>
            <w:noWrap/>
            <w:vAlign w:val="center"/>
            <w:hideMark/>
          </w:tcPr>
          <w:p w:rsidR="00B722F2" w:rsidRPr="00581D8C" w:rsidRDefault="00B722F2" w:rsidP="00B722F2">
            <w:pPr>
              <w:spacing w:after="0" w:line="240" w:lineRule="auto"/>
              <w:rPr>
                <w:rFonts w:ascii="Verdana" w:eastAsia="Times New Roman" w:hAnsi="Verdana" w:cs="Times New Roman"/>
                <w:b/>
                <w:bCs/>
                <w:color w:val="FFFFFF"/>
                <w:sz w:val="18"/>
                <w:szCs w:val="18"/>
                <w:lang w:eastAsia="es-CO"/>
              </w:rPr>
            </w:pPr>
            <w:r w:rsidRPr="00581D8C">
              <w:rPr>
                <w:rFonts w:ascii="Verdana" w:eastAsia="Times New Roman" w:hAnsi="Verdana" w:cs="Times New Roman"/>
                <w:b/>
                <w:bCs/>
                <w:color w:val="FFFFFF"/>
                <w:sz w:val="18"/>
                <w:szCs w:val="18"/>
                <w:lang w:eastAsia="es-CO"/>
              </w:rPr>
              <w:t> </w:t>
            </w:r>
          </w:p>
        </w:tc>
        <w:tc>
          <w:tcPr>
            <w:tcW w:w="274" w:type="pct"/>
            <w:tcBorders>
              <w:top w:val="nil"/>
              <w:left w:val="nil"/>
              <w:bottom w:val="single" w:sz="12" w:space="0" w:color="FFFFFF"/>
              <w:right w:val="single" w:sz="4" w:space="0" w:color="FFFFFF"/>
            </w:tcBorders>
            <w:shd w:val="clear" w:color="4F81BD" w:fill="4F81BD"/>
            <w:noWrap/>
            <w:vAlign w:val="center"/>
            <w:hideMark/>
          </w:tcPr>
          <w:p w:rsidR="00B722F2" w:rsidRPr="00581D8C" w:rsidRDefault="00B722F2" w:rsidP="00B722F2">
            <w:pPr>
              <w:spacing w:after="0" w:line="240" w:lineRule="auto"/>
              <w:rPr>
                <w:rFonts w:ascii="Verdana" w:eastAsia="Times New Roman" w:hAnsi="Verdana" w:cs="Times New Roman"/>
                <w:b/>
                <w:bCs/>
                <w:color w:val="FFFFFF"/>
                <w:sz w:val="18"/>
                <w:szCs w:val="18"/>
                <w:lang w:eastAsia="es-CO"/>
              </w:rPr>
            </w:pPr>
            <w:r w:rsidRPr="00581D8C">
              <w:rPr>
                <w:rFonts w:ascii="Verdana" w:eastAsia="Times New Roman" w:hAnsi="Verdana" w:cs="Times New Roman"/>
                <w:b/>
                <w:bCs/>
                <w:color w:val="FFFFFF"/>
                <w:sz w:val="18"/>
                <w:szCs w:val="18"/>
                <w:lang w:eastAsia="es-CO"/>
              </w:rPr>
              <w:t>Ene</w:t>
            </w:r>
          </w:p>
        </w:tc>
        <w:tc>
          <w:tcPr>
            <w:tcW w:w="275" w:type="pct"/>
            <w:tcBorders>
              <w:top w:val="nil"/>
              <w:left w:val="nil"/>
              <w:bottom w:val="single" w:sz="12" w:space="0" w:color="FFFFFF"/>
              <w:right w:val="single" w:sz="4" w:space="0" w:color="FFFFFF"/>
            </w:tcBorders>
            <w:shd w:val="clear" w:color="4F81BD" w:fill="4F81BD"/>
            <w:noWrap/>
            <w:vAlign w:val="center"/>
            <w:hideMark/>
          </w:tcPr>
          <w:p w:rsidR="00B722F2" w:rsidRPr="00581D8C" w:rsidRDefault="00B722F2" w:rsidP="00B722F2">
            <w:pPr>
              <w:spacing w:after="0" w:line="240" w:lineRule="auto"/>
              <w:rPr>
                <w:rFonts w:ascii="Verdana" w:eastAsia="Times New Roman" w:hAnsi="Verdana" w:cs="Times New Roman"/>
                <w:b/>
                <w:bCs/>
                <w:color w:val="FFFFFF"/>
                <w:sz w:val="18"/>
                <w:szCs w:val="18"/>
                <w:lang w:eastAsia="es-CO"/>
              </w:rPr>
            </w:pPr>
            <w:r w:rsidRPr="00581D8C">
              <w:rPr>
                <w:rFonts w:ascii="Verdana" w:eastAsia="Times New Roman" w:hAnsi="Verdana" w:cs="Times New Roman"/>
                <w:b/>
                <w:bCs/>
                <w:color w:val="FFFFFF"/>
                <w:sz w:val="18"/>
                <w:szCs w:val="18"/>
                <w:lang w:eastAsia="es-CO"/>
              </w:rPr>
              <w:t>Feb</w:t>
            </w:r>
          </w:p>
        </w:tc>
        <w:tc>
          <w:tcPr>
            <w:tcW w:w="274" w:type="pct"/>
            <w:tcBorders>
              <w:top w:val="nil"/>
              <w:left w:val="nil"/>
              <w:bottom w:val="single" w:sz="12" w:space="0" w:color="FFFFFF"/>
              <w:right w:val="single" w:sz="4" w:space="0" w:color="FFFFFF"/>
            </w:tcBorders>
            <w:shd w:val="clear" w:color="4F81BD" w:fill="4F81BD"/>
            <w:noWrap/>
            <w:vAlign w:val="center"/>
            <w:hideMark/>
          </w:tcPr>
          <w:p w:rsidR="00B722F2" w:rsidRPr="00581D8C" w:rsidRDefault="00B722F2" w:rsidP="00B722F2">
            <w:pPr>
              <w:spacing w:after="0" w:line="240" w:lineRule="auto"/>
              <w:rPr>
                <w:rFonts w:ascii="Verdana" w:eastAsia="Times New Roman" w:hAnsi="Verdana" w:cs="Times New Roman"/>
                <w:b/>
                <w:bCs/>
                <w:color w:val="FFFFFF"/>
                <w:sz w:val="18"/>
                <w:szCs w:val="18"/>
                <w:lang w:eastAsia="es-CO"/>
              </w:rPr>
            </w:pPr>
            <w:r w:rsidRPr="00581D8C">
              <w:rPr>
                <w:rFonts w:ascii="Verdana" w:eastAsia="Times New Roman" w:hAnsi="Verdana" w:cs="Times New Roman"/>
                <w:b/>
                <w:bCs/>
                <w:color w:val="FFFFFF"/>
                <w:sz w:val="18"/>
                <w:szCs w:val="18"/>
                <w:lang w:eastAsia="es-CO"/>
              </w:rPr>
              <w:t>Mar</w:t>
            </w:r>
          </w:p>
        </w:tc>
        <w:tc>
          <w:tcPr>
            <w:tcW w:w="275" w:type="pct"/>
            <w:tcBorders>
              <w:top w:val="nil"/>
              <w:left w:val="nil"/>
              <w:bottom w:val="single" w:sz="12" w:space="0" w:color="FFFFFF"/>
              <w:right w:val="single" w:sz="4" w:space="0" w:color="FFFFFF"/>
            </w:tcBorders>
            <w:shd w:val="clear" w:color="4F81BD" w:fill="4F81BD"/>
            <w:noWrap/>
            <w:vAlign w:val="center"/>
            <w:hideMark/>
          </w:tcPr>
          <w:p w:rsidR="00B722F2" w:rsidRPr="00581D8C" w:rsidRDefault="00B722F2" w:rsidP="00B722F2">
            <w:pPr>
              <w:spacing w:after="0" w:line="240" w:lineRule="auto"/>
              <w:rPr>
                <w:rFonts w:ascii="Verdana" w:eastAsia="Times New Roman" w:hAnsi="Verdana" w:cs="Times New Roman"/>
                <w:b/>
                <w:bCs/>
                <w:color w:val="FFFFFF"/>
                <w:sz w:val="18"/>
                <w:szCs w:val="18"/>
                <w:lang w:eastAsia="es-CO"/>
              </w:rPr>
            </w:pPr>
            <w:r w:rsidRPr="00581D8C">
              <w:rPr>
                <w:rFonts w:ascii="Verdana" w:eastAsia="Times New Roman" w:hAnsi="Verdana" w:cs="Times New Roman"/>
                <w:b/>
                <w:bCs/>
                <w:color w:val="FFFFFF"/>
                <w:sz w:val="18"/>
                <w:szCs w:val="18"/>
                <w:lang w:eastAsia="es-CO"/>
              </w:rPr>
              <w:t>Abr</w:t>
            </w:r>
          </w:p>
        </w:tc>
        <w:tc>
          <w:tcPr>
            <w:tcW w:w="275" w:type="pct"/>
            <w:tcBorders>
              <w:top w:val="nil"/>
              <w:left w:val="nil"/>
              <w:bottom w:val="single" w:sz="12" w:space="0" w:color="FFFFFF"/>
              <w:right w:val="single" w:sz="4" w:space="0" w:color="FFFFFF"/>
            </w:tcBorders>
            <w:shd w:val="clear" w:color="4F81BD" w:fill="4F81BD"/>
            <w:noWrap/>
            <w:vAlign w:val="center"/>
            <w:hideMark/>
          </w:tcPr>
          <w:p w:rsidR="00B722F2" w:rsidRPr="00581D8C" w:rsidRDefault="00B722F2" w:rsidP="00B722F2">
            <w:pPr>
              <w:spacing w:after="0" w:line="240" w:lineRule="auto"/>
              <w:rPr>
                <w:rFonts w:ascii="Verdana" w:eastAsia="Times New Roman" w:hAnsi="Verdana" w:cs="Times New Roman"/>
                <w:b/>
                <w:bCs/>
                <w:color w:val="FFFFFF"/>
                <w:sz w:val="18"/>
                <w:szCs w:val="18"/>
                <w:lang w:eastAsia="es-CO"/>
              </w:rPr>
            </w:pPr>
            <w:r w:rsidRPr="00581D8C">
              <w:rPr>
                <w:rFonts w:ascii="Verdana" w:eastAsia="Times New Roman" w:hAnsi="Verdana" w:cs="Times New Roman"/>
                <w:b/>
                <w:bCs/>
                <w:color w:val="FFFFFF"/>
                <w:sz w:val="18"/>
                <w:szCs w:val="18"/>
                <w:lang w:eastAsia="es-CO"/>
              </w:rPr>
              <w:t>May</w:t>
            </w:r>
          </w:p>
        </w:tc>
        <w:tc>
          <w:tcPr>
            <w:tcW w:w="274" w:type="pct"/>
            <w:tcBorders>
              <w:top w:val="nil"/>
              <w:left w:val="nil"/>
              <w:bottom w:val="single" w:sz="12" w:space="0" w:color="FFFFFF"/>
              <w:right w:val="single" w:sz="4" w:space="0" w:color="FFFFFF"/>
            </w:tcBorders>
            <w:shd w:val="clear" w:color="4F81BD" w:fill="4F81BD"/>
            <w:noWrap/>
            <w:vAlign w:val="center"/>
            <w:hideMark/>
          </w:tcPr>
          <w:p w:rsidR="00B722F2" w:rsidRPr="00581D8C" w:rsidRDefault="00B722F2" w:rsidP="00B722F2">
            <w:pPr>
              <w:spacing w:after="0" w:line="240" w:lineRule="auto"/>
              <w:rPr>
                <w:rFonts w:ascii="Verdana" w:eastAsia="Times New Roman" w:hAnsi="Verdana" w:cs="Times New Roman"/>
                <w:b/>
                <w:bCs/>
                <w:color w:val="FFFFFF"/>
                <w:sz w:val="18"/>
                <w:szCs w:val="18"/>
                <w:lang w:eastAsia="es-CO"/>
              </w:rPr>
            </w:pPr>
            <w:r w:rsidRPr="00581D8C">
              <w:rPr>
                <w:rFonts w:ascii="Verdana" w:eastAsia="Times New Roman" w:hAnsi="Verdana" w:cs="Times New Roman"/>
                <w:b/>
                <w:bCs/>
                <w:color w:val="FFFFFF"/>
                <w:sz w:val="18"/>
                <w:szCs w:val="18"/>
                <w:lang w:eastAsia="es-CO"/>
              </w:rPr>
              <w:t>Jun</w:t>
            </w:r>
          </w:p>
        </w:tc>
        <w:tc>
          <w:tcPr>
            <w:tcW w:w="275" w:type="pct"/>
            <w:tcBorders>
              <w:top w:val="nil"/>
              <w:left w:val="nil"/>
              <w:bottom w:val="single" w:sz="12" w:space="0" w:color="FFFFFF"/>
              <w:right w:val="single" w:sz="4" w:space="0" w:color="FFFFFF"/>
            </w:tcBorders>
            <w:shd w:val="clear" w:color="4F81BD" w:fill="4F81BD"/>
            <w:noWrap/>
            <w:vAlign w:val="center"/>
            <w:hideMark/>
          </w:tcPr>
          <w:p w:rsidR="00B722F2" w:rsidRPr="00581D8C" w:rsidRDefault="00B722F2" w:rsidP="00B722F2">
            <w:pPr>
              <w:spacing w:after="0" w:line="240" w:lineRule="auto"/>
              <w:rPr>
                <w:rFonts w:ascii="Verdana" w:eastAsia="Times New Roman" w:hAnsi="Verdana" w:cs="Times New Roman"/>
                <w:b/>
                <w:bCs/>
                <w:color w:val="FFFFFF"/>
                <w:sz w:val="18"/>
                <w:szCs w:val="18"/>
                <w:lang w:eastAsia="es-CO"/>
              </w:rPr>
            </w:pPr>
            <w:r w:rsidRPr="00581D8C">
              <w:rPr>
                <w:rFonts w:ascii="Verdana" w:eastAsia="Times New Roman" w:hAnsi="Verdana" w:cs="Times New Roman"/>
                <w:b/>
                <w:bCs/>
                <w:color w:val="FFFFFF"/>
                <w:sz w:val="18"/>
                <w:szCs w:val="18"/>
                <w:lang w:eastAsia="es-CO"/>
              </w:rPr>
              <w:t>Jul</w:t>
            </w:r>
          </w:p>
        </w:tc>
        <w:tc>
          <w:tcPr>
            <w:tcW w:w="274" w:type="pct"/>
            <w:tcBorders>
              <w:top w:val="nil"/>
              <w:left w:val="nil"/>
              <w:bottom w:val="single" w:sz="12" w:space="0" w:color="FFFFFF"/>
              <w:right w:val="single" w:sz="4" w:space="0" w:color="FFFFFF"/>
            </w:tcBorders>
            <w:shd w:val="clear" w:color="4F81BD" w:fill="4F81BD"/>
            <w:noWrap/>
            <w:vAlign w:val="center"/>
            <w:hideMark/>
          </w:tcPr>
          <w:p w:rsidR="00B722F2" w:rsidRPr="00581D8C" w:rsidRDefault="00B722F2" w:rsidP="00B722F2">
            <w:pPr>
              <w:spacing w:after="0" w:line="240" w:lineRule="auto"/>
              <w:rPr>
                <w:rFonts w:ascii="Verdana" w:eastAsia="Times New Roman" w:hAnsi="Verdana" w:cs="Times New Roman"/>
                <w:b/>
                <w:bCs/>
                <w:color w:val="FFFFFF"/>
                <w:sz w:val="18"/>
                <w:szCs w:val="18"/>
                <w:lang w:eastAsia="es-CO"/>
              </w:rPr>
            </w:pPr>
            <w:r w:rsidRPr="00581D8C">
              <w:rPr>
                <w:rFonts w:ascii="Verdana" w:eastAsia="Times New Roman" w:hAnsi="Verdana" w:cs="Times New Roman"/>
                <w:b/>
                <w:bCs/>
                <w:color w:val="FFFFFF"/>
                <w:sz w:val="18"/>
                <w:szCs w:val="18"/>
                <w:lang w:eastAsia="es-CO"/>
              </w:rPr>
              <w:t>Ago</w:t>
            </w:r>
          </w:p>
        </w:tc>
        <w:tc>
          <w:tcPr>
            <w:tcW w:w="275" w:type="pct"/>
            <w:tcBorders>
              <w:top w:val="nil"/>
              <w:left w:val="nil"/>
              <w:bottom w:val="single" w:sz="12" w:space="0" w:color="FFFFFF"/>
              <w:right w:val="single" w:sz="4" w:space="0" w:color="FFFFFF"/>
            </w:tcBorders>
            <w:shd w:val="clear" w:color="4F81BD" w:fill="4F81BD"/>
            <w:noWrap/>
            <w:vAlign w:val="center"/>
            <w:hideMark/>
          </w:tcPr>
          <w:p w:rsidR="00B722F2" w:rsidRPr="00581D8C" w:rsidRDefault="00B722F2" w:rsidP="00B722F2">
            <w:pPr>
              <w:spacing w:after="0" w:line="240" w:lineRule="auto"/>
              <w:rPr>
                <w:rFonts w:ascii="Verdana" w:eastAsia="Times New Roman" w:hAnsi="Verdana" w:cs="Times New Roman"/>
                <w:b/>
                <w:bCs/>
                <w:color w:val="FFFFFF"/>
                <w:sz w:val="18"/>
                <w:szCs w:val="18"/>
                <w:lang w:eastAsia="es-CO"/>
              </w:rPr>
            </w:pPr>
            <w:r w:rsidRPr="00581D8C">
              <w:rPr>
                <w:rFonts w:ascii="Verdana" w:eastAsia="Times New Roman" w:hAnsi="Verdana" w:cs="Times New Roman"/>
                <w:b/>
                <w:bCs/>
                <w:color w:val="FFFFFF"/>
                <w:sz w:val="18"/>
                <w:szCs w:val="18"/>
                <w:lang w:eastAsia="es-CO"/>
              </w:rPr>
              <w:t>Sep</w:t>
            </w:r>
          </w:p>
        </w:tc>
        <w:tc>
          <w:tcPr>
            <w:tcW w:w="275" w:type="pct"/>
            <w:tcBorders>
              <w:top w:val="nil"/>
              <w:left w:val="nil"/>
              <w:bottom w:val="single" w:sz="12" w:space="0" w:color="FFFFFF"/>
              <w:right w:val="single" w:sz="4" w:space="0" w:color="FFFFFF"/>
            </w:tcBorders>
            <w:shd w:val="clear" w:color="4F81BD" w:fill="4F81BD"/>
            <w:noWrap/>
            <w:vAlign w:val="center"/>
            <w:hideMark/>
          </w:tcPr>
          <w:p w:rsidR="00B722F2" w:rsidRPr="00581D8C" w:rsidRDefault="00B722F2" w:rsidP="00B722F2">
            <w:pPr>
              <w:spacing w:after="0" w:line="240" w:lineRule="auto"/>
              <w:rPr>
                <w:rFonts w:ascii="Verdana" w:eastAsia="Times New Roman" w:hAnsi="Verdana" w:cs="Times New Roman"/>
                <w:b/>
                <w:bCs/>
                <w:color w:val="FFFFFF"/>
                <w:sz w:val="18"/>
                <w:szCs w:val="18"/>
                <w:lang w:eastAsia="es-CO"/>
              </w:rPr>
            </w:pPr>
            <w:r w:rsidRPr="00581D8C">
              <w:rPr>
                <w:rFonts w:ascii="Verdana" w:eastAsia="Times New Roman" w:hAnsi="Verdana" w:cs="Times New Roman"/>
                <w:b/>
                <w:bCs/>
                <w:color w:val="FFFFFF"/>
                <w:sz w:val="18"/>
                <w:szCs w:val="18"/>
                <w:lang w:eastAsia="es-CO"/>
              </w:rPr>
              <w:t>Oct</w:t>
            </w:r>
          </w:p>
        </w:tc>
        <w:tc>
          <w:tcPr>
            <w:tcW w:w="274" w:type="pct"/>
            <w:tcBorders>
              <w:top w:val="nil"/>
              <w:left w:val="nil"/>
              <w:bottom w:val="single" w:sz="12" w:space="0" w:color="FFFFFF"/>
              <w:right w:val="single" w:sz="4" w:space="0" w:color="FFFFFF"/>
            </w:tcBorders>
            <w:shd w:val="clear" w:color="4F81BD" w:fill="4F81BD"/>
            <w:noWrap/>
            <w:vAlign w:val="center"/>
            <w:hideMark/>
          </w:tcPr>
          <w:p w:rsidR="00B722F2" w:rsidRPr="00581D8C" w:rsidRDefault="00B722F2" w:rsidP="00B722F2">
            <w:pPr>
              <w:spacing w:after="0" w:line="240" w:lineRule="auto"/>
              <w:rPr>
                <w:rFonts w:ascii="Verdana" w:eastAsia="Times New Roman" w:hAnsi="Verdana" w:cs="Times New Roman"/>
                <w:b/>
                <w:bCs/>
                <w:color w:val="FFFFFF"/>
                <w:sz w:val="18"/>
                <w:szCs w:val="18"/>
                <w:lang w:eastAsia="es-CO"/>
              </w:rPr>
            </w:pPr>
            <w:r w:rsidRPr="00581D8C">
              <w:rPr>
                <w:rFonts w:ascii="Verdana" w:eastAsia="Times New Roman" w:hAnsi="Verdana" w:cs="Times New Roman"/>
                <w:b/>
                <w:bCs/>
                <w:color w:val="FFFFFF"/>
                <w:sz w:val="18"/>
                <w:szCs w:val="18"/>
                <w:lang w:eastAsia="es-CO"/>
              </w:rPr>
              <w:t>Nov</w:t>
            </w:r>
          </w:p>
        </w:tc>
        <w:tc>
          <w:tcPr>
            <w:tcW w:w="275" w:type="pct"/>
            <w:tcBorders>
              <w:top w:val="nil"/>
              <w:left w:val="nil"/>
              <w:bottom w:val="single" w:sz="12" w:space="0" w:color="FFFFFF"/>
              <w:right w:val="single" w:sz="4" w:space="0" w:color="FFFFFF"/>
            </w:tcBorders>
            <w:shd w:val="clear" w:color="4F81BD" w:fill="4F81BD"/>
            <w:noWrap/>
            <w:vAlign w:val="center"/>
            <w:hideMark/>
          </w:tcPr>
          <w:p w:rsidR="00B722F2" w:rsidRPr="00581D8C" w:rsidRDefault="00B722F2" w:rsidP="00B722F2">
            <w:pPr>
              <w:spacing w:after="0" w:line="240" w:lineRule="auto"/>
              <w:rPr>
                <w:rFonts w:ascii="Verdana" w:eastAsia="Times New Roman" w:hAnsi="Verdana" w:cs="Times New Roman"/>
                <w:b/>
                <w:bCs/>
                <w:color w:val="FFFFFF"/>
                <w:sz w:val="18"/>
                <w:szCs w:val="18"/>
                <w:lang w:eastAsia="es-CO"/>
              </w:rPr>
            </w:pPr>
            <w:r w:rsidRPr="00581D8C">
              <w:rPr>
                <w:rFonts w:ascii="Verdana" w:eastAsia="Times New Roman" w:hAnsi="Verdana" w:cs="Times New Roman"/>
                <w:b/>
                <w:bCs/>
                <w:color w:val="FFFFFF"/>
                <w:sz w:val="18"/>
                <w:szCs w:val="18"/>
                <w:lang w:eastAsia="es-CO"/>
              </w:rPr>
              <w:t>Dic</w:t>
            </w:r>
          </w:p>
        </w:tc>
        <w:tc>
          <w:tcPr>
            <w:tcW w:w="275" w:type="pct"/>
            <w:tcBorders>
              <w:top w:val="nil"/>
              <w:left w:val="nil"/>
              <w:bottom w:val="single" w:sz="12" w:space="0" w:color="FFFFFF"/>
              <w:right w:val="single" w:sz="4" w:space="0" w:color="FFFFFF"/>
            </w:tcBorders>
            <w:shd w:val="clear" w:color="4F81BD" w:fill="4F81BD"/>
            <w:noWrap/>
            <w:vAlign w:val="center"/>
            <w:hideMark/>
          </w:tcPr>
          <w:p w:rsidR="00B722F2" w:rsidRPr="00581D8C" w:rsidRDefault="00B722F2" w:rsidP="00B722F2">
            <w:pPr>
              <w:spacing w:after="0" w:line="240" w:lineRule="auto"/>
              <w:rPr>
                <w:rFonts w:ascii="Verdana" w:eastAsia="Times New Roman" w:hAnsi="Verdana" w:cs="Times New Roman"/>
                <w:b/>
                <w:bCs/>
                <w:color w:val="FFFFFF"/>
                <w:sz w:val="18"/>
                <w:szCs w:val="18"/>
                <w:lang w:eastAsia="es-CO"/>
              </w:rPr>
            </w:pPr>
            <w:r w:rsidRPr="00581D8C">
              <w:rPr>
                <w:rFonts w:ascii="Verdana" w:eastAsia="Times New Roman" w:hAnsi="Verdana" w:cs="Times New Roman"/>
                <w:b/>
                <w:bCs/>
                <w:color w:val="FFFFFF"/>
                <w:sz w:val="18"/>
                <w:szCs w:val="18"/>
                <w:lang w:eastAsia="es-CO"/>
              </w:rPr>
              <w:t>Total</w:t>
            </w:r>
          </w:p>
        </w:tc>
      </w:tr>
      <w:tr w:rsidR="00B722F2" w:rsidRPr="00581D8C" w:rsidTr="006D37DF">
        <w:trPr>
          <w:trHeight w:val="330"/>
        </w:trPr>
        <w:tc>
          <w:tcPr>
            <w:tcW w:w="1428" w:type="pct"/>
            <w:tcBorders>
              <w:top w:val="single" w:sz="4" w:space="0" w:color="FFFFFF"/>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Número de PQRS recibidas por todos los canales</w:t>
            </w:r>
          </w:p>
        </w:tc>
        <w:tc>
          <w:tcPr>
            <w:tcW w:w="274" w:type="pct"/>
            <w:tcBorders>
              <w:top w:val="single" w:sz="4" w:space="0" w:color="FFFFFF"/>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49</w:t>
            </w:r>
          </w:p>
        </w:tc>
        <w:tc>
          <w:tcPr>
            <w:tcW w:w="275" w:type="pct"/>
            <w:tcBorders>
              <w:top w:val="single" w:sz="4" w:space="0" w:color="FFFFFF"/>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53</w:t>
            </w:r>
          </w:p>
        </w:tc>
        <w:tc>
          <w:tcPr>
            <w:tcW w:w="274" w:type="pct"/>
            <w:tcBorders>
              <w:top w:val="single" w:sz="4" w:space="0" w:color="FFFFFF"/>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57</w:t>
            </w:r>
          </w:p>
        </w:tc>
        <w:tc>
          <w:tcPr>
            <w:tcW w:w="275" w:type="pct"/>
            <w:tcBorders>
              <w:top w:val="single" w:sz="4" w:space="0" w:color="FFFFFF"/>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77</w:t>
            </w:r>
          </w:p>
        </w:tc>
        <w:tc>
          <w:tcPr>
            <w:tcW w:w="275" w:type="pct"/>
            <w:tcBorders>
              <w:top w:val="single" w:sz="4" w:space="0" w:color="FFFFFF"/>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28</w:t>
            </w:r>
          </w:p>
        </w:tc>
        <w:tc>
          <w:tcPr>
            <w:tcW w:w="274" w:type="pct"/>
            <w:tcBorders>
              <w:top w:val="single" w:sz="4" w:space="0" w:color="FFFFFF"/>
              <w:left w:val="nil"/>
              <w:bottom w:val="single" w:sz="4" w:space="0" w:color="FFFFFF"/>
              <w:right w:val="nil"/>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49</w:t>
            </w:r>
          </w:p>
        </w:tc>
        <w:tc>
          <w:tcPr>
            <w:tcW w:w="275" w:type="pct"/>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49</w:t>
            </w:r>
          </w:p>
        </w:tc>
        <w:tc>
          <w:tcPr>
            <w:tcW w:w="274" w:type="pct"/>
            <w:tcBorders>
              <w:top w:val="single" w:sz="4" w:space="0" w:color="FFFFFF"/>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153</w:t>
            </w:r>
          </w:p>
        </w:tc>
        <w:tc>
          <w:tcPr>
            <w:tcW w:w="275" w:type="pct"/>
            <w:tcBorders>
              <w:top w:val="single" w:sz="4" w:space="0" w:color="FFFFFF"/>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170</w:t>
            </w:r>
          </w:p>
        </w:tc>
        <w:tc>
          <w:tcPr>
            <w:tcW w:w="275" w:type="pct"/>
            <w:tcBorders>
              <w:top w:val="single" w:sz="4" w:space="0" w:color="FFFFFF"/>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207</w:t>
            </w:r>
          </w:p>
        </w:tc>
        <w:tc>
          <w:tcPr>
            <w:tcW w:w="274" w:type="pct"/>
            <w:tcBorders>
              <w:top w:val="single" w:sz="4" w:space="0" w:color="FFFFFF"/>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134</w:t>
            </w:r>
          </w:p>
        </w:tc>
        <w:tc>
          <w:tcPr>
            <w:tcW w:w="275" w:type="pct"/>
            <w:tcBorders>
              <w:top w:val="single" w:sz="4" w:space="0" w:color="FFFFFF"/>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135</w:t>
            </w:r>
          </w:p>
        </w:tc>
        <w:tc>
          <w:tcPr>
            <w:tcW w:w="275" w:type="pct"/>
            <w:tcBorders>
              <w:top w:val="single" w:sz="4" w:space="0" w:color="FFFFFF"/>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1161</w:t>
            </w:r>
          </w:p>
        </w:tc>
      </w:tr>
      <w:tr w:rsidR="00B722F2" w:rsidRPr="00581D8C" w:rsidTr="006D37DF">
        <w:trPr>
          <w:trHeight w:val="330"/>
        </w:trPr>
        <w:tc>
          <w:tcPr>
            <w:tcW w:w="1428"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Número de PQRS recibidas re direccionadas por competencia a otras Entidades (escritas).</w:t>
            </w:r>
          </w:p>
        </w:tc>
        <w:tc>
          <w:tcPr>
            <w:tcW w:w="274"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2</w:t>
            </w:r>
          </w:p>
        </w:tc>
        <w:tc>
          <w:tcPr>
            <w:tcW w:w="274"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2</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single" w:sz="4" w:space="0" w:color="FFFFFF"/>
              <w:right w:val="nil"/>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single" w:sz="4" w:space="0" w:color="FFFFFF"/>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3</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2</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12</w:t>
            </w:r>
          </w:p>
        </w:tc>
      </w:tr>
      <w:tr w:rsidR="00B722F2" w:rsidRPr="00581D8C" w:rsidTr="006D37DF">
        <w:trPr>
          <w:trHeight w:val="330"/>
        </w:trPr>
        <w:tc>
          <w:tcPr>
            <w:tcW w:w="1428"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1.Indicador de gestión de peticiones mensual (escrita)(peticiones contestadas/peticiones recibidas)</w:t>
            </w:r>
          </w:p>
        </w:tc>
        <w:tc>
          <w:tcPr>
            <w:tcW w:w="274"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97,96%</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100%</w:t>
            </w:r>
          </w:p>
        </w:tc>
        <w:tc>
          <w:tcPr>
            <w:tcW w:w="274"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100%</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100%</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100%</w:t>
            </w:r>
          </w:p>
        </w:tc>
        <w:tc>
          <w:tcPr>
            <w:tcW w:w="274" w:type="pct"/>
            <w:tcBorders>
              <w:top w:val="nil"/>
              <w:left w:val="nil"/>
              <w:bottom w:val="single" w:sz="4" w:space="0" w:color="FFFFFF"/>
              <w:right w:val="nil"/>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100%</w:t>
            </w:r>
          </w:p>
        </w:tc>
        <w:tc>
          <w:tcPr>
            <w:tcW w:w="275" w:type="pct"/>
            <w:tcBorders>
              <w:top w:val="nil"/>
              <w:left w:val="single" w:sz="4" w:space="0" w:color="FFFFFF"/>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100%</w:t>
            </w:r>
          </w:p>
        </w:tc>
        <w:tc>
          <w:tcPr>
            <w:tcW w:w="274"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100%</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100%</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100%</w:t>
            </w:r>
          </w:p>
        </w:tc>
        <w:tc>
          <w:tcPr>
            <w:tcW w:w="274"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100%</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100%</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r>
      <w:tr w:rsidR="00B722F2" w:rsidRPr="00581D8C" w:rsidTr="006D37DF">
        <w:trPr>
          <w:trHeight w:val="330"/>
        </w:trPr>
        <w:tc>
          <w:tcPr>
            <w:tcW w:w="1428"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PQRS recibidas por canales de atención</w:t>
            </w:r>
          </w:p>
        </w:tc>
        <w:tc>
          <w:tcPr>
            <w:tcW w:w="274"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single" w:sz="4" w:space="0" w:color="FFFFFF"/>
              <w:right w:val="nil"/>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single" w:sz="4" w:space="0" w:color="FFFFFF"/>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r>
      <w:tr w:rsidR="00B722F2" w:rsidRPr="00581D8C" w:rsidTr="006D37DF">
        <w:trPr>
          <w:trHeight w:val="330"/>
        </w:trPr>
        <w:tc>
          <w:tcPr>
            <w:tcW w:w="1428"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Correspondencia</w:t>
            </w:r>
          </w:p>
        </w:tc>
        <w:tc>
          <w:tcPr>
            <w:tcW w:w="274"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21</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26</w:t>
            </w:r>
          </w:p>
        </w:tc>
        <w:tc>
          <w:tcPr>
            <w:tcW w:w="274"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46</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64</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25</w:t>
            </w:r>
          </w:p>
        </w:tc>
        <w:tc>
          <w:tcPr>
            <w:tcW w:w="274" w:type="pct"/>
            <w:tcBorders>
              <w:top w:val="nil"/>
              <w:left w:val="nil"/>
              <w:bottom w:val="single" w:sz="4" w:space="0" w:color="FFFFFF"/>
              <w:right w:val="nil"/>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45</w:t>
            </w:r>
          </w:p>
        </w:tc>
        <w:tc>
          <w:tcPr>
            <w:tcW w:w="275" w:type="pct"/>
            <w:tcBorders>
              <w:top w:val="nil"/>
              <w:left w:val="single" w:sz="4" w:space="0" w:color="FFFFFF"/>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41</w:t>
            </w:r>
          </w:p>
        </w:tc>
        <w:tc>
          <w:tcPr>
            <w:tcW w:w="274"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142</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163</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199</w:t>
            </w:r>
          </w:p>
        </w:tc>
        <w:tc>
          <w:tcPr>
            <w:tcW w:w="274"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130</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120</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1022</w:t>
            </w:r>
          </w:p>
        </w:tc>
      </w:tr>
      <w:tr w:rsidR="00B722F2" w:rsidRPr="00581D8C" w:rsidTr="006D37DF">
        <w:trPr>
          <w:trHeight w:val="330"/>
        </w:trPr>
        <w:tc>
          <w:tcPr>
            <w:tcW w:w="1428"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Presencial</w:t>
            </w:r>
          </w:p>
        </w:tc>
        <w:tc>
          <w:tcPr>
            <w:tcW w:w="274"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N/A</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N/A</w:t>
            </w:r>
          </w:p>
        </w:tc>
        <w:tc>
          <w:tcPr>
            <w:tcW w:w="274"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N/A</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N/A</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N/A</w:t>
            </w:r>
          </w:p>
        </w:tc>
        <w:tc>
          <w:tcPr>
            <w:tcW w:w="274" w:type="pct"/>
            <w:tcBorders>
              <w:top w:val="nil"/>
              <w:left w:val="nil"/>
              <w:bottom w:val="single" w:sz="4" w:space="0" w:color="FFFFFF"/>
              <w:right w:val="nil"/>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N/A</w:t>
            </w:r>
          </w:p>
        </w:tc>
        <w:tc>
          <w:tcPr>
            <w:tcW w:w="275" w:type="pct"/>
            <w:tcBorders>
              <w:top w:val="nil"/>
              <w:left w:val="single" w:sz="4" w:space="0" w:color="FFFFFF"/>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N/A</w:t>
            </w:r>
          </w:p>
        </w:tc>
        <w:tc>
          <w:tcPr>
            <w:tcW w:w="274"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N/A</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N/A</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N/A</w:t>
            </w:r>
          </w:p>
        </w:tc>
        <w:tc>
          <w:tcPr>
            <w:tcW w:w="274"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N/A</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N/A</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N/A</w:t>
            </w:r>
          </w:p>
        </w:tc>
      </w:tr>
      <w:tr w:rsidR="00B722F2" w:rsidRPr="00581D8C" w:rsidTr="006D37DF">
        <w:trPr>
          <w:trHeight w:val="330"/>
        </w:trPr>
        <w:tc>
          <w:tcPr>
            <w:tcW w:w="1428"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Virtuales (página web, redes sociales, correo electrónico)</w:t>
            </w:r>
          </w:p>
        </w:tc>
        <w:tc>
          <w:tcPr>
            <w:tcW w:w="274"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28</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27</w:t>
            </w:r>
          </w:p>
        </w:tc>
        <w:tc>
          <w:tcPr>
            <w:tcW w:w="274"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11</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13</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3</w:t>
            </w:r>
          </w:p>
        </w:tc>
        <w:tc>
          <w:tcPr>
            <w:tcW w:w="274" w:type="pct"/>
            <w:tcBorders>
              <w:top w:val="nil"/>
              <w:left w:val="nil"/>
              <w:bottom w:val="single" w:sz="4" w:space="0" w:color="FFFFFF"/>
              <w:right w:val="nil"/>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4</w:t>
            </w:r>
          </w:p>
        </w:tc>
        <w:tc>
          <w:tcPr>
            <w:tcW w:w="275" w:type="pct"/>
            <w:tcBorders>
              <w:top w:val="nil"/>
              <w:left w:val="single" w:sz="4" w:space="0" w:color="FFFFFF"/>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8</w:t>
            </w:r>
          </w:p>
        </w:tc>
        <w:tc>
          <w:tcPr>
            <w:tcW w:w="274"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11</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7</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8</w:t>
            </w:r>
          </w:p>
        </w:tc>
        <w:tc>
          <w:tcPr>
            <w:tcW w:w="274"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4</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15</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139</w:t>
            </w:r>
          </w:p>
        </w:tc>
      </w:tr>
      <w:tr w:rsidR="00B722F2" w:rsidRPr="00581D8C" w:rsidTr="006D37DF">
        <w:trPr>
          <w:trHeight w:val="330"/>
        </w:trPr>
        <w:tc>
          <w:tcPr>
            <w:tcW w:w="1428"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Telefónicos</w:t>
            </w:r>
          </w:p>
        </w:tc>
        <w:tc>
          <w:tcPr>
            <w:tcW w:w="274"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N/A</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N/A</w:t>
            </w:r>
          </w:p>
        </w:tc>
        <w:tc>
          <w:tcPr>
            <w:tcW w:w="274"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N/A</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N/A</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N/A</w:t>
            </w:r>
          </w:p>
        </w:tc>
        <w:tc>
          <w:tcPr>
            <w:tcW w:w="274" w:type="pct"/>
            <w:tcBorders>
              <w:top w:val="nil"/>
              <w:left w:val="nil"/>
              <w:bottom w:val="single" w:sz="4" w:space="0" w:color="FFFFFF"/>
              <w:right w:val="nil"/>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N/A</w:t>
            </w:r>
          </w:p>
        </w:tc>
        <w:tc>
          <w:tcPr>
            <w:tcW w:w="275" w:type="pct"/>
            <w:tcBorders>
              <w:top w:val="nil"/>
              <w:left w:val="single" w:sz="4" w:space="0" w:color="FFFFFF"/>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N/A</w:t>
            </w:r>
          </w:p>
        </w:tc>
        <w:tc>
          <w:tcPr>
            <w:tcW w:w="274"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N/A</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N/A</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N/A</w:t>
            </w:r>
          </w:p>
        </w:tc>
        <w:tc>
          <w:tcPr>
            <w:tcW w:w="274"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N/A</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N/A</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N/A</w:t>
            </w:r>
          </w:p>
        </w:tc>
      </w:tr>
      <w:tr w:rsidR="00B722F2" w:rsidRPr="00581D8C" w:rsidTr="006D37DF">
        <w:trPr>
          <w:trHeight w:val="330"/>
        </w:trPr>
        <w:tc>
          <w:tcPr>
            <w:tcW w:w="1428"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Clasificación general por tipo de PQR</w:t>
            </w:r>
          </w:p>
        </w:tc>
        <w:tc>
          <w:tcPr>
            <w:tcW w:w="274"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single" w:sz="4" w:space="0" w:color="FFFFFF"/>
              <w:right w:val="nil"/>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single" w:sz="4" w:space="0" w:color="FFFFFF"/>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r>
      <w:tr w:rsidR="00B722F2" w:rsidRPr="00581D8C" w:rsidTr="006D37DF">
        <w:trPr>
          <w:trHeight w:val="330"/>
        </w:trPr>
        <w:tc>
          <w:tcPr>
            <w:tcW w:w="1428"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Peticiones</w:t>
            </w:r>
          </w:p>
        </w:tc>
        <w:tc>
          <w:tcPr>
            <w:tcW w:w="274"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47</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53</w:t>
            </w:r>
          </w:p>
        </w:tc>
        <w:tc>
          <w:tcPr>
            <w:tcW w:w="274"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57</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77</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28</w:t>
            </w:r>
          </w:p>
        </w:tc>
        <w:tc>
          <w:tcPr>
            <w:tcW w:w="274" w:type="pct"/>
            <w:tcBorders>
              <w:top w:val="nil"/>
              <w:left w:val="nil"/>
              <w:bottom w:val="single" w:sz="4" w:space="0" w:color="FFFFFF"/>
              <w:right w:val="nil"/>
            </w:tcBorders>
            <w:shd w:val="clear" w:color="DCE6F1" w:fill="DCE6F1"/>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49</w:t>
            </w:r>
          </w:p>
        </w:tc>
        <w:tc>
          <w:tcPr>
            <w:tcW w:w="275" w:type="pct"/>
            <w:tcBorders>
              <w:top w:val="nil"/>
              <w:left w:val="single" w:sz="4" w:space="0" w:color="FFFFFF"/>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49</w:t>
            </w:r>
          </w:p>
        </w:tc>
        <w:tc>
          <w:tcPr>
            <w:tcW w:w="274"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153</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170</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207</w:t>
            </w:r>
          </w:p>
        </w:tc>
        <w:tc>
          <w:tcPr>
            <w:tcW w:w="274"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133</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135</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1158</w:t>
            </w:r>
          </w:p>
        </w:tc>
      </w:tr>
      <w:tr w:rsidR="00B722F2" w:rsidRPr="00581D8C" w:rsidTr="006D37DF">
        <w:trPr>
          <w:trHeight w:val="330"/>
        </w:trPr>
        <w:tc>
          <w:tcPr>
            <w:tcW w:w="1428"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Quejas</w:t>
            </w:r>
          </w:p>
        </w:tc>
        <w:tc>
          <w:tcPr>
            <w:tcW w:w="274"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single" w:sz="4" w:space="0" w:color="FFFFFF"/>
              <w:right w:val="nil"/>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single" w:sz="4" w:space="0" w:color="FFFFFF"/>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r>
      <w:tr w:rsidR="00B722F2" w:rsidRPr="00581D8C" w:rsidTr="006D37DF">
        <w:trPr>
          <w:trHeight w:val="330"/>
        </w:trPr>
        <w:tc>
          <w:tcPr>
            <w:tcW w:w="1428"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Reclamos</w:t>
            </w:r>
          </w:p>
        </w:tc>
        <w:tc>
          <w:tcPr>
            <w:tcW w:w="274"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single" w:sz="4" w:space="0" w:color="FFFFFF"/>
              <w:right w:val="nil"/>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single" w:sz="4" w:space="0" w:color="FFFFFF"/>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r>
      <w:tr w:rsidR="00B722F2" w:rsidRPr="00581D8C" w:rsidTr="006D37DF">
        <w:trPr>
          <w:trHeight w:val="330"/>
        </w:trPr>
        <w:tc>
          <w:tcPr>
            <w:tcW w:w="1428"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Denuncias</w:t>
            </w:r>
          </w:p>
        </w:tc>
        <w:tc>
          <w:tcPr>
            <w:tcW w:w="274"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single" w:sz="4" w:space="0" w:color="FFFFFF"/>
              <w:right w:val="nil"/>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single" w:sz="4" w:space="0" w:color="FFFFFF"/>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r>
      <w:tr w:rsidR="00B722F2" w:rsidRPr="00581D8C" w:rsidTr="006D37DF">
        <w:trPr>
          <w:trHeight w:val="330"/>
        </w:trPr>
        <w:tc>
          <w:tcPr>
            <w:tcW w:w="1428"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Sugerencias</w:t>
            </w:r>
          </w:p>
        </w:tc>
        <w:tc>
          <w:tcPr>
            <w:tcW w:w="274"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single" w:sz="4" w:space="0" w:color="FFFFFF"/>
              <w:right w:val="nil"/>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single" w:sz="4" w:space="0" w:color="FFFFFF"/>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r>
      <w:tr w:rsidR="00B722F2" w:rsidRPr="00581D8C" w:rsidTr="006D37DF">
        <w:trPr>
          <w:trHeight w:val="330"/>
        </w:trPr>
        <w:tc>
          <w:tcPr>
            <w:tcW w:w="1428"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Felicitaciones</w:t>
            </w:r>
          </w:p>
        </w:tc>
        <w:tc>
          <w:tcPr>
            <w:tcW w:w="274"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2</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single" w:sz="4" w:space="0" w:color="FFFFFF"/>
              <w:right w:val="nil"/>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single" w:sz="4" w:space="0" w:color="FFFFFF"/>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1</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single" w:sz="4" w:space="0" w:color="FFFFFF"/>
              <w:right w:val="single" w:sz="4" w:space="0" w:color="FFFFFF"/>
            </w:tcBorders>
            <w:shd w:val="clear" w:color="B8CCE4" w:fill="B8CCE4"/>
            <w:noWrap/>
            <w:vAlign w:val="center"/>
            <w:hideMark/>
          </w:tcPr>
          <w:p w:rsidR="00B722F2" w:rsidRPr="00581D8C" w:rsidRDefault="00B722F2" w:rsidP="00B722F2">
            <w:pPr>
              <w:spacing w:after="0" w:line="240" w:lineRule="auto"/>
              <w:jc w:val="right"/>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3</w:t>
            </w:r>
          </w:p>
        </w:tc>
      </w:tr>
      <w:tr w:rsidR="00B722F2" w:rsidRPr="00581D8C" w:rsidTr="006D37DF">
        <w:trPr>
          <w:trHeight w:val="330"/>
        </w:trPr>
        <w:tc>
          <w:tcPr>
            <w:tcW w:w="1428" w:type="pct"/>
            <w:tcBorders>
              <w:top w:val="nil"/>
              <w:left w:val="nil"/>
              <w:bottom w:val="nil"/>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xml:space="preserve">Número de PQRs respondidas </w:t>
            </w:r>
          </w:p>
        </w:tc>
        <w:tc>
          <w:tcPr>
            <w:tcW w:w="274" w:type="pct"/>
            <w:tcBorders>
              <w:top w:val="nil"/>
              <w:left w:val="nil"/>
              <w:bottom w:val="nil"/>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nil"/>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nil"/>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nil"/>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nil"/>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nil"/>
              <w:right w:val="nil"/>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single" w:sz="4" w:space="0" w:color="FFFFFF"/>
              <w:bottom w:val="nil"/>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nil"/>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nil"/>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nil"/>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4" w:type="pct"/>
            <w:tcBorders>
              <w:top w:val="nil"/>
              <w:left w:val="nil"/>
              <w:bottom w:val="nil"/>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nil"/>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c>
          <w:tcPr>
            <w:tcW w:w="275" w:type="pct"/>
            <w:tcBorders>
              <w:top w:val="nil"/>
              <w:left w:val="nil"/>
              <w:bottom w:val="nil"/>
              <w:right w:val="single" w:sz="4" w:space="0" w:color="FFFFFF"/>
            </w:tcBorders>
            <w:shd w:val="clear" w:color="DCE6F1" w:fill="DCE6F1"/>
            <w:noWrap/>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w:t>
            </w:r>
          </w:p>
        </w:tc>
      </w:tr>
      <w:tr w:rsidR="00B722F2" w:rsidRPr="00581D8C" w:rsidTr="006D37DF">
        <w:trPr>
          <w:trHeight w:val="330"/>
        </w:trPr>
        <w:tc>
          <w:tcPr>
            <w:tcW w:w="1428" w:type="pct"/>
            <w:tcBorders>
              <w:top w:val="single" w:sz="12" w:space="0" w:color="FFFFFF"/>
              <w:left w:val="single" w:sz="12" w:space="0" w:color="FFFFFF"/>
              <w:bottom w:val="single" w:sz="12" w:space="0" w:color="FFFFFF"/>
              <w:right w:val="single" w:sz="12" w:space="0" w:color="FFFFFF"/>
            </w:tcBorders>
            <w:shd w:val="clear" w:color="auto" w:fill="auto"/>
            <w:vAlign w:val="center"/>
            <w:hideMark/>
          </w:tcPr>
          <w:p w:rsidR="00B722F2" w:rsidRPr="00581D8C" w:rsidRDefault="00B722F2" w:rsidP="00B722F2">
            <w:pPr>
              <w:spacing w:after="0" w:line="240" w:lineRule="auto"/>
              <w:rPr>
                <w:rFonts w:ascii="Verdana" w:eastAsia="Times New Roman" w:hAnsi="Verdana" w:cs="Times New Roman"/>
                <w:color w:val="000000"/>
                <w:lang w:eastAsia="es-CO"/>
              </w:rPr>
            </w:pPr>
            <w:r w:rsidRPr="00581D8C">
              <w:rPr>
                <w:rFonts w:ascii="Verdana" w:eastAsia="Times New Roman" w:hAnsi="Verdana" w:cs="Times New Roman"/>
                <w:color w:val="000000"/>
                <w:lang w:eastAsia="es-CO"/>
              </w:rPr>
              <w:t> </w:t>
            </w:r>
          </w:p>
        </w:tc>
        <w:tc>
          <w:tcPr>
            <w:tcW w:w="274" w:type="pct"/>
            <w:tcBorders>
              <w:top w:val="single" w:sz="12" w:space="0" w:color="FFFFFF"/>
              <w:left w:val="nil"/>
              <w:bottom w:val="single" w:sz="12" w:space="0" w:color="FFFFFF"/>
              <w:right w:val="single" w:sz="12" w:space="0" w:color="FFFFFF"/>
            </w:tcBorders>
            <w:shd w:val="clear" w:color="auto" w:fill="auto"/>
            <w:vAlign w:val="center"/>
            <w:hideMark/>
          </w:tcPr>
          <w:p w:rsidR="00B722F2" w:rsidRPr="00581D8C" w:rsidRDefault="00B722F2" w:rsidP="00B722F2">
            <w:pPr>
              <w:spacing w:after="0" w:line="240" w:lineRule="auto"/>
              <w:rPr>
                <w:rFonts w:ascii="Verdana" w:eastAsia="Times New Roman" w:hAnsi="Verdana" w:cs="Times New Roman"/>
                <w:color w:val="000000"/>
                <w:lang w:eastAsia="es-CO"/>
              </w:rPr>
            </w:pPr>
            <w:r w:rsidRPr="00581D8C">
              <w:rPr>
                <w:rFonts w:ascii="Verdana" w:eastAsia="Times New Roman" w:hAnsi="Verdana" w:cs="Times New Roman"/>
                <w:color w:val="000000"/>
                <w:lang w:eastAsia="es-CO"/>
              </w:rPr>
              <w:t> </w:t>
            </w:r>
          </w:p>
        </w:tc>
        <w:tc>
          <w:tcPr>
            <w:tcW w:w="275" w:type="pct"/>
            <w:tcBorders>
              <w:top w:val="single" w:sz="12" w:space="0" w:color="FFFFFF"/>
              <w:left w:val="nil"/>
              <w:bottom w:val="single" w:sz="12" w:space="0" w:color="FFFFFF"/>
              <w:right w:val="single" w:sz="12" w:space="0" w:color="FFFFFF"/>
            </w:tcBorders>
            <w:shd w:val="clear" w:color="auto" w:fill="auto"/>
            <w:vAlign w:val="center"/>
            <w:hideMark/>
          </w:tcPr>
          <w:p w:rsidR="00B722F2" w:rsidRPr="00581D8C" w:rsidRDefault="00B722F2" w:rsidP="00B722F2">
            <w:pPr>
              <w:spacing w:after="0" w:line="240" w:lineRule="auto"/>
              <w:rPr>
                <w:rFonts w:ascii="Verdana" w:eastAsia="Times New Roman" w:hAnsi="Verdana" w:cs="Times New Roman"/>
                <w:color w:val="000000"/>
                <w:lang w:eastAsia="es-CO"/>
              </w:rPr>
            </w:pPr>
            <w:r w:rsidRPr="00581D8C">
              <w:rPr>
                <w:rFonts w:ascii="Verdana" w:eastAsia="Times New Roman" w:hAnsi="Verdana" w:cs="Times New Roman"/>
                <w:color w:val="000000"/>
                <w:lang w:eastAsia="es-CO"/>
              </w:rPr>
              <w:t> </w:t>
            </w:r>
          </w:p>
        </w:tc>
        <w:tc>
          <w:tcPr>
            <w:tcW w:w="274" w:type="pct"/>
            <w:tcBorders>
              <w:top w:val="single" w:sz="12" w:space="0" w:color="FFFFFF"/>
              <w:left w:val="nil"/>
              <w:bottom w:val="single" w:sz="12" w:space="0" w:color="FFFFFF"/>
              <w:right w:val="single" w:sz="12" w:space="0" w:color="FFFFFF"/>
            </w:tcBorders>
            <w:shd w:val="clear" w:color="auto" w:fill="auto"/>
            <w:vAlign w:val="center"/>
            <w:hideMark/>
          </w:tcPr>
          <w:p w:rsidR="00B722F2" w:rsidRPr="00581D8C" w:rsidRDefault="00B722F2" w:rsidP="00B722F2">
            <w:pPr>
              <w:spacing w:after="0" w:line="240" w:lineRule="auto"/>
              <w:rPr>
                <w:rFonts w:ascii="Verdana" w:eastAsia="Times New Roman" w:hAnsi="Verdana" w:cs="Times New Roman"/>
                <w:color w:val="000000"/>
                <w:lang w:eastAsia="es-CO"/>
              </w:rPr>
            </w:pPr>
            <w:r w:rsidRPr="00581D8C">
              <w:rPr>
                <w:rFonts w:ascii="Verdana" w:eastAsia="Times New Roman" w:hAnsi="Verdana" w:cs="Times New Roman"/>
                <w:color w:val="000000"/>
                <w:lang w:eastAsia="es-CO"/>
              </w:rPr>
              <w:t> </w:t>
            </w:r>
          </w:p>
        </w:tc>
        <w:tc>
          <w:tcPr>
            <w:tcW w:w="275" w:type="pct"/>
            <w:tcBorders>
              <w:top w:val="single" w:sz="12" w:space="0" w:color="FFFFFF"/>
              <w:left w:val="nil"/>
              <w:bottom w:val="single" w:sz="12" w:space="0" w:color="FFFFFF"/>
              <w:right w:val="single" w:sz="12" w:space="0" w:color="FFFFFF"/>
            </w:tcBorders>
            <w:shd w:val="clear" w:color="auto" w:fill="auto"/>
            <w:vAlign w:val="center"/>
            <w:hideMark/>
          </w:tcPr>
          <w:p w:rsidR="00B722F2" w:rsidRPr="00581D8C" w:rsidRDefault="00B722F2" w:rsidP="00B722F2">
            <w:pPr>
              <w:spacing w:after="0" w:line="240" w:lineRule="auto"/>
              <w:rPr>
                <w:rFonts w:ascii="Verdana" w:eastAsia="Times New Roman" w:hAnsi="Verdana" w:cs="Times New Roman"/>
                <w:color w:val="000000"/>
                <w:lang w:eastAsia="es-CO"/>
              </w:rPr>
            </w:pPr>
            <w:r w:rsidRPr="00581D8C">
              <w:rPr>
                <w:rFonts w:ascii="Verdana" w:eastAsia="Times New Roman" w:hAnsi="Verdana" w:cs="Times New Roman"/>
                <w:color w:val="000000"/>
                <w:lang w:eastAsia="es-CO"/>
              </w:rPr>
              <w:t> </w:t>
            </w:r>
          </w:p>
        </w:tc>
        <w:tc>
          <w:tcPr>
            <w:tcW w:w="275" w:type="pct"/>
            <w:tcBorders>
              <w:top w:val="single" w:sz="12" w:space="0" w:color="FFFFFF"/>
              <w:left w:val="nil"/>
              <w:bottom w:val="single" w:sz="12" w:space="0" w:color="FFFFFF"/>
              <w:right w:val="single" w:sz="12" w:space="0" w:color="FFFFFF"/>
            </w:tcBorders>
            <w:shd w:val="clear" w:color="auto" w:fill="auto"/>
            <w:vAlign w:val="center"/>
            <w:hideMark/>
          </w:tcPr>
          <w:p w:rsidR="00B722F2" w:rsidRPr="00581D8C" w:rsidRDefault="00B722F2" w:rsidP="00B722F2">
            <w:pPr>
              <w:spacing w:after="0" w:line="240" w:lineRule="auto"/>
              <w:rPr>
                <w:rFonts w:ascii="Verdana" w:eastAsia="Times New Roman" w:hAnsi="Verdana" w:cs="Times New Roman"/>
                <w:color w:val="000000"/>
                <w:lang w:eastAsia="es-CO"/>
              </w:rPr>
            </w:pPr>
            <w:r w:rsidRPr="00581D8C">
              <w:rPr>
                <w:rFonts w:ascii="Verdana" w:eastAsia="Times New Roman" w:hAnsi="Verdana" w:cs="Times New Roman"/>
                <w:color w:val="000000"/>
                <w:lang w:eastAsia="es-CO"/>
              </w:rPr>
              <w:t> </w:t>
            </w:r>
          </w:p>
        </w:tc>
        <w:tc>
          <w:tcPr>
            <w:tcW w:w="274" w:type="pct"/>
            <w:tcBorders>
              <w:top w:val="single" w:sz="12" w:space="0" w:color="FFFFFF"/>
              <w:left w:val="nil"/>
              <w:bottom w:val="single" w:sz="12" w:space="0" w:color="FFFFFF"/>
              <w:right w:val="single" w:sz="12" w:space="0" w:color="FFFFFF"/>
            </w:tcBorders>
            <w:shd w:val="clear" w:color="auto" w:fill="auto"/>
            <w:vAlign w:val="center"/>
            <w:hideMark/>
          </w:tcPr>
          <w:p w:rsidR="00B722F2" w:rsidRPr="00581D8C" w:rsidRDefault="00B722F2" w:rsidP="00B722F2">
            <w:pPr>
              <w:spacing w:after="0" w:line="240" w:lineRule="auto"/>
              <w:rPr>
                <w:rFonts w:ascii="Verdana" w:eastAsia="Times New Roman" w:hAnsi="Verdana" w:cs="Times New Roman"/>
                <w:color w:val="000000"/>
                <w:lang w:eastAsia="es-CO"/>
              </w:rPr>
            </w:pPr>
            <w:r w:rsidRPr="00581D8C">
              <w:rPr>
                <w:rFonts w:ascii="Verdana" w:eastAsia="Times New Roman" w:hAnsi="Verdana" w:cs="Times New Roman"/>
                <w:color w:val="000000"/>
                <w:lang w:eastAsia="es-CO"/>
              </w:rPr>
              <w:t> </w:t>
            </w:r>
          </w:p>
        </w:tc>
        <w:tc>
          <w:tcPr>
            <w:tcW w:w="275" w:type="pct"/>
            <w:tcBorders>
              <w:top w:val="single" w:sz="12" w:space="0" w:color="FFFFFF"/>
              <w:left w:val="nil"/>
              <w:bottom w:val="single" w:sz="12" w:space="0" w:color="FFFFFF"/>
              <w:right w:val="single" w:sz="12" w:space="0" w:color="FFFFFF"/>
            </w:tcBorders>
            <w:shd w:val="clear" w:color="auto" w:fill="auto"/>
            <w:vAlign w:val="center"/>
            <w:hideMark/>
          </w:tcPr>
          <w:p w:rsidR="00B722F2" w:rsidRPr="00581D8C" w:rsidRDefault="00B722F2" w:rsidP="00B722F2">
            <w:pPr>
              <w:spacing w:after="0" w:line="240" w:lineRule="auto"/>
              <w:rPr>
                <w:rFonts w:ascii="Verdana" w:eastAsia="Times New Roman" w:hAnsi="Verdana" w:cs="Times New Roman"/>
                <w:color w:val="000000"/>
                <w:lang w:eastAsia="es-CO"/>
              </w:rPr>
            </w:pPr>
            <w:r w:rsidRPr="00581D8C">
              <w:rPr>
                <w:rFonts w:ascii="Verdana" w:eastAsia="Times New Roman" w:hAnsi="Verdana" w:cs="Times New Roman"/>
                <w:color w:val="000000"/>
                <w:lang w:eastAsia="es-CO"/>
              </w:rPr>
              <w:t> </w:t>
            </w:r>
          </w:p>
        </w:tc>
        <w:tc>
          <w:tcPr>
            <w:tcW w:w="274" w:type="pct"/>
            <w:tcBorders>
              <w:top w:val="single" w:sz="12" w:space="0" w:color="FFFFFF"/>
              <w:left w:val="nil"/>
              <w:bottom w:val="single" w:sz="12" w:space="0" w:color="FFFFFF"/>
              <w:right w:val="single" w:sz="12" w:space="0" w:color="FFFFFF"/>
            </w:tcBorders>
            <w:shd w:val="clear" w:color="auto" w:fill="auto"/>
            <w:vAlign w:val="center"/>
            <w:hideMark/>
          </w:tcPr>
          <w:p w:rsidR="00B722F2" w:rsidRPr="00581D8C" w:rsidRDefault="00B722F2" w:rsidP="00B722F2">
            <w:pPr>
              <w:spacing w:after="0" w:line="240" w:lineRule="auto"/>
              <w:rPr>
                <w:rFonts w:ascii="Verdana" w:eastAsia="Times New Roman" w:hAnsi="Verdana" w:cs="Times New Roman"/>
                <w:color w:val="000000"/>
                <w:lang w:eastAsia="es-CO"/>
              </w:rPr>
            </w:pPr>
            <w:r w:rsidRPr="00581D8C">
              <w:rPr>
                <w:rFonts w:ascii="Verdana" w:eastAsia="Times New Roman" w:hAnsi="Verdana" w:cs="Times New Roman"/>
                <w:color w:val="000000"/>
                <w:lang w:eastAsia="es-CO"/>
              </w:rPr>
              <w:t> </w:t>
            </w:r>
          </w:p>
        </w:tc>
        <w:tc>
          <w:tcPr>
            <w:tcW w:w="275" w:type="pct"/>
            <w:tcBorders>
              <w:top w:val="single" w:sz="12" w:space="0" w:color="FFFFFF"/>
              <w:left w:val="nil"/>
              <w:bottom w:val="single" w:sz="12" w:space="0" w:color="FFFFFF"/>
              <w:right w:val="single" w:sz="12" w:space="0" w:color="FFFFFF"/>
            </w:tcBorders>
            <w:shd w:val="clear" w:color="auto" w:fill="auto"/>
            <w:vAlign w:val="center"/>
            <w:hideMark/>
          </w:tcPr>
          <w:p w:rsidR="00B722F2" w:rsidRPr="00581D8C" w:rsidRDefault="00B722F2" w:rsidP="00B722F2">
            <w:pPr>
              <w:spacing w:after="0" w:line="240" w:lineRule="auto"/>
              <w:rPr>
                <w:rFonts w:ascii="Verdana" w:eastAsia="Times New Roman" w:hAnsi="Verdana" w:cs="Times New Roman"/>
                <w:color w:val="000000"/>
                <w:lang w:eastAsia="es-CO"/>
              </w:rPr>
            </w:pPr>
            <w:r w:rsidRPr="00581D8C">
              <w:rPr>
                <w:rFonts w:ascii="Verdana" w:eastAsia="Times New Roman" w:hAnsi="Verdana" w:cs="Times New Roman"/>
                <w:color w:val="000000"/>
                <w:lang w:eastAsia="es-CO"/>
              </w:rPr>
              <w:t> </w:t>
            </w:r>
          </w:p>
        </w:tc>
        <w:tc>
          <w:tcPr>
            <w:tcW w:w="275" w:type="pct"/>
            <w:tcBorders>
              <w:top w:val="single" w:sz="12" w:space="0" w:color="FFFFFF"/>
              <w:left w:val="nil"/>
              <w:bottom w:val="single" w:sz="12" w:space="0" w:color="FFFFFF"/>
              <w:right w:val="single" w:sz="12" w:space="0" w:color="FFFFFF"/>
            </w:tcBorders>
            <w:shd w:val="clear" w:color="auto" w:fill="auto"/>
            <w:vAlign w:val="center"/>
            <w:hideMark/>
          </w:tcPr>
          <w:p w:rsidR="00B722F2" w:rsidRPr="00581D8C" w:rsidRDefault="00B722F2" w:rsidP="00B722F2">
            <w:pPr>
              <w:spacing w:after="0" w:line="240" w:lineRule="auto"/>
              <w:rPr>
                <w:rFonts w:ascii="Verdana" w:eastAsia="Times New Roman" w:hAnsi="Verdana" w:cs="Times New Roman"/>
                <w:color w:val="000000"/>
                <w:lang w:eastAsia="es-CO"/>
              </w:rPr>
            </w:pPr>
            <w:r w:rsidRPr="00581D8C">
              <w:rPr>
                <w:rFonts w:ascii="Verdana" w:eastAsia="Times New Roman" w:hAnsi="Verdana" w:cs="Times New Roman"/>
                <w:color w:val="000000"/>
                <w:lang w:eastAsia="es-CO"/>
              </w:rPr>
              <w:t> </w:t>
            </w:r>
          </w:p>
        </w:tc>
        <w:tc>
          <w:tcPr>
            <w:tcW w:w="274" w:type="pct"/>
            <w:tcBorders>
              <w:top w:val="single" w:sz="12" w:space="0" w:color="FFFFFF"/>
              <w:left w:val="nil"/>
              <w:bottom w:val="single" w:sz="12" w:space="0" w:color="FFFFFF"/>
              <w:right w:val="single" w:sz="12" w:space="0" w:color="FFFFFF"/>
            </w:tcBorders>
            <w:shd w:val="clear" w:color="auto" w:fill="auto"/>
            <w:vAlign w:val="center"/>
            <w:hideMark/>
          </w:tcPr>
          <w:p w:rsidR="00B722F2" w:rsidRPr="00581D8C" w:rsidRDefault="00B722F2" w:rsidP="00B722F2">
            <w:pPr>
              <w:spacing w:after="0" w:line="240" w:lineRule="auto"/>
              <w:rPr>
                <w:rFonts w:ascii="Verdana" w:eastAsia="Times New Roman" w:hAnsi="Verdana" w:cs="Times New Roman"/>
                <w:color w:val="000000"/>
                <w:lang w:eastAsia="es-CO"/>
              </w:rPr>
            </w:pPr>
            <w:r w:rsidRPr="00581D8C">
              <w:rPr>
                <w:rFonts w:ascii="Verdana" w:eastAsia="Times New Roman" w:hAnsi="Verdana" w:cs="Times New Roman"/>
                <w:color w:val="000000"/>
                <w:lang w:eastAsia="es-CO"/>
              </w:rPr>
              <w:t> </w:t>
            </w:r>
          </w:p>
        </w:tc>
        <w:tc>
          <w:tcPr>
            <w:tcW w:w="275" w:type="pct"/>
            <w:tcBorders>
              <w:top w:val="single" w:sz="12" w:space="0" w:color="FFFFFF"/>
              <w:left w:val="nil"/>
              <w:bottom w:val="single" w:sz="12" w:space="0" w:color="FFFFFF"/>
              <w:right w:val="single" w:sz="12" w:space="0" w:color="FFFFFF"/>
            </w:tcBorders>
            <w:shd w:val="clear" w:color="auto" w:fill="auto"/>
            <w:vAlign w:val="center"/>
            <w:hideMark/>
          </w:tcPr>
          <w:p w:rsidR="00B722F2" w:rsidRPr="00581D8C" w:rsidRDefault="00B722F2" w:rsidP="00B722F2">
            <w:pPr>
              <w:spacing w:after="0" w:line="240" w:lineRule="auto"/>
              <w:rPr>
                <w:rFonts w:ascii="Verdana" w:eastAsia="Times New Roman" w:hAnsi="Verdana" w:cs="Times New Roman"/>
                <w:color w:val="000000"/>
                <w:lang w:eastAsia="es-CO"/>
              </w:rPr>
            </w:pPr>
            <w:r w:rsidRPr="00581D8C">
              <w:rPr>
                <w:rFonts w:ascii="Verdana" w:eastAsia="Times New Roman" w:hAnsi="Verdana" w:cs="Times New Roman"/>
                <w:color w:val="000000"/>
                <w:lang w:eastAsia="es-CO"/>
              </w:rPr>
              <w:t> </w:t>
            </w:r>
          </w:p>
        </w:tc>
        <w:tc>
          <w:tcPr>
            <w:tcW w:w="275" w:type="pct"/>
            <w:tcBorders>
              <w:top w:val="single" w:sz="12" w:space="0" w:color="FFFFFF"/>
              <w:left w:val="nil"/>
              <w:bottom w:val="single" w:sz="12" w:space="0" w:color="FFFFFF"/>
              <w:right w:val="single" w:sz="12" w:space="0" w:color="FFFFFF"/>
            </w:tcBorders>
            <w:shd w:val="clear" w:color="auto" w:fill="auto"/>
            <w:vAlign w:val="center"/>
            <w:hideMark/>
          </w:tcPr>
          <w:p w:rsidR="00B722F2" w:rsidRPr="00581D8C" w:rsidRDefault="00B722F2" w:rsidP="00B722F2">
            <w:pPr>
              <w:spacing w:after="0" w:line="240" w:lineRule="auto"/>
              <w:rPr>
                <w:rFonts w:ascii="Verdana" w:eastAsia="Times New Roman" w:hAnsi="Verdana" w:cs="Times New Roman"/>
                <w:color w:val="000000"/>
                <w:lang w:eastAsia="es-CO"/>
              </w:rPr>
            </w:pPr>
            <w:r w:rsidRPr="00581D8C">
              <w:rPr>
                <w:rFonts w:ascii="Verdana" w:eastAsia="Times New Roman" w:hAnsi="Verdana" w:cs="Times New Roman"/>
                <w:color w:val="000000"/>
                <w:lang w:eastAsia="es-CO"/>
              </w:rPr>
              <w:t> </w:t>
            </w:r>
          </w:p>
        </w:tc>
      </w:tr>
      <w:tr w:rsidR="00B722F2" w:rsidRPr="00581D8C" w:rsidTr="006D37DF">
        <w:trPr>
          <w:trHeight w:val="450"/>
        </w:trPr>
        <w:tc>
          <w:tcPr>
            <w:tcW w:w="1428" w:type="pct"/>
            <w:tcBorders>
              <w:top w:val="single" w:sz="4" w:space="0" w:color="FFFFFF"/>
              <w:left w:val="nil"/>
              <w:bottom w:val="single" w:sz="4" w:space="0" w:color="FFFFFF"/>
              <w:right w:val="single" w:sz="4" w:space="0" w:color="FFFFFF"/>
            </w:tcBorders>
            <w:shd w:val="clear" w:color="B8CCE4" w:fill="B8CCE4"/>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Enuncie tres temas de mayor consulta en su Entidad que son de su competencia</w:t>
            </w:r>
          </w:p>
        </w:tc>
        <w:tc>
          <w:tcPr>
            <w:tcW w:w="3572" w:type="pct"/>
            <w:gridSpan w:val="13"/>
            <w:tcBorders>
              <w:top w:val="single" w:sz="12" w:space="0" w:color="FFFFFF"/>
              <w:left w:val="nil"/>
              <w:bottom w:val="single" w:sz="4" w:space="0" w:color="FFFFFF"/>
              <w:right w:val="nil"/>
            </w:tcBorders>
            <w:shd w:val="clear" w:color="B8CCE4" w:fill="B8CCE4"/>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xml:space="preserve"> 1.   Inclusión de   veredas, municipios o departamentos como zonas de consolidación territorial          2. Cómo puedo hacer parte de Familias Guardabosques y que garantías me ofrecen        3.  Donde puedo consultar el estado de un proyecto presentado ante la Unidad          4. Consolidación es lo mismo que militarismo en  la zona o región</w:t>
            </w:r>
          </w:p>
        </w:tc>
      </w:tr>
      <w:tr w:rsidR="00B722F2" w:rsidRPr="00581D8C" w:rsidTr="006D37DF">
        <w:trPr>
          <w:trHeight w:val="660"/>
        </w:trPr>
        <w:tc>
          <w:tcPr>
            <w:tcW w:w="1428" w:type="pct"/>
            <w:tcBorders>
              <w:top w:val="nil"/>
              <w:left w:val="nil"/>
              <w:bottom w:val="single" w:sz="4" w:space="0" w:color="FFFFFF"/>
              <w:right w:val="single" w:sz="4" w:space="0" w:color="FFFFFF"/>
            </w:tcBorders>
            <w:shd w:val="clear" w:color="DCE6F1" w:fill="DCE6F1"/>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Discriminados.</w:t>
            </w:r>
          </w:p>
        </w:tc>
        <w:tc>
          <w:tcPr>
            <w:tcW w:w="3572" w:type="pct"/>
            <w:gridSpan w:val="13"/>
            <w:tcBorders>
              <w:top w:val="single" w:sz="4" w:space="0" w:color="FFFFFF"/>
              <w:left w:val="nil"/>
              <w:bottom w:val="single" w:sz="4" w:space="0" w:color="FFFFFF"/>
              <w:right w:val="nil"/>
            </w:tcBorders>
            <w:shd w:val="clear" w:color="DCE6F1" w:fill="DCE6F1"/>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xml:space="preserve">Programa de Respuesta Rápida , Programa contra Cultivos Ilícitos, Nuevas familias Guardabosques para la prosperidad, Qué no es Consolidación Territorial, Qué es reconstruir un territorio </w:t>
            </w:r>
          </w:p>
        </w:tc>
      </w:tr>
      <w:tr w:rsidR="00B722F2" w:rsidRPr="00581D8C" w:rsidTr="006D37DF">
        <w:trPr>
          <w:trHeight w:val="450"/>
        </w:trPr>
        <w:tc>
          <w:tcPr>
            <w:tcW w:w="1428" w:type="pct"/>
            <w:tcBorders>
              <w:top w:val="nil"/>
              <w:left w:val="nil"/>
              <w:bottom w:val="single" w:sz="4" w:space="0" w:color="FFFFFF"/>
              <w:right w:val="single" w:sz="4" w:space="0" w:color="FFFFFF"/>
            </w:tcBorders>
            <w:shd w:val="clear" w:color="B8CCE4" w:fill="B8CCE4"/>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De estos temas o subtemas, presente si estos tienen alguna relación geográfica y cualifíquelos</w:t>
            </w:r>
          </w:p>
        </w:tc>
        <w:tc>
          <w:tcPr>
            <w:tcW w:w="3572" w:type="pct"/>
            <w:gridSpan w:val="13"/>
            <w:tcBorders>
              <w:top w:val="single" w:sz="12" w:space="0" w:color="FFFFFF"/>
              <w:left w:val="nil"/>
              <w:bottom w:val="single" w:sz="4" w:space="0" w:color="FFFFFF"/>
              <w:right w:val="nil"/>
            </w:tcBorders>
            <w:shd w:val="clear" w:color="B8CCE4" w:fill="B8CCE4"/>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xml:space="preserve">Algunas peticiones tienen relación geográfica, ya que son allegadas de los municipios en Consolidación y del Programa Contra Cultivos Ilícitos.  La gran mayoría de peticiones se registran de zonas que nos están focalizadas apara ser intervenidas </w:t>
            </w:r>
          </w:p>
        </w:tc>
      </w:tr>
      <w:tr w:rsidR="00B722F2" w:rsidRPr="00581D8C" w:rsidTr="006D37DF">
        <w:trPr>
          <w:trHeight w:val="450"/>
        </w:trPr>
        <w:tc>
          <w:tcPr>
            <w:tcW w:w="1428" w:type="pct"/>
            <w:tcBorders>
              <w:top w:val="nil"/>
              <w:left w:val="nil"/>
              <w:bottom w:val="single" w:sz="4" w:space="0" w:color="FFFFFF"/>
              <w:right w:val="single" w:sz="4" w:space="0" w:color="FFFFFF"/>
            </w:tcBorders>
            <w:shd w:val="clear" w:color="DCE6F1" w:fill="DCE6F1"/>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Cuáles son los temas más recurrentes consultados que no son competencia de la entidad</w:t>
            </w:r>
          </w:p>
        </w:tc>
        <w:tc>
          <w:tcPr>
            <w:tcW w:w="3572" w:type="pct"/>
            <w:gridSpan w:val="13"/>
            <w:tcBorders>
              <w:top w:val="single" w:sz="4" w:space="0" w:color="FFFFFF"/>
              <w:left w:val="nil"/>
              <w:bottom w:val="single" w:sz="4" w:space="0" w:color="FFFFFF"/>
              <w:right w:val="nil"/>
            </w:tcBorders>
            <w:shd w:val="clear" w:color="DCE6F1" w:fill="DCE6F1"/>
            <w:vAlign w:val="center"/>
            <w:hideMark/>
          </w:tcPr>
          <w:p w:rsidR="00B722F2" w:rsidRPr="00581D8C" w:rsidRDefault="00B722F2" w:rsidP="00B722F2">
            <w:pPr>
              <w:spacing w:after="0" w:line="240" w:lineRule="auto"/>
              <w:rPr>
                <w:rFonts w:ascii="Verdana" w:eastAsia="Times New Roman" w:hAnsi="Verdana" w:cs="Times New Roman"/>
                <w:color w:val="000000"/>
                <w:sz w:val="16"/>
                <w:szCs w:val="16"/>
                <w:lang w:eastAsia="es-CO"/>
              </w:rPr>
            </w:pPr>
            <w:r w:rsidRPr="00581D8C">
              <w:rPr>
                <w:rFonts w:ascii="Verdana" w:eastAsia="Times New Roman" w:hAnsi="Verdana" w:cs="Times New Roman"/>
                <w:color w:val="000000"/>
                <w:sz w:val="16"/>
                <w:szCs w:val="16"/>
                <w:lang w:eastAsia="es-CO"/>
              </w:rPr>
              <w:t xml:space="preserve">Aspersión , desplazados, víctimas </w:t>
            </w:r>
          </w:p>
        </w:tc>
      </w:tr>
    </w:tbl>
    <w:p w:rsidR="00344E7A" w:rsidRDefault="00624618" w:rsidP="00C272DA">
      <w:pPr>
        <w:rPr>
          <w:rFonts w:ascii="Verdana" w:hAnsi="Verdana"/>
          <w:b/>
          <w:bCs/>
          <w:color w:val="548DD4" w:themeColor="text2" w:themeTint="99"/>
          <w:sz w:val="40"/>
          <w:szCs w:val="40"/>
        </w:rPr>
      </w:pPr>
      <w:r>
        <w:rPr>
          <w:rFonts w:ascii="Verdana" w:hAnsi="Verdana"/>
          <w:b/>
          <w:bCs/>
          <w:noProof/>
          <w:color w:val="548DD4" w:themeColor="text2" w:themeTint="99"/>
          <w:sz w:val="40"/>
          <w:szCs w:val="40"/>
          <w:lang w:eastAsia="es-CO"/>
        </w:rPr>
        <w:drawing>
          <wp:anchor distT="0" distB="0" distL="114300" distR="114300" simplePos="0" relativeHeight="251765760" behindDoc="0" locked="0" layoutInCell="1" allowOverlap="1">
            <wp:simplePos x="0" y="0"/>
            <wp:positionH relativeFrom="column">
              <wp:posOffset>6537960</wp:posOffset>
            </wp:positionH>
            <wp:positionV relativeFrom="paragraph">
              <wp:posOffset>180975</wp:posOffset>
            </wp:positionV>
            <wp:extent cx="504825" cy="352425"/>
            <wp:effectExtent l="19050" t="0" r="0" b="0"/>
            <wp:wrapThrough wrapText="bothSides">
              <wp:wrapPolygon edited="0">
                <wp:start x="-815" y="0"/>
                <wp:lineTo x="-815" y="21016"/>
                <wp:lineTo x="21192" y="21016"/>
                <wp:lineTo x="21192" y="0"/>
                <wp:lineTo x="-815" y="0"/>
              </wp:wrapPolygon>
            </wp:wrapThrough>
            <wp:docPr id="52" name="Objeto 10">
              <a:hlinkClick xmlns:a="http://schemas.openxmlformats.org/drawingml/2006/main" r:id="rId74" tooltip="Ir a la pagina de CONTENIDO."/>
            </wp:docPr>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4056" cy="360040"/>
                      <a:chOff x="683568" y="5517232"/>
                      <a:chExt cx="504056" cy="360040"/>
                    </a:xfrm>
                  </a:grpSpPr>
                  <a:sp>
                    <a:nvSpPr>
                      <a:cNvPr id="36" name="35 Botón de acción: Inicio"/>
                      <a:cNvSpPr/>
                    </a:nvSpPr>
                    <a:spPr>
                      <a:xfrm>
                        <a:off x="683568" y="5517232"/>
                        <a:ext cx="504056" cy="360040"/>
                      </a:xfrm>
                      <a:prstGeom prst="actionButtonHome">
                        <a:avLst/>
                      </a:prstGeom>
                      <a:solidFill>
                        <a:schemeClr val="accent5">
                          <a:lumMod val="60000"/>
                          <a:lumOff val="40000"/>
                        </a:schemeClr>
                      </a:soli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Verdana" w:hAnsi="Verdana"/>
          <w:b/>
          <w:bCs/>
          <w:color w:val="548DD4" w:themeColor="text2" w:themeTint="99"/>
          <w:sz w:val="40"/>
          <w:szCs w:val="40"/>
        </w:rPr>
        <w:br w:type="page"/>
      </w:r>
    </w:p>
    <w:p w:rsidR="00344E7A" w:rsidRDefault="00344E7A" w:rsidP="00C272DA">
      <w:pPr>
        <w:rPr>
          <w:rFonts w:ascii="Verdana" w:hAnsi="Verdana"/>
          <w:b/>
          <w:bCs/>
          <w:color w:val="548DD4" w:themeColor="text2" w:themeTint="99"/>
          <w:sz w:val="40"/>
          <w:szCs w:val="40"/>
        </w:rPr>
      </w:pPr>
    </w:p>
    <w:p w:rsidR="00344E7A" w:rsidRDefault="00344E7A" w:rsidP="00C272DA">
      <w:pPr>
        <w:rPr>
          <w:rFonts w:ascii="Verdana" w:hAnsi="Verdana"/>
          <w:b/>
          <w:bCs/>
          <w:color w:val="548DD4" w:themeColor="text2" w:themeTint="99"/>
          <w:sz w:val="40"/>
          <w:szCs w:val="40"/>
        </w:rPr>
      </w:pPr>
    </w:p>
    <w:p w:rsidR="00344E7A" w:rsidRDefault="00344E7A" w:rsidP="00C272DA">
      <w:pPr>
        <w:rPr>
          <w:rFonts w:ascii="Verdana" w:hAnsi="Verdana"/>
          <w:b/>
          <w:bCs/>
          <w:color w:val="548DD4" w:themeColor="text2" w:themeTint="99"/>
          <w:sz w:val="40"/>
          <w:szCs w:val="40"/>
        </w:rPr>
      </w:pPr>
    </w:p>
    <w:p w:rsidR="00624618" w:rsidRDefault="00624618" w:rsidP="00C272DA">
      <w:pPr>
        <w:rPr>
          <w:rFonts w:ascii="Verdana" w:hAnsi="Verdana"/>
          <w:b/>
          <w:bCs/>
          <w:color w:val="548DD4" w:themeColor="text2" w:themeTint="99"/>
          <w:sz w:val="40"/>
          <w:szCs w:val="40"/>
        </w:rPr>
      </w:pPr>
    </w:p>
    <w:p w:rsidR="00624618" w:rsidRDefault="00624618" w:rsidP="00C272DA">
      <w:pPr>
        <w:rPr>
          <w:rFonts w:ascii="Verdana" w:hAnsi="Verdana"/>
          <w:b/>
          <w:bCs/>
          <w:color w:val="548DD4" w:themeColor="text2" w:themeTint="99"/>
          <w:sz w:val="40"/>
          <w:szCs w:val="40"/>
        </w:rPr>
      </w:pPr>
    </w:p>
    <w:p w:rsidR="00624618" w:rsidRDefault="00624618" w:rsidP="00C272DA">
      <w:pPr>
        <w:rPr>
          <w:rFonts w:ascii="Verdana" w:hAnsi="Verdana"/>
          <w:b/>
          <w:bCs/>
          <w:color w:val="548DD4" w:themeColor="text2" w:themeTint="99"/>
          <w:sz w:val="40"/>
          <w:szCs w:val="40"/>
        </w:rPr>
      </w:pPr>
    </w:p>
    <w:p w:rsidR="004A4C17" w:rsidRPr="004A4C17" w:rsidRDefault="00C272DA" w:rsidP="00624618">
      <w:pPr>
        <w:jc w:val="both"/>
        <w:rPr>
          <w:rFonts w:ascii="Verdana" w:hAnsi="Verdana" w:cs="Futura Bk BT"/>
          <w:color w:val="548DD4" w:themeColor="text2" w:themeTint="99"/>
          <w:sz w:val="28"/>
        </w:rPr>
      </w:pPr>
      <w:r>
        <w:rPr>
          <w:rFonts w:ascii="Verdana" w:hAnsi="Verdana"/>
          <w:b/>
          <w:bCs/>
          <w:color w:val="548DD4" w:themeColor="text2" w:themeTint="99"/>
          <w:sz w:val="40"/>
          <w:szCs w:val="40"/>
        </w:rPr>
        <w:t>V</w:t>
      </w:r>
      <w:r w:rsidR="004A4C17" w:rsidRPr="004A4C17">
        <w:rPr>
          <w:rFonts w:ascii="Verdana" w:hAnsi="Verdana"/>
          <w:b/>
          <w:bCs/>
          <w:color w:val="548DD4" w:themeColor="text2" w:themeTint="99"/>
          <w:sz w:val="40"/>
          <w:szCs w:val="40"/>
        </w:rPr>
        <w:t xml:space="preserve">I. </w:t>
      </w:r>
      <w:bookmarkStart w:id="132" w:name="ICBF"/>
      <w:r w:rsidR="00126BC7">
        <w:rPr>
          <w:rFonts w:ascii="Verdana" w:hAnsi="Verdana"/>
          <w:b/>
          <w:bCs/>
          <w:color w:val="548DD4" w:themeColor="text2" w:themeTint="99"/>
          <w:sz w:val="40"/>
          <w:szCs w:val="40"/>
        </w:rPr>
        <w:t>INSTITUTO COLOMBIANO DE BIENESTAR FAMILIAR</w:t>
      </w:r>
      <w:bookmarkEnd w:id="132"/>
    </w:p>
    <w:p w:rsidR="004A4C17" w:rsidRDefault="004A4C17" w:rsidP="004A4C17">
      <w:pPr>
        <w:pStyle w:val="Prrafodelista"/>
        <w:spacing w:after="0" w:line="240" w:lineRule="auto"/>
        <w:ind w:left="1710"/>
        <w:jc w:val="both"/>
        <w:rPr>
          <w:rFonts w:ascii="Verdana" w:hAnsi="Verdana" w:cs="Futura Bk BT"/>
          <w:color w:val="548DD4" w:themeColor="text2" w:themeTint="99"/>
          <w:sz w:val="28"/>
        </w:rPr>
      </w:pPr>
    </w:p>
    <w:p w:rsidR="00D11249" w:rsidRDefault="00D11249" w:rsidP="004A4C17">
      <w:pPr>
        <w:pStyle w:val="Prrafodelista"/>
        <w:spacing w:after="0" w:line="240" w:lineRule="auto"/>
        <w:ind w:left="1710"/>
        <w:jc w:val="both"/>
        <w:rPr>
          <w:rFonts w:ascii="Verdana" w:hAnsi="Verdana" w:cs="Futura Bk BT"/>
          <w:color w:val="548DD4" w:themeColor="text2" w:themeTint="99"/>
          <w:sz w:val="28"/>
        </w:rPr>
      </w:pPr>
      <w:r>
        <w:rPr>
          <w:rFonts w:ascii="Verdana" w:hAnsi="Verdana" w:cs="Futura Bk BT"/>
          <w:noProof/>
          <w:color w:val="548DD4" w:themeColor="text2" w:themeTint="99"/>
          <w:sz w:val="28"/>
          <w:lang w:eastAsia="es-CO"/>
        </w:rPr>
        <w:drawing>
          <wp:anchor distT="0" distB="0" distL="114300" distR="114300" simplePos="0" relativeHeight="251692032" behindDoc="0" locked="0" layoutInCell="1" allowOverlap="1">
            <wp:simplePos x="0" y="0"/>
            <wp:positionH relativeFrom="column">
              <wp:posOffset>2139950</wp:posOffset>
            </wp:positionH>
            <wp:positionV relativeFrom="paragraph">
              <wp:posOffset>119380</wp:posOffset>
            </wp:positionV>
            <wp:extent cx="1720850" cy="1752600"/>
            <wp:effectExtent l="19050" t="0" r="0" b="0"/>
            <wp:wrapThrough wrapText="bothSides">
              <wp:wrapPolygon edited="0">
                <wp:start x="-239" y="0"/>
                <wp:lineTo x="-239" y="21365"/>
                <wp:lineTo x="21520" y="21365"/>
                <wp:lineTo x="21520" y="0"/>
                <wp:lineTo x="-239" y="0"/>
              </wp:wrapPolygon>
            </wp:wrapThrough>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720850" cy="1752600"/>
                    </a:xfrm>
                    <a:prstGeom prst="rect">
                      <a:avLst/>
                    </a:prstGeom>
                    <a:noFill/>
                    <a:ln w="9525">
                      <a:noFill/>
                      <a:miter lim="800000"/>
                      <a:headEnd/>
                      <a:tailEnd/>
                    </a:ln>
                  </pic:spPr>
                </pic:pic>
              </a:graphicData>
            </a:graphic>
          </wp:anchor>
        </w:drawing>
      </w:r>
    </w:p>
    <w:p w:rsidR="00D11249" w:rsidRDefault="00D11249" w:rsidP="004A4C17">
      <w:pPr>
        <w:pStyle w:val="Prrafodelista"/>
        <w:spacing w:after="0" w:line="240" w:lineRule="auto"/>
        <w:ind w:left="1710"/>
        <w:jc w:val="both"/>
        <w:rPr>
          <w:rFonts w:ascii="Verdana" w:hAnsi="Verdana" w:cs="Futura Bk BT"/>
          <w:color w:val="548DD4" w:themeColor="text2" w:themeTint="99"/>
          <w:sz w:val="28"/>
        </w:rPr>
      </w:pPr>
    </w:p>
    <w:p w:rsidR="00D11249" w:rsidRDefault="00D11249" w:rsidP="004A4C17">
      <w:pPr>
        <w:pStyle w:val="Prrafodelista"/>
        <w:spacing w:after="0" w:line="240" w:lineRule="auto"/>
        <w:ind w:left="1710"/>
        <w:jc w:val="both"/>
        <w:rPr>
          <w:rFonts w:ascii="Verdana" w:hAnsi="Verdana" w:cs="Futura Bk BT"/>
          <w:color w:val="548DD4" w:themeColor="text2" w:themeTint="99"/>
          <w:sz w:val="28"/>
        </w:rPr>
      </w:pPr>
    </w:p>
    <w:p w:rsidR="00D11249" w:rsidRDefault="00D11249" w:rsidP="00785BA3">
      <w:pPr>
        <w:pStyle w:val="Prrafodelista"/>
        <w:spacing w:after="0" w:line="240" w:lineRule="auto"/>
        <w:ind w:left="0"/>
        <w:jc w:val="both"/>
        <w:rPr>
          <w:rFonts w:ascii="Verdana" w:hAnsi="Verdana" w:cs="Futura Bk BT"/>
          <w:color w:val="548DD4" w:themeColor="text2" w:themeTint="99"/>
          <w:sz w:val="28"/>
        </w:rPr>
      </w:pPr>
    </w:p>
    <w:p w:rsidR="00D11249" w:rsidRDefault="00D11249" w:rsidP="004A4C17">
      <w:pPr>
        <w:pStyle w:val="Prrafodelista"/>
        <w:spacing w:after="0" w:line="240" w:lineRule="auto"/>
        <w:ind w:left="1710"/>
        <w:jc w:val="both"/>
        <w:rPr>
          <w:rFonts w:ascii="Verdana" w:hAnsi="Verdana" w:cs="Futura Bk BT"/>
          <w:color w:val="548DD4" w:themeColor="text2" w:themeTint="99"/>
          <w:sz w:val="28"/>
        </w:rPr>
      </w:pPr>
    </w:p>
    <w:p w:rsidR="00D11249" w:rsidRDefault="00D11249" w:rsidP="004A4C17">
      <w:pPr>
        <w:pStyle w:val="Prrafodelista"/>
        <w:spacing w:after="0" w:line="240" w:lineRule="auto"/>
        <w:ind w:left="1710"/>
        <w:jc w:val="both"/>
        <w:rPr>
          <w:rFonts w:ascii="Verdana" w:hAnsi="Verdana" w:cs="Futura Bk BT"/>
          <w:color w:val="548DD4" w:themeColor="text2" w:themeTint="99"/>
          <w:sz w:val="28"/>
        </w:rPr>
      </w:pPr>
    </w:p>
    <w:p w:rsidR="00D11249" w:rsidRDefault="00D11249" w:rsidP="004A4C17">
      <w:pPr>
        <w:pStyle w:val="Prrafodelista"/>
        <w:spacing w:after="0" w:line="240" w:lineRule="auto"/>
        <w:ind w:left="1710"/>
        <w:jc w:val="both"/>
        <w:rPr>
          <w:rFonts w:ascii="Verdana" w:hAnsi="Verdana" w:cs="Futura Bk BT"/>
          <w:color w:val="548DD4" w:themeColor="text2" w:themeTint="99"/>
          <w:sz w:val="28"/>
        </w:rPr>
      </w:pPr>
    </w:p>
    <w:p w:rsidR="00D11249" w:rsidRDefault="00D11249" w:rsidP="004A4C17">
      <w:pPr>
        <w:pStyle w:val="Prrafodelista"/>
        <w:spacing w:after="0" w:line="240" w:lineRule="auto"/>
        <w:ind w:left="1710"/>
        <w:jc w:val="both"/>
        <w:rPr>
          <w:rFonts w:ascii="Verdana" w:hAnsi="Verdana" w:cs="Futura Bk BT"/>
          <w:color w:val="548DD4" w:themeColor="text2" w:themeTint="99"/>
          <w:sz w:val="28"/>
        </w:rPr>
      </w:pPr>
    </w:p>
    <w:p w:rsidR="00D11249" w:rsidRDefault="00D11249" w:rsidP="004A4C17">
      <w:pPr>
        <w:pStyle w:val="Prrafodelista"/>
        <w:spacing w:after="0" w:line="240" w:lineRule="auto"/>
        <w:ind w:left="1710"/>
        <w:jc w:val="both"/>
        <w:rPr>
          <w:rFonts w:ascii="Verdana" w:hAnsi="Verdana" w:cs="Futura Bk BT"/>
          <w:color w:val="548DD4" w:themeColor="text2" w:themeTint="99"/>
          <w:sz w:val="28"/>
        </w:rPr>
      </w:pPr>
    </w:p>
    <w:p w:rsidR="00D11249" w:rsidRDefault="00D11249" w:rsidP="004A4C17">
      <w:pPr>
        <w:pStyle w:val="Prrafodelista"/>
        <w:spacing w:after="0" w:line="240" w:lineRule="auto"/>
        <w:ind w:left="1710"/>
        <w:jc w:val="both"/>
        <w:rPr>
          <w:rFonts w:ascii="Verdana" w:hAnsi="Verdana" w:cs="Futura Bk BT"/>
          <w:color w:val="548DD4" w:themeColor="text2" w:themeTint="99"/>
          <w:sz w:val="28"/>
        </w:rPr>
      </w:pPr>
    </w:p>
    <w:p w:rsidR="00D11249" w:rsidRDefault="00D11249" w:rsidP="004A4C17">
      <w:pPr>
        <w:pStyle w:val="Prrafodelista"/>
        <w:spacing w:after="0" w:line="240" w:lineRule="auto"/>
        <w:ind w:left="1710"/>
        <w:jc w:val="both"/>
        <w:rPr>
          <w:rFonts w:ascii="Verdana" w:hAnsi="Verdana" w:cs="Futura Bk BT"/>
          <w:color w:val="548DD4" w:themeColor="text2" w:themeTint="99"/>
          <w:sz w:val="28"/>
        </w:rPr>
      </w:pPr>
    </w:p>
    <w:p w:rsidR="00D11249" w:rsidRDefault="00624618" w:rsidP="004A4C17">
      <w:pPr>
        <w:pStyle w:val="Prrafodelista"/>
        <w:spacing w:after="0" w:line="240" w:lineRule="auto"/>
        <w:ind w:left="1710"/>
        <w:jc w:val="both"/>
        <w:rPr>
          <w:rFonts w:ascii="Verdana" w:hAnsi="Verdana" w:cs="Futura Bk BT"/>
          <w:color w:val="548DD4" w:themeColor="text2" w:themeTint="99"/>
          <w:sz w:val="28"/>
        </w:rPr>
      </w:pPr>
      <w:r>
        <w:rPr>
          <w:rFonts w:ascii="Verdana" w:hAnsi="Verdana" w:cs="Futura Bk BT"/>
          <w:noProof/>
          <w:color w:val="548DD4" w:themeColor="text2" w:themeTint="99"/>
          <w:sz w:val="28"/>
          <w:lang w:eastAsia="es-CO"/>
        </w:rPr>
        <w:drawing>
          <wp:anchor distT="0" distB="0" distL="114300" distR="114300" simplePos="0" relativeHeight="251742208" behindDoc="0" locked="0" layoutInCell="1" allowOverlap="1">
            <wp:simplePos x="0" y="0"/>
            <wp:positionH relativeFrom="column">
              <wp:posOffset>6322060</wp:posOffset>
            </wp:positionH>
            <wp:positionV relativeFrom="paragraph">
              <wp:posOffset>203200</wp:posOffset>
            </wp:positionV>
            <wp:extent cx="504825" cy="361950"/>
            <wp:effectExtent l="19050" t="0" r="0" b="0"/>
            <wp:wrapThrough wrapText="bothSides">
              <wp:wrapPolygon edited="0">
                <wp:start x="-815" y="0"/>
                <wp:lineTo x="-815" y="20463"/>
                <wp:lineTo x="21192" y="20463"/>
                <wp:lineTo x="21192" y="0"/>
                <wp:lineTo x="-815" y="0"/>
              </wp:wrapPolygon>
            </wp:wrapThrough>
            <wp:docPr id="82" name="Objeto 10">
              <a:hlinkClick xmlns:a="http://schemas.openxmlformats.org/drawingml/2006/main" r:id="rId75" tooltip="Ir a la pagina de CONTENIDO."/>
            </wp:docPr>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4056" cy="360040"/>
                      <a:chOff x="683568" y="5517232"/>
                      <a:chExt cx="504056" cy="360040"/>
                    </a:xfrm>
                  </a:grpSpPr>
                  <a:sp>
                    <a:nvSpPr>
                      <a:cNvPr id="36" name="35 Botón de acción: Inicio"/>
                      <a:cNvSpPr/>
                    </a:nvSpPr>
                    <a:spPr>
                      <a:xfrm>
                        <a:off x="683568" y="5517232"/>
                        <a:ext cx="504056" cy="360040"/>
                      </a:xfrm>
                      <a:prstGeom prst="actionButtonHome">
                        <a:avLst/>
                      </a:prstGeom>
                      <a:solidFill>
                        <a:schemeClr val="accent5">
                          <a:lumMod val="60000"/>
                          <a:lumOff val="40000"/>
                        </a:schemeClr>
                      </a:soli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D11249" w:rsidRDefault="00344E7A" w:rsidP="004A4C17">
      <w:pPr>
        <w:pStyle w:val="Prrafodelista"/>
        <w:spacing w:after="0" w:line="240" w:lineRule="auto"/>
        <w:ind w:left="1710"/>
        <w:jc w:val="both"/>
        <w:rPr>
          <w:rFonts w:ascii="Verdana" w:hAnsi="Verdana" w:cs="Futura Bk BT"/>
          <w:color w:val="548DD4" w:themeColor="text2" w:themeTint="99"/>
          <w:sz w:val="28"/>
        </w:rPr>
      </w:pPr>
      <w:r w:rsidRPr="00344E7A">
        <w:rPr>
          <w:rFonts w:ascii="Verdana" w:hAnsi="Verdana" w:cs="Futura Bk BT"/>
          <w:noProof/>
          <w:color w:val="548DD4" w:themeColor="text2" w:themeTint="99"/>
          <w:sz w:val="28"/>
          <w:lang w:eastAsia="es-CO"/>
        </w:rPr>
        <w:drawing>
          <wp:anchor distT="0" distB="0" distL="114300" distR="114300" simplePos="0" relativeHeight="251757568" behindDoc="0" locked="0" layoutInCell="1" allowOverlap="1">
            <wp:simplePos x="0" y="0"/>
            <wp:positionH relativeFrom="column">
              <wp:posOffset>-666750</wp:posOffset>
            </wp:positionH>
            <wp:positionV relativeFrom="paragraph">
              <wp:posOffset>-46355</wp:posOffset>
            </wp:positionV>
            <wp:extent cx="8312150" cy="8153400"/>
            <wp:effectExtent l="19050" t="0" r="0" b="0"/>
            <wp:wrapTopAndBottom/>
            <wp:docPr id="94" name="Imagen 15" descr="DSC_4155.jpg"/>
            <wp:cNvGraphicFramePr/>
            <a:graphic xmlns:a="http://schemas.openxmlformats.org/drawingml/2006/main">
              <a:graphicData uri="http://schemas.openxmlformats.org/drawingml/2006/picture">
                <pic:pic xmlns:pic="http://schemas.openxmlformats.org/drawingml/2006/picture">
                  <pic:nvPicPr>
                    <pic:cNvPr id="10" name="Imagen 1" descr="DSC_4155.jpg"/>
                    <pic:cNvPicPr>
                      <a:picLocks noChangeAspect="1"/>
                    </pic:cNvPicPr>
                  </pic:nvPicPr>
                  <pic:blipFill>
                    <a:blip r:embed="rId76" cstate="print"/>
                    <a:srcRect/>
                    <a:stretch>
                      <a:fillRect/>
                    </a:stretch>
                  </pic:blipFill>
                  <pic:spPr bwMode="auto">
                    <a:xfrm>
                      <a:off x="0" y="0"/>
                      <a:ext cx="8306435" cy="8153400"/>
                    </a:xfrm>
                    <a:prstGeom prst="rect">
                      <a:avLst/>
                    </a:prstGeom>
                    <a:noFill/>
                    <a:ln w="9525">
                      <a:noFill/>
                      <a:miter lim="800000"/>
                      <a:headEnd/>
                      <a:tailEnd/>
                    </a:ln>
                  </pic:spPr>
                </pic:pic>
              </a:graphicData>
            </a:graphic>
          </wp:anchor>
        </w:drawing>
      </w:r>
    </w:p>
    <w:p w:rsidR="00AB08E1" w:rsidRPr="00344E7A" w:rsidRDefault="00AB08E1" w:rsidP="00AB08E1">
      <w:pPr>
        <w:spacing w:after="0" w:line="240" w:lineRule="auto"/>
        <w:jc w:val="both"/>
        <w:rPr>
          <w:rFonts w:ascii="Verdana" w:hAnsi="Verdana"/>
          <w:b/>
          <w:color w:val="4F81BD" w:themeColor="accent1"/>
          <w:sz w:val="28"/>
          <w:szCs w:val="24"/>
        </w:rPr>
      </w:pPr>
      <w:r w:rsidRPr="00344E7A">
        <w:rPr>
          <w:rFonts w:ascii="Verdana" w:hAnsi="Verdana"/>
          <w:b/>
          <w:noProof/>
          <w:color w:val="4F81BD" w:themeColor="accent1"/>
          <w:sz w:val="24"/>
          <w:szCs w:val="24"/>
          <w:lang w:eastAsia="es-CO"/>
        </w:rPr>
        <w:drawing>
          <wp:inline distT="0" distB="0" distL="0" distR="0">
            <wp:extent cx="216024" cy="216024"/>
            <wp:effectExtent l="19050" t="0" r="0" b="0"/>
            <wp:docPr id="55" name="Objeto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7884368" y="2996952"/>
                      <a:chExt cx="216024" cy="216024"/>
                    </a:xfrm>
                  </a:grpSpPr>
                  <a:sp>
                    <a:nvSpPr>
                      <a:cNvPr id="40" name="39 Rectángulo redondeado"/>
                      <a:cNvSpPr/>
                    </a:nvSpPr>
                    <a:spPr>
                      <a:xfrm>
                        <a:off x="7884368" y="2996952"/>
                        <a:ext cx="216024" cy="216024"/>
                      </a:xfrm>
                      <a:prstGeom prst="roundRect">
                        <a:avLst/>
                      </a:prstGeom>
                      <a:solidFill>
                        <a:schemeClr val="tx2">
                          <a:lumMod val="75000"/>
                        </a:schemeClr>
                      </a:soli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hAnsi="Verdana"/>
          <w:b/>
          <w:color w:val="4F81BD" w:themeColor="accent1"/>
          <w:sz w:val="24"/>
          <w:szCs w:val="24"/>
        </w:rPr>
        <w:t xml:space="preserve">  </w:t>
      </w:r>
      <w:r w:rsidRPr="00344E7A">
        <w:rPr>
          <w:rFonts w:ascii="Verdana" w:hAnsi="Verdana"/>
          <w:b/>
          <w:color w:val="4F81BD" w:themeColor="accent1"/>
          <w:sz w:val="28"/>
          <w:szCs w:val="24"/>
        </w:rPr>
        <w:t>PRESUPUESTO</w:t>
      </w:r>
      <w:r w:rsidRPr="00344E7A">
        <w:rPr>
          <w:rFonts w:ascii="Verdana" w:hAnsi="Verdana"/>
          <w:b/>
          <w:color w:val="4F81BD" w:themeColor="accent1"/>
          <w:sz w:val="28"/>
          <w:szCs w:val="24"/>
        </w:rPr>
        <w:tab/>
      </w:r>
    </w:p>
    <w:p w:rsidR="00AB08E1" w:rsidRPr="005D64F6" w:rsidRDefault="00AB08E1" w:rsidP="00AB08E1">
      <w:pPr>
        <w:spacing w:after="0" w:line="240" w:lineRule="auto"/>
        <w:jc w:val="both"/>
        <w:rPr>
          <w:rFonts w:ascii="Verdana" w:hAnsi="Verdana"/>
          <w:sz w:val="24"/>
          <w:szCs w:val="24"/>
        </w:rPr>
      </w:pPr>
    </w:p>
    <w:p w:rsidR="00AB08E1" w:rsidRPr="00344E7A" w:rsidRDefault="00AB08E1" w:rsidP="00AB08E1">
      <w:pPr>
        <w:spacing w:after="0" w:line="240" w:lineRule="auto"/>
        <w:jc w:val="both"/>
        <w:rPr>
          <w:rFonts w:ascii="Verdana" w:hAnsi="Verdana" w:cs="Arial"/>
          <w:b/>
          <w:color w:val="4F81BD" w:themeColor="accent1"/>
          <w:sz w:val="24"/>
          <w:szCs w:val="24"/>
        </w:rPr>
      </w:pPr>
      <w:r w:rsidRPr="00344E7A">
        <w:rPr>
          <w:rFonts w:ascii="Verdana" w:hAnsi="Verdana" w:cs="Arial"/>
          <w:b/>
          <w:color w:val="4F81BD" w:themeColor="accent1"/>
          <w:sz w:val="24"/>
          <w:szCs w:val="24"/>
        </w:rPr>
        <w:t>Apropiación Presupuestal</w:t>
      </w:r>
    </w:p>
    <w:p w:rsidR="00AB08E1" w:rsidRPr="00344E7A" w:rsidRDefault="00AB08E1" w:rsidP="00AB08E1">
      <w:pPr>
        <w:spacing w:after="0" w:line="240" w:lineRule="auto"/>
        <w:jc w:val="both"/>
        <w:rPr>
          <w:rFonts w:ascii="Verdana" w:hAnsi="Verdana" w:cs="Arial"/>
          <w:color w:val="4F81BD" w:themeColor="accent1"/>
          <w:sz w:val="24"/>
          <w:szCs w:val="24"/>
        </w:rPr>
      </w:pPr>
    </w:p>
    <w:p w:rsidR="00AB08E1" w:rsidRPr="00344E7A" w:rsidRDefault="00AB08E1" w:rsidP="00AB08E1">
      <w:pPr>
        <w:spacing w:after="0" w:line="240" w:lineRule="auto"/>
        <w:jc w:val="both"/>
        <w:rPr>
          <w:rFonts w:ascii="Verdana" w:hAnsi="Verdana" w:cs="Arial"/>
          <w:b/>
          <w:color w:val="4F81BD" w:themeColor="accent1"/>
          <w:sz w:val="24"/>
          <w:szCs w:val="24"/>
        </w:rPr>
      </w:pPr>
      <w:r w:rsidRPr="00344E7A">
        <w:rPr>
          <w:rFonts w:ascii="Verdana" w:hAnsi="Verdana" w:cs="Arial"/>
          <w:b/>
          <w:color w:val="4F81BD" w:themeColor="accent1"/>
          <w:sz w:val="24"/>
          <w:szCs w:val="24"/>
        </w:rPr>
        <w:t>Composición del Gasto por Rubros</w:t>
      </w:r>
    </w:p>
    <w:p w:rsidR="00AB08E1" w:rsidRPr="005D64F6" w:rsidRDefault="00AB08E1" w:rsidP="00AB08E1">
      <w:pPr>
        <w:spacing w:after="0" w:line="240" w:lineRule="auto"/>
        <w:jc w:val="both"/>
        <w:rPr>
          <w:rFonts w:ascii="Verdana" w:hAnsi="Verdana" w:cs="Arial"/>
          <w:sz w:val="24"/>
          <w:szCs w:val="24"/>
        </w:rPr>
      </w:pPr>
    </w:p>
    <w:p w:rsidR="00AB08E1" w:rsidRPr="005D64F6" w:rsidRDefault="00AB08E1" w:rsidP="00AB08E1">
      <w:pPr>
        <w:spacing w:after="0" w:line="240" w:lineRule="auto"/>
        <w:jc w:val="both"/>
        <w:rPr>
          <w:rFonts w:ascii="Verdana" w:hAnsi="Verdana" w:cs="Arial"/>
          <w:sz w:val="24"/>
          <w:szCs w:val="24"/>
        </w:rPr>
      </w:pPr>
      <w:r w:rsidRPr="005D64F6">
        <w:rPr>
          <w:rFonts w:ascii="Verdana" w:hAnsi="Verdana" w:cs="Arial"/>
          <w:sz w:val="24"/>
          <w:szCs w:val="24"/>
        </w:rPr>
        <w:t xml:space="preserve">Para el 2014 el Instituto Colombiano de Bienestar Familiar (ICBF), contó con una apropiación final de $4,6 billones, la cual está compuesta por el rubro de funcionamiento que representa el 6,9%, y principalmente por el rubro de Inversión que equivale a $4,3 millones representado el 93,1%. </w:t>
      </w:r>
    </w:p>
    <w:p w:rsidR="00AB08E1" w:rsidRDefault="00AB08E1" w:rsidP="00AB08E1">
      <w:pPr>
        <w:spacing w:after="0" w:line="240" w:lineRule="auto"/>
        <w:jc w:val="center"/>
        <w:rPr>
          <w:rFonts w:ascii="Verdana" w:hAnsi="Verdana" w:cs="Arial"/>
          <w:b/>
        </w:rPr>
      </w:pPr>
    </w:p>
    <w:p w:rsidR="00AB08E1" w:rsidRDefault="00AB08E1" w:rsidP="00AB08E1">
      <w:pPr>
        <w:spacing w:after="0" w:line="240" w:lineRule="auto"/>
        <w:jc w:val="center"/>
        <w:rPr>
          <w:rFonts w:ascii="Verdana" w:hAnsi="Verdana" w:cs="Arial"/>
          <w:b/>
        </w:rPr>
      </w:pPr>
    </w:p>
    <w:p w:rsidR="00AB08E1" w:rsidRPr="00D645DC" w:rsidRDefault="00AB08E1" w:rsidP="00AB08E1">
      <w:pPr>
        <w:spacing w:after="0" w:line="240" w:lineRule="auto"/>
        <w:jc w:val="center"/>
        <w:rPr>
          <w:rFonts w:ascii="Verdana" w:hAnsi="Verdana" w:cs="Arial"/>
          <w:b/>
          <w:color w:val="1F497D" w:themeColor="text2"/>
        </w:rPr>
      </w:pPr>
      <w:r w:rsidRPr="00D645DC">
        <w:rPr>
          <w:rFonts w:ascii="Verdana" w:hAnsi="Verdana" w:cs="Arial"/>
          <w:b/>
          <w:color w:val="1F497D" w:themeColor="text2"/>
        </w:rPr>
        <w:t>Composición del Gasto por Rubros 2014</w:t>
      </w:r>
    </w:p>
    <w:p w:rsidR="00AB08E1" w:rsidRPr="00D645DC" w:rsidRDefault="00AB08E1" w:rsidP="00AB08E1">
      <w:pPr>
        <w:spacing w:after="0" w:line="240" w:lineRule="auto"/>
        <w:jc w:val="center"/>
        <w:rPr>
          <w:rFonts w:ascii="Verdana" w:hAnsi="Verdana" w:cs="Arial"/>
          <w:color w:val="1F497D" w:themeColor="text2"/>
          <w:sz w:val="16"/>
        </w:rPr>
      </w:pPr>
    </w:p>
    <w:p w:rsidR="00AB08E1" w:rsidRPr="00B16826" w:rsidRDefault="00AB08E1" w:rsidP="00AB08E1">
      <w:pPr>
        <w:spacing w:after="0" w:line="240" w:lineRule="auto"/>
        <w:jc w:val="center"/>
        <w:rPr>
          <w:rFonts w:ascii="Verdana" w:hAnsi="Verdana" w:cs="Arial"/>
        </w:rPr>
      </w:pPr>
      <w:r w:rsidRPr="00B16826">
        <w:rPr>
          <w:rFonts w:ascii="Verdana" w:hAnsi="Verdana" w:cs="Arial"/>
          <w:noProof/>
          <w:lang w:eastAsia="es-CO"/>
        </w:rPr>
        <w:drawing>
          <wp:inline distT="0" distB="0" distL="0" distR="0">
            <wp:extent cx="4572000" cy="2743200"/>
            <wp:effectExtent l="0" t="0" r="0" b="0"/>
            <wp:docPr id="56"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AB08E1" w:rsidRPr="00B16826" w:rsidRDefault="00AB08E1" w:rsidP="00AB08E1">
      <w:pPr>
        <w:spacing w:after="0" w:line="240" w:lineRule="auto"/>
        <w:jc w:val="center"/>
        <w:rPr>
          <w:rFonts w:ascii="Verdana" w:hAnsi="Verdana" w:cs="Arial"/>
          <w:sz w:val="16"/>
        </w:rPr>
      </w:pPr>
      <w:r w:rsidRPr="00B16826">
        <w:rPr>
          <w:rFonts w:ascii="Verdana" w:hAnsi="Verdana" w:cs="Arial"/>
          <w:b/>
          <w:sz w:val="16"/>
        </w:rPr>
        <w:t>Fuente:</w:t>
      </w:r>
      <w:r w:rsidRPr="00B16826">
        <w:rPr>
          <w:rFonts w:ascii="Verdana" w:hAnsi="Verdana" w:cs="Arial"/>
          <w:sz w:val="16"/>
        </w:rPr>
        <w:t xml:space="preserve"> SIIF</w:t>
      </w:r>
    </w:p>
    <w:p w:rsidR="00AB08E1" w:rsidRPr="00946FB8" w:rsidRDefault="00AB08E1" w:rsidP="00AB08E1">
      <w:pPr>
        <w:spacing w:after="0" w:line="240" w:lineRule="auto"/>
        <w:jc w:val="right"/>
        <w:rPr>
          <w:rFonts w:ascii="Verdana" w:hAnsi="Verdana" w:cs="Arial"/>
          <w:sz w:val="18"/>
        </w:rPr>
      </w:pPr>
      <w:r w:rsidRPr="00946FB8">
        <w:rPr>
          <w:rFonts w:ascii="Verdana" w:hAnsi="Verdana" w:cs="Arial"/>
          <w:b/>
          <w:sz w:val="18"/>
        </w:rPr>
        <w:t>.</w:t>
      </w:r>
    </w:p>
    <w:p w:rsidR="00AB08E1" w:rsidRPr="005D64F6" w:rsidRDefault="00AB08E1" w:rsidP="00AB08E1">
      <w:pPr>
        <w:pStyle w:val="Ttulo3"/>
        <w:spacing w:before="0" w:line="240" w:lineRule="auto"/>
        <w:rPr>
          <w:rFonts w:ascii="Verdana" w:eastAsia="Calibri" w:hAnsi="Verdana" w:cs="Arial"/>
          <w:b w:val="0"/>
          <w:lang w:val="es-ES"/>
        </w:rPr>
      </w:pPr>
      <w:r w:rsidRPr="00344E7A">
        <w:rPr>
          <w:rFonts w:ascii="Verdana" w:eastAsia="Calibri" w:hAnsi="Verdana" w:cs="Arial"/>
          <w:color w:val="4F81BD" w:themeColor="accent1"/>
          <w:lang w:val="es-ES"/>
        </w:rPr>
        <w:t>Composición del gasto por fuente de financiación</w:t>
      </w:r>
      <w:r w:rsidRPr="005D64F6">
        <w:rPr>
          <w:rFonts w:ascii="Verdana" w:eastAsia="Calibri" w:hAnsi="Verdana" w:cs="Arial"/>
          <w:lang w:val="es-ES"/>
        </w:rPr>
        <w:t>.</w:t>
      </w:r>
    </w:p>
    <w:p w:rsidR="00AB08E1" w:rsidRPr="005D64F6" w:rsidRDefault="00AB08E1" w:rsidP="00AB08E1">
      <w:pPr>
        <w:spacing w:after="0" w:line="240" w:lineRule="auto"/>
        <w:jc w:val="both"/>
        <w:rPr>
          <w:rFonts w:ascii="Verdana" w:hAnsi="Verdana" w:cs="Arial"/>
          <w:sz w:val="24"/>
          <w:szCs w:val="24"/>
          <w:lang w:val="es-ES"/>
        </w:rPr>
      </w:pPr>
    </w:p>
    <w:p w:rsidR="00AB08E1" w:rsidRPr="005D64F6" w:rsidRDefault="00AB08E1" w:rsidP="00AB08E1">
      <w:pPr>
        <w:spacing w:after="0" w:line="240" w:lineRule="auto"/>
        <w:jc w:val="both"/>
        <w:rPr>
          <w:rFonts w:ascii="Verdana" w:hAnsi="Verdana" w:cs="Arial"/>
          <w:sz w:val="24"/>
          <w:szCs w:val="24"/>
        </w:rPr>
      </w:pPr>
      <w:r w:rsidRPr="005D64F6">
        <w:rPr>
          <w:rFonts w:ascii="Verdana" w:hAnsi="Verdana" w:cs="Arial"/>
          <w:sz w:val="24"/>
          <w:szCs w:val="24"/>
        </w:rPr>
        <w:t xml:space="preserve">El presupuesto de la entidad está conformado con el 67,3% por recursos de la Nación, lo que corresponde a más de $3.1 billones, y con el 32,7% con recursos propios, los cuales sumaron más de $1.5 billones. </w:t>
      </w:r>
    </w:p>
    <w:p w:rsidR="00AB08E1" w:rsidRPr="005D64F6" w:rsidRDefault="00AB08E1" w:rsidP="00AB08E1">
      <w:pPr>
        <w:spacing w:after="0" w:line="240" w:lineRule="auto"/>
        <w:jc w:val="both"/>
        <w:rPr>
          <w:rFonts w:ascii="Verdana" w:hAnsi="Verdana" w:cs="Arial"/>
          <w:sz w:val="24"/>
          <w:szCs w:val="24"/>
        </w:rPr>
      </w:pPr>
    </w:p>
    <w:p w:rsidR="00AB08E1" w:rsidRPr="005D64F6" w:rsidRDefault="00AB08E1" w:rsidP="00AB08E1">
      <w:pPr>
        <w:spacing w:after="0" w:line="240" w:lineRule="auto"/>
        <w:jc w:val="both"/>
        <w:rPr>
          <w:rFonts w:ascii="Verdana" w:hAnsi="Verdana" w:cs="Arial"/>
          <w:sz w:val="24"/>
          <w:szCs w:val="24"/>
        </w:rPr>
      </w:pPr>
      <w:r w:rsidRPr="005D64F6">
        <w:rPr>
          <w:rFonts w:ascii="Verdana" w:hAnsi="Verdana" w:cs="Arial"/>
          <w:sz w:val="24"/>
          <w:szCs w:val="24"/>
        </w:rPr>
        <w:t xml:space="preserve">Los recursos de la Nación en su mayor proporción se concentran en los recursos provenientes del CREE (impuesto sobre la renta para la equidad), el cual es un impuesto que sustituyó parte los recursos provenientes de las contribuciones parafiscales que habitualmente financiaban el presupuesto del ICBF. En la vigencia 2014 los recursos del CREE representan el 53,6% de la financiación total del presupuesto del ICBF. En cuanto a los recursos propios, se continúa financiando parte del presupuesto con recursos provenientes de fuentes parafiscales. Cerca del 76,6% de los recursos propios del ICBF corresponden a la fuente de financiación de parafiscales. </w:t>
      </w:r>
    </w:p>
    <w:p w:rsidR="00AB08E1" w:rsidRPr="005D64F6" w:rsidRDefault="00AB08E1" w:rsidP="00AB08E1">
      <w:pPr>
        <w:spacing w:after="0" w:line="240" w:lineRule="auto"/>
        <w:jc w:val="both"/>
        <w:rPr>
          <w:rFonts w:ascii="Verdana" w:hAnsi="Verdana" w:cs="Arial"/>
          <w:sz w:val="24"/>
          <w:szCs w:val="24"/>
        </w:rPr>
      </w:pPr>
    </w:p>
    <w:p w:rsidR="00AB08E1" w:rsidRPr="00946FB8" w:rsidRDefault="00AB08E1" w:rsidP="00AB08E1">
      <w:pPr>
        <w:spacing w:after="0" w:line="240" w:lineRule="auto"/>
        <w:jc w:val="center"/>
        <w:rPr>
          <w:rFonts w:ascii="Verdana" w:hAnsi="Verdana" w:cs="Arial"/>
          <w:b/>
          <w:color w:val="1F497D" w:themeColor="text2"/>
          <w:sz w:val="24"/>
        </w:rPr>
      </w:pPr>
      <w:r w:rsidRPr="00946FB8">
        <w:rPr>
          <w:rFonts w:ascii="Verdana" w:hAnsi="Verdana" w:cs="Arial"/>
          <w:b/>
          <w:sz w:val="24"/>
        </w:rPr>
        <w:t xml:space="preserve"> </w:t>
      </w:r>
      <w:r w:rsidRPr="00946FB8">
        <w:rPr>
          <w:rFonts w:ascii="Verdana" w:hAnsi="Verdana" w:cs="Arial"/>
          <w:b/>
          <w:color w:val="1F497D" w:themeColor="text2"/>
          <w:sz w:val="24"/>
        </w:rPr>
        <w:t>Composición del gasto por fuente de financiación</w:t>
      </w:r>
    </w:p>
    <w:p w:rsidR="00AB08E1" w:rsidRPr="00B16826" w:rsidRDefault="00AB08E1" w:rsidP="00AB08E1">
      <w:pPr>
        <w:spacing w:after="0" w:line="240" w:lineRule="auto"/>
        <w:rPr>
          <w:rFonts w:ascii="Verdana" w:hAnsi="Verdana" w:cs="Arial"/>
        </w:rPr>
      </w:pPr>
      <w:r w:rsidRPr="00B16826">
        <w:rPr>
          <w:rFonts w:ascii="Verdana" w:hAnsi="Verdana" w:cs="Arial"/>
          <w:noProof/>
          <w:lang w:eastAsia="es-CO"/>
        </w:rPr>
        <w:drawing>
          <wp:anchor distT="0" distB="0" distL="114300" distR="114300" simplePos="0" relativeHeight="251768832" behindDoc="0" locked="0" layoutInCell="1" allowOverlap="1">
            <wp:simplePos x="0" y="0"/>
            <wp:positionH relativeFrom="column">
              <wp:posOffset>1260726</wp:posOffset>
            </wp:positionH>
            <wp:positionV relativeFrom="paragraph">
              <wp:posOffset>138224</wp:posOffset>
            </wp:positionV>
            <wp:extent cx="3247696" cy="1513490"/>
            <wp:effectExtent l="0" t="0" r="0" b="0"/>
            <wp:wrapSquare wrapText="bothSides"/>
            <wp:docPr id="486"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r w:rsidRPr="00B16826">
        <w:rPr>
          <w:rFonts w:ascii="Verdana" w:hAnsi="Verdana" w:cs="Arial"/>
        </w:rPr>
        <w:br w:type="textWrapping" w:clear="all"/>
      </w:r>
    </w:p>
    <w:p w:rsidR="00AB08E1" w:rsidRPr="00946FB8" w:rsidRDefault="00AB08E1" w:rsidP="00AB08E1">
      <w:pPr>
        <w:spacing w:after="0" w:line="240" w:lineRule="auto"/>
        <w:jc w:val="center"/>
        <w:rPr>
          <w:rFonts w:ascii="Verdana" w:hAnsi="Verdana" w:cs="Arial"/>
          <w:sz w:val="28"/>
        </w:rPr>
      </w:pPr>
      <w:r w:rsidRPr="00946FB8">
        <w:rPr>
          <w:rFonts w:ascii="Verdana" w:hAnsi="Verdana" w:cs="Arial"/>
          <w:b/>
          <w:sz w:val="20"/>
        </w:rPr>
        <w:t>Fuente:</w:t>
      </w:r>
      <w:r w:rsidRPr="00946FB8">
        <w:rPr>
          <w:rFonts w:ascii="Verdana" w:hAnsi="Verdana" w:cs="Arial"/>
          <w:sz w:val="20"/>
        </w:rPr>
        <w:t xml:space="preserve"> SIIF. Cálculos Dirección de Planeación y Control de Gestión</w:t>
      </w:r>
    </w:p>
    <w:p w:rsidR="00AB08E1" w:rsidRPr="00D645DC" w:rsidRDefault="00AB08E1" w:rsidP="00AB08E1">
      <w:pPr>
        <w:pStyle w:val="Ttulo3"/>
        <w:spacing w:before="0" w:line="240" w:lineRule="auto"/>
        <w:rPr>
          <w:rFonts w:ascii="Verdana" w:hAnsi="Verdana" w:cs="Arial"/>
          <w:color w:val="4F81BD" w:themeColor="accent1"/>
          <w:sz w:val="22"/>
          <w:szCs w:val="22"/>
        </w:rPr>
      </w:pPr>
    </w:p>
    <w:p w:rsidR="00AB08E1" w:rsidRPr="00D645DC" w:rsidRDefault="00AB08E1" w:rsidP="00AB08E1">
      <w:pPr>
        <w:pStyle w:val="Ttulo3"/>
        <w:spacing w:before="0" w:line="240" w:lineRule="auto"/>
        <w:rPr>
          <w:rFonts w:ascii="Verdana" w:eastAsia="Calibri" w:hAnsi="Verdana" w:cs="Arial"/>
          <w:b w:val="0"/>
          <w:color w:val="4F81BD" w:themeColor="accent1"/>
          <w:lang w:val="es-ES"/>
        </w:rPr>
      </w:pPr>
      <w:r w:rsidRPr="00D645DC">
        <w:rPr>
          <w:rFonts w:ascii="Verdana" w:eastAsia="Calibri" w:hAnsi="Verdana" w:cs="Arial"/>
          <w:color w:val="4F81BD" w:themeColor="accent1"/>
          <w:lang w:val="es-ES"/>
        </w:rPr>
        <w:t>Composición del gasto por responsable.</w:t>
      </w:r>
    </w:p>
    <w:p w:rsidR="00AB08E1" w:rsidRPr="005D64F6" w:rsidRDefault="00AB08E1" w:rsidP="00AB08E1">
      <w:pPr>
        <w:spacing w:after="0" w:line="240" w:lineRule="auto"/>
        <w:rPr>
          <w:rFonts w:ascii="Verdana" w:hAnsi="Verdana" w:cs="Arial"/>
          <w:sz w:val="24"/>
          <w:szCs w:val="24"/>
        </w:rPr>
      </w:pPr>
    </w:p>
    <w:p w:rsidR="00AB08E1" w:rsidRPr="005D64F6" w:rsidRDefault="00AB08E1" w:rsidP="00AB08E1">
      <w:pPr>
        <w:spacing w:after="0" w:line="240" w:lineRule="auto"/>
        <w:jc w:val="both"/>
        <w:rPr>
          <w:rFonts w:ascii="Verdana" w:hAnsi="Verdana" w:cs="Arial"/>
          <w:sz w:val="24"/>
          <w:szCs w:val="24"/>
        </w:rPr>
      </w:pPr>
      <w:r w:rsidRPr="005D64F6">
        <w:rPr>
          <w:rFonts w:ascii="Verdana" w:hAnsi="Verdana" w:cs="Arial"/>
          <w:sz w:val="24"/>
          <w:szCs w:val="24"/>
        </w:rPr>
        <w:t xml:space="preserve">Como se observa </w:t>
      </w:r>
      <w:r>
        <w:rPr>
          <w:rFonts w:ascii="Verdana" w:hAnsi="Verdana" w:cs="Arial"/>
          <w:sz w:val="24"/>
          <w:szCs w:val="24"/>
        </w:rPr>
        <w:t>en la</w:t>
      </w:r>
      <w:r w:rsidRPr="005D64F6">
        <w:rPr>
          <w:rFonts w:ascii="Verdana" w:hAnsi="Verdana" w:cs="Arial"/>
          <w:sz w:val="24"/>
          <w:szCs w:val="24"/>
        </w:rPr>
        <w:t xml:space="preserve"> </w:t>
      </w:r>
      <w:r>
        <w:rPr>
          <w:rFonts w:ascii="Verdana" w:hAnsi="Verdana" w:cs="Arial"/>
          <w:sz w:val="24"/>
          <w:szCs w:val="24"/>
        </w:rPr>
        <w:t>t</w:t>
      </w:r>
      <w:r w:rsidRPr="00563941">
        <w:rPr>
          <w:rFonts w:ascii="Verdana" w:hAnsi="Verdana" w:cs="Arial"/>
          <w:sz w:val="24"/>
          <w:szCs w:val="24"/>
        </w:rPr>
        <w:t>abla siguiente</w:t>
      </w:r>
      <w:r>
        <w:rPr>
          <w:rFonts w:ascii="Verdana" w:hAnsi="Verdana" w:cs="Arial"/>
          <w:sz w:val="24"/>
          <w:szCs w:val="24"/>
        </w:rPr>
        <w:t xml:space="preserve">, Primera </w:t>
      </w:r>
      <w:r w:rsidRPr="005D64F6">
        <w:rPr>
          <w:rFonts w:ascii="Verdana" w:hAnsi="Verdana" w:cs="Arial"/>
          <w:sz w:val="24"/>
          <w:szCs w:val="24"/>
        </w:rPr>
        <w:t xml:space="preserve">Infancia es el programa misional con mayor participación en el presupuesto del ICBF con el 57,7%, es decir $5.67 billones. Lo anterior en consecuencia con las necesidades, la importancia y el alto retorno social que tiene la inversión orientada a los niños menores de 6 años de edad. </w:t>
      </w:r>
    </w:p>
    <w:p w:rsidR="00AB08E1" w:rsidRPr="005D64F6" w:rsidRDefault="00AB08E1" w:rsidP="00AB08E1">
      <w:pPr>
        <w:spacing w:after="0" w:line="240" w:lineRule="auto"/>
        <w:jc w:val="both"/>
        <w:rPr>
          <w:rFonts w:ascii="Verdana" w:hAnsi="Verdana" w:cs="Arial"/>
          <w:sz w:val="24"/>
          <w:szCs w:val="24"/>
        </w:rPr>
      </w:pPr>
    </w:p>
    <w:p w:rsidR="00AB08E1" w:rsidRPr="005D64F6" w:rsidRDefault="00AB08E1" w:rsidP="00AB08E1">
      <w:pPr>
        <w:spacing w:after="0" w:line="240" w:lineRule="auto"/>
        <w:jc w:val="both"/>
        <w:rPr>
          <w:rFonts w:ascii="Verdana" w:hAnsi="Verdana" w:cs="Arial"/>
          <w:sz w:val="24"/>
          <w:szCs w:val="24"/>
        </w:rPr>
      </w:pPr>
      <w:r w:rsidRPr="005D64F6">
        <w:rPr>
          <w:rFonts w:ascii="Verdana" w:hAnsi="Verdana" w:cs="Arial"/>
          <w:sz w:val="24"/>
          <w:szCs w:val="24"/>
        </w:rPr>
        <w:t xml:space="preserve">En segundo lugar con $578.677 millones asignados, los cuales representan el 12,5% de la apropiación total de ICBF, se ubican los programas de Protección. Su participación presupuestal radica en el cumplimiento de la perspectiva de derechos humanos para lo cual se asume enfoques diferenciales de género, etnia, grupos etarios, espacios territoriales y de discapacidad. </w:t>
      </w:r>
    </w:p>
    <w:p w:rsidR="00AB08E1" w:rsidRPr="005D64F6" w:rsidRDefault="00AB08E1" w:rsidP="00AB08E1">
      <w:pPr>
        <w:spacing w:after="0" w:line="240" w:lineRule="auto"/>
        <w:jc w:val="center"/>
        <w:rPr>
          <w:rFonts w:ascii="Verdana" w:hAnsi="Verdana" w:cs="Arial"/>
          <w:sz w:val="24"/>
          <w:szCs w:val="24"/>
        </w:rPr>
      </w:pPr>
    </w:p>
    <w:p w:rsidR="00AB08E1" w:rsidRDefault="00AB08E1" w:rsidP="00AB08E1">
      <w:pPr>
        <w:rPr>
          <w:rFonts w:ascii="Verdana" w:hAnsi="Verdana" w:cs="Arial"/>
          <w:b/>
        </w:rPr>
      </w:pPr>
    </w:p>
    <w:p w:rsidR="00AB08E1" w:rsidRPr="00D645DC" w:rsidRDefault="00AB08E1" w:rsidP="00AB08E1">
      <w:pPr>
        <w:spacing w:after="0" w:line="240" w:lineRule="auto"/>
        <w:jc w:val="center"/>
        <w:rPr>
          <w:rFonts w:ascii="Verdana" w:hAnsi="Verdana" w:cs="Arial"/>
          <w:b/>
          <w:color w:val="1F497D" w:themeColor="text2"/>
        </w:rPr>
      </w:pPr>
      <w:r w:rsidRPr="00D645DC">
        <w:rPr>
          <w:rFonts w:ascii="Verdana" w:hAnsi="Verdana" w:cs="Arial"/>
          <w:b/>
          <w:color w:val="1F497D" w:themeColor="text2"/>
        </w:rPr>
        <w:t>Composición del gasto por responsable ICBF 2014</w:t>
      </w:r>
    </w:p>
    <w:p w:rsidR="00AB08E1" w:rsidRPr="00B16826" w:rsidRDefault="00AB08E1" w:rsidP="00AB08E1">
      <w:pPr>
        <w:spacing w:after="0" w:line="240" w:lineRule="auto"/>
        <w:jc w:val="center"/>
        <w:rPr>
          <w:rFonts w:ascii="Verdana" w:hAnsi="Verdana" w:cs="Arial"/>
          <w:sz w:val="16"/>
        </w:rPr>
      </w:pPr>
      <w:r w:rsidRPr="00B16826">
        <w:rPr>
          <w:rFonts w:ascii="Verdana" w:hAnsi="Verdana" w:cs="Arial"/>
          <w:sz w:val="16"/>
        </w:rPr>
        <w:t>Cifras en millones de $</w:t>
      </w:r>
    </w:p>
    <w:p w:rsidR="00AB08E1" w:rsidRPr="00B16826" w:rsidRDefault="00AB08E1" w:rsidP="00AB08E1">
      <w:pPr>
        <w:spacing w:after="0" w:line="240" w:lineRule="auto"/>
        <w:jc w:val="center"/>
        <w:rPr>
          <w:rFonts w:ascii="Verdana" w:hAnsi="Verdana" w:cs="Arial"/>
          <w:sz w:val="16"/>
        </w:rPr>
      </w:pPr>
    </w:p>
    <w:p w:rsidR="00AB08E1" w:rsidRDefault="00AB08E1" w:rsidP="00AB08E1">
      <w:pPr>
        <w:spacing w:after="0" w:line="240" w:lineRule="auto"/>
        <w:jc w:val="both"/>
        <w:rPr>
          <w:rFonts w:ascii="Verdana" w:hAnsi="Verdana" w:cs="Arial"/>
          <w:sz w:val="24"/>
          <w:szCs w:val="24"/>
        </w:rPr>
      </w:pPr>
    </w:p>
    <w:tbl>
      <w:tblPr>
        <w:tblW w:w="10275" w:type="dxa"/>
        <w:tblCellMar>
          <w:left w:w="0" w:type="dxa"/>
          <w:right w:w="0" w:type="dxa"/>
        </w:tblCellMar>
        <w:tblLook w:val="04A0"/>
      </w:tblPr>
      <w:tblGrid>
        <w:gridCol w:w="5120"/>
        <w:gridCol w:w="2464"/>
        <w:gridCol w:w="2691"/>
      </w:tblGrid>
      <w:tr w:rsidR="00AB08E1" w:rsidRPr="00D645DC" w:rsidTr="00F33CF6">
        <w:trPr>
          <w:trHeight w:val="478"/>
        </w:trPr>
        <w:tc>
          <w:tcPr>
            <w:tcW w:w="5120" w:type="dxa"/>
            <w:tcBorders>
              <w:top w:val="nil"/>
              <w:left w:val="nil"/>
              <w:bottom w:val="single" w:sz="12" w:space="0" w:color="FFFFFF"/>
              <w:right w:val="single" w:sz="4" w:space="0" w:color="FFFFFF"/>
            </w:tcBorders>
            <w:shd w:val="clear" w:color="auto" w:fill="4F81BD"/>
            <w:tcMar>
              <w:top w:w="14" w:type="dxa"/>
              <w:left w:w="14" w:type="dxa"/>
              <w:bottom w:w="0" w:type="dxa"/>
              <w:right w:w="14" w:type="dxa"/>
            </w:tcMar>
            <w:vAlign w:val="cente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b/>
                <w:bCs/>
                <w:sz w:val="24"/>
                <w:szCs w:val="24"/>
              </w:rPr>
              <w:t>Responsable</w:t>
            </w:r>
          </w:p>
        </w:tc>
        <w:tc>
          <w:tcPr>
            <w:tcW w:w="2464" w:type="dxa"/>
            <w:tcBorders>
              <w:top w:val="nil"/>
              <w:left w:val="single" w:sz="4" w:space="0" w:color="FFFFFF"/>
              <w:bottom w:val="single" w:sz="12" w:space="0" w:color="FFFFFF"/>
              <w:right w:val="single" w:sz="4" w:space="0" w:color="FFFFFF"/>
            </w:tcBorders>
            <w:shd w:val="clear" w:color="auto" w:fill="4F81BD"/>
            <w:tcMar>
              <w:top w:w="14" w:type="dxa"/>
              <w:left w:w="14" w:type="dxa"/>
              <w:bottom w:w="0" w:type="dxa"/>
              <w:right w:w="14" w:type="dxa"/>
            </w:tcMar>
            <w:vAlign w:val="cente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b/>
                <w:bCs/>
                <w:sz w:val="24"/>
                <w:szCs w:val="24"/>
              </w:rPr>
              <w:t>Apropiación</w:t>
            </w:r>
          </w:p>
        </w:tc>
        <w:tc>
          <w:tcPr>
            <w:tcW w:w="2691" w:type="dxa"/>
            <w:tcBorders>
              <w:top w:val="nil"/>
              <w:left w:val="single" w:sz="4" w:space="0" w:color="FFFFFF"/>
              <w:bottom w:val="single" w:sz="12" w:space="0" w:color="FFFFFF"/>
              <w:right w:val="single" w:sz="4" w:space="0" w:color="FFFFFF"/>
            </w:tcBorders>
            <w:shd w:val="clear" w:color="auto" w:fill="4F81BD"/>
            <w:tcMar>
              <w:top w:w="14" w:type="dxa"/>
              <w:left w:w="14" w:type="dxa"/>
              <w:bottom w:w="0" w:type="dxa"/>
              <w:right w:w="14" w:type="dxa"/>
            </w:tcMar>
            <w:vAlign w:val="cente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b/>
                <w:bCs/>
                <w:sz w:val="24"/>
                <w:szCs w:val="24"/>
              </w:rPr>
              <w:t>% Participación</w:t>
            </w:r>
          </w:p>
        </w:tc>
      </w:tr>
      <w:tr w:rsidR="00AB08E1" w:rsidRPr="00D645DC" w:rsidTr="00F33CF6">
        <w:trPr>
          <w:trHeight w:val="282"/>
        </w:trPr>
        <w:tc>
          <w:tcPr>
            <w:tcW w:w="5120" w:type="dxa"/>
            <w:tcBorders>
              <w:top w:val="single" w:sz="12" w:space="0" w:color="FFFFFF"/>
              <w:left w:val="nil"/>
              <w:bottom w:val="single" w:sz="4" w:space="0" w:color="FFFFFF"/>
              <w:right w:val="single" w:sz="4" w:space="0" w:color="FFFFFF"/>
            </w:tcBorders>
            <w:shd w:val="clear" w:color="auto" w:fill="B8CCE4"/>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Primera infancia</w:t>
            </w:r>
          </w:p>
        </w:tc>
        <w:tc>
          <w:tcPr>
            <w:tcW w:w="2464" w:type="dxa"/>
            <w:tcBorders>
              <w:top w:val="single" w:sz="12" w:space="0" w:color="FFFFFF"/>
              <w:left w:val="single" w:sz="4" w:space="0" w:color="FFFFFF"/>
              <w:bottom w:val="single" w:sz="4" w:space="0" w:color="FFFFFF"/>
              <w:right w:val="single" w:sz="4" w:space="0" w:color="FFFFFF"/>
            </w:tcBorders>
            <w:shd w:val="clear" w:color="auto" w:fill="B8CCE4"/>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2.670.280</w:t>
            </w:r>
          </w:p>
        </w:tc>
        <w:tc>
          <w:tcPr>
            <w:tcW w:w="2691" w:type="dxa"/>
            <w:tcBorders>
              <w:top w:val="single" w:sz="12" w:space="0" w:color="FFFFFF"/>
              <w:left w:val="single" w:sz="4" w:space="0" w:color="FFFFFF"/>
              <w:bottom w:val="single" w:sz="4" w:space="0" w:color="FFFFFF"/>
              <w:right w:val="single" w:sz="4" w:space="0" w:color="FFFFFF"/>
            </w:tcBorders>
            <w:shd w:val="clear" w:color="auto" w:fill="B8CCE4"/>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57,70%</w:t>
            </w:r>
          </w:p>
        </w:tc>
      </w:tr>
      <w:tr w:rsidR="00AB08E1" w:rsidRPr="00D645DC" w:rsidTr="00F33CF6">
        <w:trPr>
          <w:trHeight w:val="282"/>
        </w:trPr>
        <w:tc>
          <w:tcPr>
            <w:tcW w:w="5120" w:type="dxa"/>
            <w:tcBorders>
              <w:top w:val="single" w:sz="4" w:space="0" w:color="FFFFFF"/>
              <w:left w:val="nil"/>
              <w:bottom w:val="single" w:sz="4" w:space="0" w:color="FFFFFF"/>
              <w:right w:val="single" w:sz="4" w:space="0" w:color="FFFFFF"/>
            </w:tcBorders>
            <w:shd w:val="clear" w:color="auto" w:fill="DBE5F1"/>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Protección</w:t>
            </w:r>
          </w:p>
        </w:tc>
        <w:tc>
          <w:tcPr>
            <w:tcW w:w="2464" w:type="dxa"/>
            <w:tcBorders>
              <w:top w:val="single" w:sz="4" w:space="0" w:color="FFFFFF"/>
              <w:left w:val="single" w:sz="4" w:space="0" w:color="FFFFFF"/>
              <w:bottom w:val="single" w:sz="4" w:space="0" w:color="FFFFFF"/>
              <w:right w:val="single" w:sz="4" w:space="0" w:color="FFFFFF"/>
            </w:tcBorders>
            <w:shd w:val="clear" w:color="auto" w:fill="DBE5F1"/>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578.677</w:t>
            </w:r>
          </w:p>
        </w:tc>
        <w:tc>
          <w:tcPr>
            <w:tcW w:w="2691" w:type="dxa"/>
            <w:tcBorders>
              <w:top w:val="single" w:sz="4" w:space="0" w:color="FFFFFF"/>
              <w:left w:val="single" w:sz="4" w:space="0" w:color="FFFFFF"/>
              <w:bottom w:val="single" w:sz="4" w:space="0" w:color="FFFFFF"/>
              <w:right w:val="single" w:sz="4" w:space="0" w:color="FFFFFF"/>
            </w:tcBorders>
            <w:shd w:val="clear" w:color="auto" w:fill="DBE5F1"/>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12,50%</w:t>
            </w:r>
          </w:p>
        </w:tc>
      </w:tr>
      <w:tr w:rsidR="00AB08E1" w:rsidRPr="00D645DC" w:rsidTr="00F33CF6">
        <w:trPr>
          <w:trHeight w:val="282"/>
        </w:trPr>
        <w:tc>
          <w:tcPr>
            <w:tcW w:w="5120" w:type="dxa"/>
            <w:tcBorders>
              <w:top w:val="single" w:sz="4" w:space="0" w:color="FFFFFF"/>
              <w:left w:val="nil"/>
              <w:bottom w:val="single" w:sz="4" w:space="0" w:color="FFFFFF"/>
              <w:right w:val="single" w:sz="4" w:space="0" w:color="FFFFFF"/>
            </w:tcBorders>
            <w:shd w:val="clear" w:color="auto" w:fill="B8CCE4"/>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Gestión humana</w:t>
            </w:r>
          </w:p>
        </w:tc>
        <w:tc>
          <w:tcPr>
            <w:tcW w:w="2464" w:type="dxa"/>
            <w:tcBorders>
              <w:top w:val="single" w:sz="4" w:space="0" w:color="FFFFFF"/>
              <w:left w:val="single" w:sz="4" w:space="0" w:color="FFFFFF"/>
              <w:bottom w:val="single" w:sz="4" w:space="0" w:color="FFFFFF"/>
              <w:right w:val="single" w:sz="4" w:space="0" w:color="FFFFFF"/>
            </w:tcBorders>
            <w:shd w:val="clear" w:color="auto" w:fill="B8CCE4"/>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508.597</w:t>
            </w:r>
          </w:p>
        </w:tc>
        <w:tc>
          <w:tcPr>
            <w:tcW w:w="2691" w:type="dxa"/>
            <w:tcBorders>
              <w:top w:val="single" w:sz="4" w:space="0" w:color="FFFFFF"/>
              <w:left w:val="single" w:sz="4" w:space="0" w:color="FFFFFF"/>
              <w:bottom w:val="single" w:sz="4" w:space="0" w:color="FFFFFF"/>
              <w:right w:val="single" w:sz="4" w:space="0" w:color="FFFFFF"/>
            </w:tcBorders>
            <w:shd w:val="clear" w:color="auto" w:fill="B8CCE4"/>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11,00%</w:t>
            </w:r>
          </w:p>
        </w:tc>
      </w:tr>
      <w:tr w:rsidR="00AB08E1" w:rsidRPr="00D645DC" w:rsidTr="00F33CF6">
        <w:trPr>
          <w:trHeight w:val="282"/>
        </w:trPr>
        <w:tc>
          <w:tcPr>
            <w:tcW w:w="5120" w:type="dxa"/>
            <w:tcBorders>
              <w:top w:val="single" w:sz="4" w:space="0" w:color="FFFFFF"/>
              <w:left w:val="nil"/>
              <w:bottom w:val="single" w:sz="4" w:space="0" w:color="FFFFFF"/>
              <w:right w:val="single" w:sz="4" w:space="0" w:color="FFFFFF"/>
            </w:tcBorders>
            <w:shd w:val="clear" w:color="auto" w:fill="DBE5F1"/>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Alimentación a victimas</w:t>
            </w:r>
          </w:p>
        </w:tc>
        <w:tc>
          <w:tcPr>
            <w:tcW w:w="2464" w:type="dxa"/>
            <w:tcBorders>
              <w:top w:val="single" w:sz="4" w:space="0" w:color="FFFFFF"/>
              <w:left w:val="single" w:sz="4" w:space="0" w:color="FFFFFF"/>
              <w:bottom w:val="single" w:sz="4" w:space="0" w:color="FFFFFF"/>
              <w:right w:val="single" w:sz="4" w:space="0" w:color="FFFFFF"/>
            </w:tcBorders>
            <w:shd w:val="clear" w:color="auto" w:fill="DBE5F1"/>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194.882</w:t>
            </w:r>
          </w:p>
        </w:tc>
        <w:tc>
          <w:tcPr>
            <w:tcW w:w="2691" w:type="dxa"/>
            <w:tcBorders>
              <w:top w:val="single" w:sz="4" w:space="0" w:color="FFFFFF"/>
              <w:left w:val="single" w:sz="4" w:space="0" w:color="FFFFFF"/>
              <w:bottom w:val="single" w:sz="4" w:space="0" w:color="FFFFFF"/>
              <w:right w:val="single" w:sz="4" w:space="0" w:color="FFFFFF"/>
            </w:tcBorders>
            <w:shd w:val="clear" w:color="auto" w:fill="DBE5F1"/>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4,20%</w:t>
            </w:r>
          </w:p>
        </w:tc>
      </w:tr>
      <w:tr w:rsidR="00AB08E1" w:rsidRPr="00D645DC" w:rsidTr="00F33CF6">
        <w:trPr>
          <w:trHeight w:val="282"/>
        </w:trPr>
        <w:tc>
          <w:tcPr>
            <w:tcW w:w="5120" w:type="dxa"/>
            <w:tcBorders>
              <w:top w:val="single" w:sz="4" w:space="0" w:color="FFFFFF"/>
              <w:left w:val="nil"/>
              <w:bottom w:val="single" w:sz="4" w:space="0" w:color="FFFFFF"/>
              <w:right w:val="single" w:sz="4" w:space="0" w:color="FFFFFF"/>
            </w:tcBorders>
            <w:shd w:val="clear" w:color="auto" w:fill="B8CCE4"/>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Administrativa</w:t>
            </w:r>
          </w:p>
        </w:tc>
        <w:tc>
          <w:tcPr>
            <w:tcW w:w="2464" w:type="dxa"/>
            <w:tcBorders>
              <w:top w:val="single" w:sz="4" w:space="0" w:color="FFFFFF"/>
              <w:left w:val="single" w:sz="4" w:space="0" w:color="FFFFFF"/>
              <w:bottom w:val="single" w:sz="4" w:space="0" w:color="FFFFFF"/>
              <w:right w:val="single" w:sz="4" w:space="0" w:color="FFFFFF"/>
            </w:tcBorders>
            <w:shd w:val="clear" w:color="auto" w:fill="B8CCE4"/>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168.276</w:t>
            </w:r>
          </w:p>
        </w:tc>
        <w:tc>
          <w:tcPr>
            <w:tcW w:w="2691" w:type="dxa"/>
            <w:tcBorders>
              <w:top w:val="single" w:sz="4" w:space="0" w:color="FFFFFF"/>
              <w:left w:val="single" w:sz="4" w:space="0" w:color="FFFFFF"/>
              <w:bottom w:val="single" w:sz="4" w:space="0" w:color="FFFFFF"/>
              <w:right w:val="single" w:sz="4" w:space="0" w:color="FFFFFF"/>
            </w:tcBorders>
            <w:shd w:val="clear" w:color="auto" w:fill="B8CCE4"/>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3,60%</w:t>
            </w:r>
          </w:p>
        </w:tc>
      </w:tr>
      <w:tr w:rsidR="00AB08E1" w:rsidRPr="00D645DC" w:rsidTr="00F33CF6">
        <w:trPr>
          <w:trHeight w:val="282"/>
        </w:trPr>
        <w:tc>
          <w:tcPr>
            <w:tcW w:w="5120" w:type="dxa"/>
            <w:tcBorders>
              <w:top w:val="single" w:sz="4" w:space="0" w:color="FFFFFF"/>
              <w:left w:val="nil"/>
              <w:bottom w:val="single" w:sz="4" w:space="0" w:color="FFFFFF"/>
              <w:right w:val="single" w:sz="4" w:space="0" w:color="FFFFFF"/>
            </w:tcBorders>
            <w:shd w:val="clear" w:color="auto" w:fill="DBE5F1"/>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Nutrición</w:t>
            </w:r>
          </w:p>
        </w:tc>
        <w:tc>
          <w:tcPr>
            <w:tcW w:w="2464" w:type="dxa"/>
            <w:tcBorders>
              <w:top w:val="single" w:sz="4" w:space="0" w:color="FFFFFF"/>
              <w:left w:val="single" w:sz="4" w:space="0" w:color="FFFFFF"/>
              <w:bottom w:val="single" w:sz="4" w:space="0" w:color="FFFFFF"/>
              <w:right w:val="single" w:sz="4" w:space="0" w:color="FFFFFF"/>
            </w:tcBorders>
            <w:shd w:val="clear" w:color="auto" w:fill="DBE5F1"/>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165.332</w:t>
            </w:r>
          </w:p>
        </w:tc>
        <w:tc>
          <w:tcPr>
            <w:tcW w:w="2691" w:type="dxa"/>
            <w:tcBorders>
              <w:top w:val="single" w:sz="4" w:space="0" w:color="FFFFFF"/>
              <w:left w:val="single" w:sz="4" w:space="0" w:color="FFFFFF"/>
              <w:bottom w:val="single" w:sz="4" w:space="0" w:color="FFFFFF"/>
              <w:right w:val="single" w:sz="4" w:space="0" w:color="FFFFFF"/>
            </w:tcBorders>
            <w:shd w:val="clear" w:color="auto" w:fill="DBE5F1"/>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3,60%</w:t>
            </w:r>
          </w:p>
        </w:tc>
      </w:tr>
      <w:tr w:rsidR="00AB08E1" w:rsidRPr="00D645DC" w:rsidTr="00F33CF6">
        <w:trPr>
          <w:trHeight w:val="282"/>
        </w:trPr>
        <w:tc>
          <w:tcPr>
            <w:tcW w:w="5120" w:type="dxa"/>
            <w:tcBorders>
              <w:top w:val="single" w:sz="4" w:space="0" w:color="FFFFFF"/>
              <w:left w:val="nil"/>
              <w:bottom w:val="single" w:sz="4" w:space="0" w:color="FFFFFF"/>
              <w:right w:val="single" w:sz="4" w:space="0" w:color="FFFFFF"/>
            </w:tcBorders>
            <w:shd w:val="clear" w:color="auto" w:fill="B8CCE4"/>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Niñez y adolescencia - PAE</w:t>
            </w:r>
          </w:p>
        </w:tc>
        <w:tc>
          <w:tcPr>
            <w:tcW w:w="2464" w:type="dxa"/>
            <w:tcBorders>
              <w:top w:val="single" w:sz="4" w:space="0" w:color="FFFFFF"/>
              <w:left w:val="single" w:sz="4" w:space="0" w:color="FFFFFF"/>
              <w:bottom w:val="single" w:sz="4" w:space="0" w:color="FFFFFF"/>
              <w:right w:val="single" w:sz="4" w:space="0" w:color="FFFFFF"/>
            </w:tcBorders>
            <w:shd w:val="clear" w:color="auto" w:fill="B8CCE4"/>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87.127</w:t>
            </w:r>
          </w:p>
        </w:tc>
        <w:tc>
          <w:tcPr>
            <w:tcW w:w="2691" w:type="dxa"/>
            <w:tcBorders>
              <w:top w:val="single" w:sz="4" w:space="0" w:color="FFFFFF"/>
              <w:left w:val="single" w:sz="4" w:space="0" w:color="FFFFFF"/>
              <w:bottom w:val="single" w:sz="4" w:space="0" w:color="FFFFFF"/>
              <w:right w:val="single" w:sz="4" w:space="0" w:color="FFFFFF"/>
            </w:tcBorders>
            <w:shd w:val="clear" w:color="auto" w:fill="B8CCE4"/>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1,90%</w:t>
            </w:r>
          </w:p>
        </w:tc>
      </w:tr>
      <w:tr w:rsidR="00AB08E1" w:rsidRPr="00D645DC" w:rsidTr="00F33CF6">
        <w:trPr>
          <w:trHeight w:val="282"/>
        </w:trPr>
        <w:tc>
          <w:tcPr>
            <w:tcW w:w="5120" w:type="dxa"/>
            <w:tcBorders>
              <w:top w:val="single" w:sz="4" w:space="0" w:color="FFFFFF"/>
              <w:left w:val="nil"/>
              <w:bottom w:val="single" w:sz="4" w:space="0" w:color="FFFFFF"/>
              <w:right w:val="single" w:sz="4" w:space="0" w:color="FFFFFF"/>
            </w:tcBorders>
            <w:shd w:val="clear" w:color="auto" w:fill="DBE5F1"/>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Familias y comunidades</w:t>
            </w:r>
          </w:p>
        </w:tc>
        <w:tc>
          <w:tcPr>
            <w:tcW w:w="2464" w:type="dxa"/>
            <w:tcBorders>
              <w:top w:val="single" w:sz="4" w:space="0" w:color="FFFFFF"/>
              <w:left w:val="single" w:sz="4" w:space="0" w:color="FFFFFF"/>
              <w:bottom w:val="single" w:sz="4" w:space="0" w:color="FFFFFF"/>
              <w:right w:val="single" w:sz="4" w:space="0" w:color="FFFFFF"/>
            </w:tcBorders>
            <w:shd w:val="clear" w:color="auto" w:fill="DBE5F1"/>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77.874</w:t>
            </w:r>
          </w:p>
        </w:tc>
        <w:tc>
          <w:tcPr>
            <w:tcW w:w="2691" w:type="dxa"/>
            <w:tcBorders>
              <w:top w:val="single" w:sz="4" w:space="0" w:color="FFFFFF"/>
              <w:left w:val="single" w:sz="4" w:space="0" w:color="FFFFFF"/>
              <w:bottom w:val="single" w:sz="4" w:space="0" w:color="FFFFFF"/>
              <w:right w:val="single" w:sz="4" w:space="0" w:color="FFFFFF"/>
            </w:tcBorders>
            <w:shd w:val="clear" w:color="auto" w:fill="DBE5F1"/>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1,70%</w:t>
            </w:r>
          </w:p>
        </w:tc>
      </w:tr>
      <w:tr w:rsidR="00AB08E1" w:rsidRPr="00D645DC" w:rsidTr="00F33CF6">
        <w:trPr>
          <w:trHeight w:val="282"/>
        </w:trPr>
        <w:tc>
          <w:tcPr>
            <w:tcW w:w="5120" w:type="dxa"/>
            <w:tcBorders>
              <w:top w:val="single" w:sz="4" w:space="0" w:color="FFFFFF"/>
              <w:left w:val="nil"/>
              <w:bottom w:val="single" w:sz="4" w:space="0" w:color="FFFFFF"/>
              <w:right w:val="single" w:sz="4" w:space="0" w:color="FFFFFF"/>
            </w:tcBorders>
            <w:shd w:val="clear" w:color="auto" w:fill="B8CCE4"/>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Niñez y adolescencia - Generaciones</w:t>
            </w:r>
          </w:p>
        </w:tc>
        <w:tc>
          <w:tcPr>
            <w:tcW w:w="2464" w:type="dxa"/>
            <w:tcBorders>
              <w:top w:val="single" w:sz="4" w:space="0" w:color="FFFFFF"/>
              <w:left w:val="single" w:sz="4" w:space="0" w:color="FFFFFF"/>
              <w:bottom w:val="single" w:sz="4" w:space="0" w:color="FFFFFF"/>
              <w:right w:val="single" w:sz="4" w:space="0" w:color="FFFFFF"/>
            </w:tcBorders>
            <w:shd w:val="clear" w:color="auto" w:fill="B8CCE4"/>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54.674</w:t>
            </w:r>
          </w:p>
        </w:tc>
        <w:tc>
          <w:tcPr>
            <w:tcW w:w="2691" w:type="dxa"/>
            <w:tcBorders>
              <w:top w:val="single" w:sz="4" w:space="0" w:color="FFFFFF"/>
              <w:left w:val="single" w:sz="4" w:space="0" w:color="FFFFFF"/>
              <w:bottom w:val="single" w:sz="4" w:space="0" w:color="FFFFFF"/>
              <w:right w:val="single" w:sz="4" w:space="0" w:color="FFFFFF"/>
            </w:tcBorders>
            <w:shd w:val="clear" w:color="auto" w:fill="B8CCE4"/>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1,20%</w:t>
            </w:r>
          </w:p>
        </w:tc>
      </w:tr>
      <w:tr w:rsidR="00AB08E1" w:rsidRPr="00D645DC" w:rsidTr="00F33CF6">
        <w:trPr>
          <w:trHeight w:val="282"/>
        </w:trPr>
        <w:tc>
          <w:tcPr>
            <w:tcW w:w="5120" w:type="dxa"/>
            <w:tcBorders>
              <w:top w:val="single" w:sz="4" w:space="0" w:color="FFFFFF"/>
              <w:left w:val="nil"/>
              <w:bottom w:val="single" w:sz="4" w:space="0" w:color="FFFFFF"/>
              <w:right w:val="single" w:sz="4" w:space="0" w:color="FFFFFF"/>
            </w:tcBorders>
            <w:shd w:val="clear" w:color="auto" w:fill="DBE5F1"/>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Información y tecnología</w:t>
            </w:r>
          </w:p>
        </w:tc>
        <w:tc>
          <w:tcPr>
            <w:tcW w:w="2464" w:type="dxa"/>
            <w:tcBorders>
              <w:top w:val="single" w:sz="4" w:space="0" w:color="FFFFFF"/>
              <w:left w:val="single" w:sz="4" w:space="0" w:color="FFFFFF"/>
              <w:bottom w:val="single" w:sz="4" w:space="0" w:color="FFFFFF"/>
              <w:right w:val="single" w:sz="4" w:space="0" w:color="FFFFFF"/>
            </w:tcBorders>
            <w:shd w:val="clear" w:color="auto" w:fill="DBE5F1"/>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39.490</w:t>
            </w:r>
          </w:p>
        </w:tc>
        <w:tc>
          <w:tcPr>
            <w:tcW w:w="2691" w:type="dxa"/>
            <w:tcBorders>
              <w:top w:val="single" w:sz="4" w:space="0" w:color="FFFFFF"/>
              <w:left w:val="single" w:sz="4" w:space="0" w:color="FFFFFF"/>
              <w:bottom w:val="single" w:sz="4" w:space="0" w:color="FFFFFF"/>
              <w:right w:val="single" w:sz="4" w:space="0" w:color="FFFFFF"/>
            </w:tcBorders>
            <w:shd w:val="clear" w:color="auto" w:fill="DBE5F1"/>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0,90%</w:t>
            </w:r>
          </w:p>
        </w:tc>
      </w:tr>
      <w:tr w:rsidR="00AB08E1" w:rsidRPr="00D645DC" w:rsidTr="00F33CF6">
        <w:trPr>
          <w:trHeight w:val="282"/>
        </w:trPr>
        <w:tc>
          <w:tcPr>
            <w:tcW w:w="5120" w:type="dxa"/>
            <w:tcBorders>
              <w:top w:val="single" w:sz="4" w:space="0" w:color="FFFFFF"/>
              <w:left w:val="nil"/>
              <w:bottom w:val="single" w:sz="4" w:space="0" w:color="FFFFFF"/>
              <w:right w:val="single" w:sz="4" w:space="0" w:color="FFFFFF"/>
            </w:tcBorders>
            <w:shd w:val="clear" w:color="auto" w:fill="B8CCE4"/>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Financiera - Cuota de Auditaje</w:t>
            </w:r>
          </w:p>
        </w:tc>
        <w:tc>
          <w:tcPr>
            <w:tcW w:w="2464" w:type="dxa"/>
            <w:tcBorders>
              <w:top w:val="single" w:sz="4" w:space="0" w:color="FFFFFF"/>
              <w:left w:val="single" w:sz="4" w:space="0" w:color="FFFFFF"/>
              <w:bottom w:val="single" w:sz="4" w:space="0" w:color="FFFFFF"/>
              <w:right w:val="single" w:sz="4" w:space="0" w:color="FFFFFF"/>
            </w:tcBorders>
            <w:shd w:val="clear" w:color="auto" w:fill="B8CCE4"/>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25.467</w:t>
            </w:r>
          </w:p>
        </w:tc>
        <w:tc>
          <w:tcPr>
            <w:tcW w:w="2691" w:type="dxa"/>
            <w:tcBorders>
              <w:top w:val="single" w:sz="4" w:space="0" w:color="FFFFFF"/>
              <w:left w:val="single" w:sz="4" w:space="0" w:color="FFFFFF"/>
              <w:bottom w:val="single" w:sz="4" w:space="0" w:color="FFFFFF"/>
              <w:right w:val="single" w:sz="4" w:space="0" w:color="FFFFFF"/>
            </w:tcBorders>
            <w:shd w:val="clear" w:color="auto" w:fill="B8CCE4"/>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0,60%</w:t>
            </w:r>
          </w:p>
        </w:tc>
      </w:tr>
      <w:tr w:rsidR="00AB08E1" w:rsidRPr="00D645DC" w:rsidTr="00F33CF6">
        <w:trPr>
          <w:trHeight w:val="282"/>
        </w:trPr>
        <w:tc>
          <w:tcPr>
            <w:tcW w:w="5120" w:type="dxa"/>
            <w:tcBorders>
              <w:top w:val="single" w:sz="4" w:space="0" w:color="FFFFFF"/>
              <w:left w:val="nil"/>
              <w:bottom w:val="single" w:sz="4" w:space="0" w:color="FFFFFF"/>
              <w:right w:val="single" w:sz="4" w:space="0" w:color="FFFFFF"/>
            </w:tcBorders>
            <w:shd w:val="clear" w:color="auto" w:fill="DBE5F1"/>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Comunicaciones</w:t>
            </w:r>
          </w:p>
        </w:tc>
        <w:tc>
          <w:tcPr>
            <w:tcW w:w="2464" w:type="dxa"/>
            <w:tcBorders>
              <w:top w:val="single" w:sz="4" w:space="0" w:color="FFFFFF"/>
              <w:left w:val="single" w:sz="4" w:space="0" w:color="FFFFFF"/>
              <w:bottom w:val="single" w:sz="4" w:space="0" w:color="FFFFFF"/>
              <w:right w:val="single" w:sz="4" w:space="0" w:color="FFFFFF"/>
            </w:tcBorders>
            <w:shd w:val="clear" w:color="auto" w:fill="DBE5F1"/>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10.247</w:t>
            </w:r>
          </w:p>
        </w:tc>
        <w:tc>
          <w:tcPr>
            <w:tcW w:w="2691" w:type="dxa"/>
            <w:tcBorders>
              <w:top w:val="single" w:sz="4" w:space="0" w:color="FFFFFF"/>
              <w:left w:val="single" w:sz="4" w:space="0" w:color="FFFFFF"/>
              <w:bottom w:val="single" w:sz="4" w:space="0" w:color="FFFFFF"/>
              <w:right w:val="single" w:sz="4" w:space="0" w:color="FFFFFF"/>
            </w:tcBorders>
            <w:shd w:val="clear" w:color="auto" w:fill="DBE5F1"/>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0,20%</w:t>
            </w:r>
          </w:p>
        </w:tc>
      </w:tr>
      <w:tr w:rsidR="00AB08E1" w:rsidRPr="00D645DC" w:rsidTr="00F33CF6">
        <w:trPr>
          <w:trHeight w:val="282"/>
        </w:trPr>
        <w:tc>
          <w:tcPr>
            <w:tcW w:w="5120" w:type="dxa"/>
            <w:tcBorders>
              <w:top w:val="single" w:sz="4" w:space="0" w:color="FFFFFF"/>
              <w:left w:val="nil"/>
              <w:bottom w:val="single" w:sz="4" w:space="0" w:color="FFFFFF"/>
              <w:right w:val="single" w:sz="4" w:space="0" w:color="FFFFFF"/>
            </w:tcBorders>
            <w:shd w:val="clear" w:color="auto" w:fill="B8CCE4"/>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Servicios y atención</w:t>
            </w:r>
          </w:p>
        </w:tc>
        <w:tc>
          <w:tcPr>
            <w:tcW w:w="2464" w:type="dxa"/>
            <w:tcBorders>
              <w:top w:val="single" w:sz="4" w:space="0" w:color="FFFFFF"/>
              <w:left w:val="single" w:sz="4" w:space="0" w:color="FFFFFF"/>
              <w:bottom w:val="single" w:sz="4" w:space="0" w:color="FFFFFF"/>
              <w:right w:val="single" w:sz="4" w:space="0" w:color="FFFFFF"/>
            </w:tcBorders>
            <w:shd w:val="clear" w:color="auto" w:fill="B8CCE4"/>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9.724</w:t>
            </w:r>
          </w:p>
        </w:tc>
        <w:tc>
          <w:tcPr>
            <w:tcW w:w="2691" w:type="dxa"/>
            <w:tcBorders>
              <w:top w:val="single" w:sz="4" w:space="0" w:color="FFFFFF"/>
              <w:left w:val="single" w:sz="4" w:space="0" w:color="FFFFFF"/>
              <w:bottom w:val="single" w:sz="4" w:space="0" w:color="FFFFFF"/>
              <w:right w:val="single" w:sz="4" w:space="0" w:color="FFFFFF"/>
            </w:tcBorders>
            <w:shd w:val="clear" w:color="auto" w:fill="B8CCE4"/>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0,20%</w:t>
            </w:r>
          </w:p>
        </w:tc>
      </w:tr>
      <w:tr w:rsidR="00AB08E1" w:rsidRPr="00D645DC" w:rsidTr="00F33CF6">
        <w:trPr>
          <w:trHeight w:val="282"/>
        </w:trPr>
        <w:tc>
          <w:tcPr>
            <w:tcW w:w="5120" w:type="dxa"/>
            <w:tcBorders>
              <w:top w:val="single" w:sz="4" w:space="0" w:color="FFFFFF"/>
              <w:left w:val="nil"/>
              <w:bottom w:val="single" w:sz="4" w:space="0" w:color="FFFFFF"/>
              <w:right w:val="single" w:sz="4" w:space="0" w:color="FFFFFF"/>
            </w:tcBorders>
            <w:shd w:val="clear" w:color="auto" w:fill="DBE5F1"/>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Abastecimiento</w:t>
            </w:r>
          </w:p>
        </w:tc>
        <w:tc>
          <w:tcPr>
            <w:tcW w:w="2464" w:type="dxa"/>
            <w:tcBorders>
              <w:top w:val="single" w:sz="4" w:space="0" w:color="FFFFFF"/>
              <w:left w:val="single" w:sz="4" w:space="0" w:color="FFFFFF"/>
              <w:bottom w:val="single" w:sz="4" w:space="0" w:color="FFFFFF"/>
              <w:right w:val="single" w:sz="4" w:space="0" w:color="FFFFFF"/>
            </w:tcBorders>
            <w:shd w:val="clear" w:color="auto" w:fill="DBE5F1"/>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9.614</w:t>
            </w:r>
          </w:p>
        </w:tc>
        <w:tc>
          <w:tcPr>
            <w:tcW w:w="2691" w:type="dxa"/>
            <w:tcBorders>
              <w:top w:val="single" w:sz="4" w:space="0" w:color="FFFFFF"/>
              <w:left w:val="single" w:sz="4" w:space="0" w:color="FFFFFF"/>
              <w:bottom w:val="single" w:sz="4" w:space="0" w:color="FFFFFF"/>
              <w:right w:val="single" w:sz="4" w:space="0" w:color="FFFFFF"/>
            </w:tcBorders>
            <w:shd w:val="clear" w:color="auto" w:fill="DBE5F1"/>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0,20%</w:t>
            </w:r>
          </w:p>
        </w:tc>
      </w:tr>
      <w:tr w:rsidR="00AB08E1" w:rsidRPr="00D645DC" w:rsidTr="00F33CF6">
        <w:trPr>
          <w:trHeight w:val="282"/>
        </w:trPr>
        <w:tc>
          <w:tcPr>
            <w:tcW w:w="5120" w:type="dxa"/>
            <w:tcBorders>
              <w:top w:val="single" w:sz="4" w:space="0" w:color="FFFFFF"/>
              <w:left w:val="nil"/>
              <w:bottom w:val="single" w:sz="4" w:space="0" w:color="FFFFFF"/>
              <w:right w:val="single" w:sz="4" w:space="0" w:color="FFFFFF"/>
            </w:tcBorders>
            <w:shd w:val="clear" w:color="auto" w:fill="B8CCE4"/>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Jurídica</w:t>
            </w:r>
          </w:p>
        </w:tc>
        <w:tc>
          <w:tcPr>
            <w:tcW w:w="2464" w:type="dxa"/>
            <w:tcBorders>
              <w:top w:val="single" w:sz="4" w:space="0" w:color="FFFFFF"/>
              <w:left w:val="single" w:sz="4" w:space="0" w:color="FFFFFF"/>
              <w:bottom w:val="single" w:sz="4" w:space="0" w:color="FFFFFF"/>
              <w:right w:val="single" w:sz="4" w:space="0" w:color="FFFFFF"/>
            </w:tcBorders>
            <w:shd w:val="clear" w:color="auto" w:fill="B8CCE4"/>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9.177</w:t>
            </w:r>
          </w:p>
        </w:tc>
        <w:tc>
          <w:tcPr>
            <w:tcW w:w="2691" w:type="dxa"/>
            <w:tcBorders>
              <w:top w:val="single" w:sz="4" w:space="0" w:color="FFFFFF"/>
              <w:left w:val="single" w:sz="4" w:space="0" w:color="FFFFFF"/>
              <w:bottom w:val="single" w:sz="4" w:space="0" w:color="FFFFFF"/>
              <w:right w:val="single" w:sz="4" w:space="0" w:color="FFFFFF"/>
            </w:tcBorders>
            <w:shd w:val="clear" w:color="auto" w:fill="B8CCE4"/>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0,20%</w:t>
            </w:r>
          </w:p>
        </w:tc>
      </w:tr>
      <w:tr w:rsidR="00AB08E1" w:rsidRPr="00D645DC" w:rsidTr="00F33CF6">
        <w:trPr>
          <w:trHeight w:val="282"/>
        </w:trPr>
        <w:tc>
          <w:tcPr>
            <w:tcW w:w="5120" w:type="dxa"/>
            <w:tcBorders>
              <w:top w:val="single" w:sz="4" w:space="0" w:color="FFFFFF"/>
              <w:left w:val="nil"/>
              <w:bottom w:val="single" w:sz="4" w:space="0" w:color="FFFFFF"/>
              <w:right w:val="single" w:sz="4" w:space="0" w:color="FFFFFF"/>
            </w:tcBorders>
            <w:shd w:val="clear" w:color="auto" w:fill="DBE5F1"/>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Aseguramiento a la calidad</w:t>
            </w:r>
          </w:p>
        </w:tc>
        <w:tc>
          <w:tcPr>
            <w:tcW w:w="2464" w:type="dxa"/>
            <w:tcBorders>
              <w:top w:val="single" w:sz="4" w:space="0" w:color="FFFFFF"/>
              <w:left w:val="single" w:sz="4" w:space="0" w:color="FFFFFF"/>
              <w:bottom w:val="single" w:sz="4" w:space="0" w:color="FFFFFF"/>
              <w:right w:val="single" w:sz="4" w:space="0" w:color="FFFFFF"/>
            </w:tcBorders>
            <w:shd w:val="clear" w:color="auto" w:fill="DBE5F1"/>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6.001</w:t>
            </w:r>
          </w:p>
        </w:tc>
        <w:tc>
          <w:tcPr>
            <w:tcW w:w="2691" w:type="dxa"/>
            <w:tcBorders>
              <w:top w:val="single" w:sz="4" w:space="0" w:color="FFFFFF"/>
              <w:left w:val="single" w:sz="4" w:space="0" w:color="FFFFFF"/>
              <w:bottom w:val="single" w:sz="4" w:space="0" w:color="FFFFFF"/>
              <w:right w:val="single" w:sz="4" w:space="0" w:color="FFFFFF"/>
            </w:tcBorders>
            <w:shd w:val="clear" w:color="auto" w:fill="DBE5F1"/>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0,10%</w:t>
            </w:r>
          </w:p>
        </w:tc>
      </w:tr>
      <w:tr w:rsidR="00AB08E1" w:rsidRPr="00D645DC" w:rsidTr="00F33CF6">
        <w:trPr>
          <w:trHeight w:val="282"/>
        </w:trPr>
        <w:tc>
          <w:tcPr>
            <w:tcW w:w="5120" w:type="dxa"/>
            <w:tcBorders>
              <w:top w:val="single" w:sz="4" w:space="0" w:color="FFFFFF"/>
              <w:left w:val="nil"/>
              <w:bottom w:val="single" w:sz="4" w:space="0" w:color="FFFFFF"/>
              <w:right w:val="single" w:sz="4" w:space="0" w:color="FFFFFF"/>
            </w:tcBorders>
            <w:shd w:val="clear" w:color="auto" w:fill="B8CCE4"/>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Monitoreo y evaluación</w:t>
            </w:r>
          </w:p>
        </w:tc>
        <w:tc>
          <w:tcPr>
            <w:tcW w:w="2464" w:type="dxa"/>
            <w:tcBorders>
              <w:top w:val="single" w:sz="4" w:space="0" w:color="FFFFFF"/>
              <w:left w:val="single" w:sz="4" w:space="0" w:color="FFFFFF"/>
              <w:bottom w:val="single" w:sz="4" w:space="0" w:color="FFFFFF"/>
              <w:right w:val="single" w:sz="4" w:space="0" w:color="FFFFFF"/>
            </w:tcBorders>
            <w:shd w:val="clear" w:color="auto" w:fill="B8CCE4"/>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6.000</w:t>
            </w:r>
          </w:p>
        </w:tc>
        <w:tc>
          <w:tcPr>
            <w:tcW w:w="2691" w:type="dxa"/>
            <w:tcBorders>
              <w:top w:val="single" w:sz="4" w:space="0" w:color="FFFFFF"/>
              <w:left w:val="single" w:sz="4" w:space="0" w:color="FFFFFF"/>
              <w:bottom w:val="single" w:sz="4" w:space="0" w:color="FFFFFF"/>
              <w:right w:val="single" w:sz="4" w:space="0" w:color="FFFFFF"/>
            </w:tcBorders>
            <w:shd w:val="clear" w:color="auto" w:fill="B8CCE4"/>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0,10%</w:t>
            </w:r>
          </w:p>
        </w:tc>
      </w:tr>
      <w:tr w:rsidR="00AB08E1" w:rsidRPr="00D645DC" w:rsidTr="00F33CF6">
        <w:trPr>
          <w:trHeight w:val="282"/>
        </w:trPr>
        <w:tc>
          <w:tcPr>
            <w:tcW w:w="5120" w:type="dxa"/>
            <w:tcBorders>
              <w:top w:val="single" w:sz="4" w:space="0" w:color="FFFFFF"/>
              <w:left w:val="nil"/>
              <w:bottom w:val="single" w:sz="4" w:space="0" w:color="FFFFFF"/>
              <w:right w:val="single" w:sz="4" w:space="0" w:color="FFFFFF"/>
            </w:tcBorders>
            <w:shd w:val="clear" w:color="auto" w:fill="DBE5F1"/>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Sistema nacional de bienestar familiar</w:t>
            </w:r>
          </w:p>
        </w:tc>
        <w:tc>
          <w:tcPr>
            <w:tcW w:w="2464" w:type="dxa"/>
            <w:tcBorders>
              <w:top w:val="single" w:sz="4" w:space="0" w:color="FFFFFF"/>
              <w:left w:val="single" w:sz="4" w:space="0" w:color="FFFFFF"/>
              <w:bottom w:val="single" w:sz="4" w:space="0" w:color="FFFFFF"/>
              <w:right w:val="single" w:sz="4" w:space="0" w:color="FFFFFF"/>
            </w:tcBorders>
            <w:shd w:val="clear" w:color="auto" w:fill="DBE5F1"/>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4.249</w:t>
            </w:r>
          </w:p>
        </w:tc>
        <w:tc>
          <w:tcPr>
            <w:tcW w:w="2691" w:type="dxa"/>
            <w:tcBorders>
              <w:top w:val="single" w:sz="4" w:space="0" w:color="FFFFFF"/>
              <w:left w:val="single" w:sz="4" w:space="0" w:color="FFFFFF"/>
              <w:bottom w:val="single" w:sz="4" w:space="0" w:color="FFFFFF"/>
              <w:right w:val="single" w:sz="4" w:space="0" w:color="FFFFFF"/>
            </w:tcBorders>
            <w:shd w:val="clear" w:color="auto" w:fill="DBE5F1"/>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0,10%</w:t>
            </w:r>
          </w:p>
        </w:tc>
      </w:tr>
      <w:tr w:rsidR="00AB08E1" w:rsidRPr="00D645DC" w:rsidTr="00F33CF6">
        <w:trPr>
          <w:trHeight w:val="282"/>
        </w:trPr>
        <w:tc>
          <w:tcPr>
            <w:tcW w:w="5120" w:type="dxa"/>
            <w:tcBorders>
              <w:top w:val="single" w:sz="4" w:space="0" w:color="FFFFFF"/>
              <w:left w:val="nil"/>
              <w:bottom w:val="single" w:sz="4" w:space="0" w:color="FFFFFF"/>
              <w:right w:val="single" w:sz="4" w:space="0" w:color="FFFFFF"/>
            </w:tcBorders>
            <w:shd w:val="clear" w:color="auto" w:fill="B8CCE4"/>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Mejoramiento organizacional</w:t>
            </w:r>
          </w:p>
        </w:tc>
        <w:tc>
          <w:tcPr>
            <w:tcW w:w="2464" w:type="dxa"/>
            <w:tcBorders>
              <w:top w:val="single" w:sz="4" w:space="0" w:color="FFFFFF"/>
              <w:left w:val="single" w:sz="4" w:space="0" w:color="FFFFFF"/>
              <w:bottom w:val="single" w:sz="4" w:space="0" w:color="FFFFFF"/>
              <w:right w:val="single" w:sz="4" w:space="0" w:color="FFFFFF"/>
            </w:tcBorders>
            <w:shd w:val="clear" w:color="auto" w:fill="B8CCE4"/>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936</w:t>
            </w:r>
          </w:p>
        </w:tc>
        <w:tc>
          <w:tcPr>
            <w:tcW w:w="2691" w:type="dxa"/>
            <w:tcBorders>
              <w:top w:val="single" w:sz="4" w:space="0" w:color="FFFFFF"/>
              <w:left w:val="single" w:sz="4" w:space="0" w:color="FFFFFF"/>
              <w:bottom w:val="single" w:sz="4" w:space="0" w:color="FFFFFF"/>
              <w:right w:val="single" w:sz="4" w:space="0" w:color="FFFFFF"/>
            </w:tcBorders>
            <w:shd w:val="clear" w:color="auto" w:fill="B8CCE4"/>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0,00%</w:t>
            </w:r>
          </w:p>
        </w:tc>
      </w:tr>
      <w:tr w:rsidR="00AB08E1" w:rsidRPr="00D645DC" w:rsidTr="00F33CF6">
        <w:trPr>
          <w:trHeight w:val="282"/>
        </w:trPr>
        <w:tc>
          <w:tcPr>
            <w:tcW w:w="5120" w:type="dxa"/>
            <w:tcBorders>
              <w:top w:val="single" w:sz="4" w:space="0" w:color="FFFFFF"/>
              <w:left w:val="nil"/>
              <w:bottom w:val="single" w:sz="4" w:space="0" w:color="FFFFFF"/>
              <w:right w:val="single" w:sz="4" w:space="0" w:color="FFFFFF"/>
            </w:tcBorders>
            <w:shd w:val="clear" w:color="auto" w:fill="DBE5F1"/>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Cooperación y convenios</w:t>
            </w:r>
          </w:p>
        </w:tc>
        <w:tc>
          <w:tcPr>
            <w:tcW w:w="2464" w:type="dxa"/>
            <w:tcBorders>
              <w:top w:val="single" w:sz="4" w:space="0" w:color="FFFFFF"/>
              <w:left w:val="single" w:sz="4" w:space="0" w:color="FFFFFF"/>
              <w:bottom w:val="single" w:sz="4" w:space="0" w:color="FFFFFF"/>
              <w:right w:val="single" w:sz="4" w:space="0" w:color="FFFFFF"/>
            </w:tcBorders>
            <w:shd w:val="clear" w:color="auto" w:fill="DBE5F1"/>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500</w:t>
            </w:r>
          </w:p>
        </w:tc>
        <w:tc>
          <w:tcPr>
            <w:tcW w:w="2691" w:type="dxa"/>
            <w:tcBorders>
              <w:top w:val="single" w:sz="4" w:space="0" w:color="FFFFFF"/>
              <w:left w:val="single" w:sz="4" w:space="0" w:color="FFFFFF"/>
              <w:bottom w:val="single" w:sz="4" w:space="0" w:color="FFFFFF"/>
              <w:right w:val="single" w:sz="4" w:space="0" w:color="FFFFFF"/>
            </w:tcBorders>
            <w:shd w:val="clear" w:color="auto" w:fill="DBE5F1"/>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0,00%</w:t>
            </w:r>
          </w:p>
        </w:tc>
      </w:tr>
      <w:tr w:rsidR="00AB08E1" w:rsidRPr="00D645DC" w:rsidTr="00F33CF6">
        <w:trPr>
          <w:trHeight w:val="282"/>
        </w:trPr>
        <w:tc>
          <w:tcPr>
            <w:tcW w:w="5120" w:type="dxa"/>
            <w:tcBorders>
              <w:top w:val="single" w:sz="4" w:space="0" w:color="FFFFFF"/>
              <w:left w:val="nil"/>
              <w:bottom w:val="single" w:sz="4" w:space="0" w:color="FFFFFF"/>
              <w:right w:val="single" w:sz="4" w:space="0" w:color="FFFFFF"/>
            </w:tcBorders>
            <w:shd w:val="clear" w:color="auto" w:fill="B8CCE4"/>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sz w:val="24"/>
                <w:szCs w:val="24"/>
              </w:rPr>
              <w:t>Total general</w:t>
            </w:r>
          </w:p>
        </w:tc>
        <w:tc>
          <w:tcPr>
            <w:tcW w:w="2464" w:type="dxa"/>
            <w:tcBorders>
              <w:top w:val="single" w:sz="4" w:space="0" w:color="FFFFFF"/>
              <w:left w:val="single" w:sz="4" w:space="0" w:color="FFFFFF"/>
              <w:bottom w:val="single" w:sz="4" w:space="0" w:color="FFFFFF"/>
              <w:right w:val="single" w:sz="4" w:space="0" w:color="FFFFFF"/>
            </w:tcBorders>
            <w:shd w:val="clear" w:color="auto" w:fill="B8CCE4"/>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b/>
                <w:bCs/>
                <w:sz w:val="24"/>
                <w:szCs w:val="24"/>
              </w:rPr>
              <w:t>4.627.123</w:t>
            </w:r>
          </w:p>
        </w:tc>
        <w:tc>
          <w:tcPr>
            <w:tcW w:w="2691" w:type="dxa"/>
            <w:tcBorders>
              <w:top w:val="single" w:sz="4" w:space="0" w:color="FFFFFF"/>
              <w:left w:val="single" w:sz="4" w:space="0" w:color="FFFFFF"/>
              <w:bottom w:val="single" w:sz="4" w:space="0" w:color="FFFFFF"/>
              <w:right w:val="single" w:sz="4" w:space="0" w:color="FFFFFF"/>
            </w:tcBorders>
            <w:shd w:val="clear" w:color="auto" w:fill="B8CCE4"/>
            <w:tcMar>
              <w:top w:w="14" w:type="dxa"/>
              <w:left w:w="14" w:type="dxa"/>
              <w:bottom w:w="0" w:type="dxa"/>
              <w:right w:w="14" w:type="dxa"/>
            </w:tcMar>
            <w:hideMark/>
          </w:tcPr>
          <w:p w:rsidR="00AB08E1" w:rsidRPr="00D645DC" w:rsidRDefault="00AB08E1" w:rsidP="00F33CF6">
            <w:pPr>
              <w:spacing w:after="0" w:line="240" w:lineRule="auto"/>
              <w:jc w:val="both"/>
              <w:rPr>
                <w:rFonts w:ascii="Verdana" w:hAnsi="Verdana" w:cs="Arial"/>
                <w:sz w:val="24"/>
                <w:szCs w:val="24"/>
              </w:rPr>
            </w:pPr>
            <w:r w:rsidRPr="00D645DC">
              <w:rPr>
                <w:rFonts w:ascii="Verdana" w:hAnsi="Verdana" w:cs="Arial"/>
                <w:b/>
                <w:bCs/>
                <w:sz w:val="24"/>
                <w:szCs w:val="24"/>
              </w:rPr>
              <w:t>100%</w:t>
            </w:r>
          </w:p>
        </w:tc>
      </w:tr>
    </w:tbl>
    <w:p w:rsidR="00AB08E1" w:rsidRPr="00B16826" w:rsidRDefault="00AB08E1" w:rsidP="00AB08E1">
      <w:pPr>
        <w:spacing w:after="0" w:line="240" w:lineRule="auto"/>
        <w:rPr>
          <w:rFonts w:ascii="Verdana" w:hAnsi="Verdana" w:cs="Arial"/>
        </w:rPr>
      </w:pPr>
      <w:r w:rsidRPr="00B16826">
        <w:rPr>
          <w:rFonts w:ascii="Verdana" w:hAnsi="Verdana" w:cs="Arial"/>
          <w:b/>
          <w:sz w:val="16"/>
        </w:rPr>
        <w:t>Fuente:</w:t>
      </w:r>
      <w:r w:rsidRPr="00B16826">
        <w:rPr>
          <w:rFonts w:ascii="Verdana" w:hAnsi="Verdana" w:cs="Arial"/>
          <w:sz w:val="16"/>
        </w:rPr>
        <w:t xml:space="preserve"> SIIF. Cálculos Dirección de Planeación y Control de Gestión</w:t>
      </w:r>
    </w:p>
    <w:p w:rsidR="00AB08E1" w:rsidRPr="005D64F6" w:rsidRDefault="00AB08E1" w:rsidP="00AB08E1">
      <w:pPr>
        <w:spacing w:after="0" w:line="240" w:lineRule="auto"/>
        <w:jc w:val="both"/>
        <w:rPr>
          <w:rFonts w:ascii="Verdana" w:hAnsi="Verdana" w:cs="Arial"/>
          <w:sz w:val="24"/>
          <w:szCs w:val="24"/>
        </w:rPr>
      </w:pPr>
    </w:p>
    <w:p w:rsidR="00AB08E1" w:rsidRPr="005D64F6" w:rsidRDefault="00AB08E1" w:rsidP="00AB08E1">
      <w:pPr>
        <w:spacing w:after="0" w:line="240" w:lineRule="auto"/>
        <w:jc w:val="both"/>
        <w:rPr>
          <w:rFonts w:ascii="Verdana" w:hAnsi="Verdana" w:cs="Arial"/>
          <w:sz w:val="24"/>
          <w:szCs w:val="24"/>
        </w:rPr>
      </w:pPr>
      <w:r w:rsidRPr="005D64F6">
        <w:rPr>
          <w:rFonts w:ascii="Verdana" w:hAnsi="Verdana" w:cs="Arial"/>
          <w:sz w:val="24"/>
          <w:szCs w:val="24"/>
        </w:rPr>
        <w:t>En relación con los proyectos de apoyo, el más representativo corresponde a Gestión Humana, que representa el 11% de la asignación presupuestal del ICBF en 2014. Lo anterior con el propósito de mantener el talento humano, que asciende a 11.200 servidores a lo largo del territorio nacional, y con ello garantizar el correcto funcionamiento de los programas y estrategias del ICBF enfocadas a los niños, niñas, adolescentes y familias Colombianas.</w:t>
      </w:r>
    </w:p>
    <w:p w:rsidR="00AB08E1" w:rsidRPr="005D64F6" w:rsidRDefault="00AB08E1" w:rsidP="00AB08E1">
      <w:pPr>
        <w:spacing w:after="0" w:line="240" w:lineRule="auto"/>
        <w:jc w:val="both"/>
        <w:rPr>
          <w:rFonts w:ascii="Verdana" w:hAnsi="Verdana" w:cs="Arial"/>
          <w:b/>
          <w:sz w:val="24"/>
          <w:szCs w:val="24"/>
        </w:rPr>
      </w:pPr>
    </w:p>
    <w:p w:rsidR="00AB08E1" w:rsidRDefault="00AB08E1" w:rsidP="00AB08E1">
      <w:pPr>
        <w:spacing w:after="0" w:line="240" w:lineRule="auto"/>
        <w:jc w:val="both"/>
        <w:rPr>
          <w:rFonts w:ascii="Verdana" w:hAnsi="Verdana" w:cs="Arial"/>
          <w:b/>
          <w:color w:val="4F81BD" w:themeColor="accent1"/>
          <w:sz w:val="24"/>
          <w:szCs w:val="24"/>
        </w:rPr>
      </w:pPr>
    </w:p>
    <w:p w:rsidR="00AB08E1" w:rsidRDefault="00AB08E1" w:rsidP="00AB08E1">
      <w:pPr>
        <w:spacing w:after="0" w:line="240" w:lineRule="auto"/>
        <w:jc w:val="both"/>
        <w:rPr>
          <w:rFonts w:ascii="Verdana" w:hAnsi="Verdana" w:cs="Arial"/>
          <w:b/>
          <w:color w:val="4F81BD" w:themeColor="accent1"/>
          <w:sz w:val="24"/>
          <w:szCs w:val="24"/>
        </w:rPr>
      </w:pPr>
    </w:p>
    <w:p w:rsidR="00AB08E1" w:rsidRPr="00D645DC" w:rsidRDefault="00AB08E1" w:rsidP="00AB08E1">
      <w:pPr>
        <w:spacing w:after="0" w:line="240" w:lineRule="auto"/>
        <w:jc w:val="both"/>
        <w:rPr>
          <w:rFonts w:ascii="Verdana" w:hAnsi="Verdana" w:cs="Arial"/>
          <w:b/>
          <w:color w:val="4F81BD" w:themeColor="accent1"/>
          <w:sz w:val="24"/>
          <w:szCs w:val="24"/>
        </w:rPr>
      </w:pPr>
      <w:r w:rsidRPr="00D645DC">
        <w:rPr>
          <w:rFonts w:ascii="Verdana" w:hAnsi="Verdana" w:cs="Arial"/>
          <w:b/>
          <w:color w:val="4F81BD" w:themeColor="accent1"/>
          <w:sz w:val="24"/>
          <w:szCs w:val="24"/>
        </w:rPr>
        <w:t>Ejecución presupuestal y comportamiento de los proyectos de inversión</w:t>
      </w:r>
    </w:p>
    <w:p w:rsidR="00AB08E1" w:rsidRPr="005D64F6" w:rsidRDefault="00AB08E1" w:rsidP="00AB08E1">
      <w:pPr>
        <w:pStyle w:val="Ttulo3"/>
        <w:spacing w:before="0" w:line="240" w:lineRule="auto"/>
        <w:rPr>
          <w:rFonts w:ascii="Verdana" w:hAnsi="Verdana" w:cs="Arial"/>
        </w:rPr>
      </w:pPr>
    </w:p>
    <w:p w:rsidR="00AB08E1" w:rsidRDefault="00AB08E1" w:rsidP="00AB08E1">
      <w:pPr>
        <w:spacing w:after="0" w:line="240" w:lineRule="auto"/>
        <w:jc w:val="both"/>
        <w:rPr>
          <w:rFonts w:ascii="Verdana" w:hAnsi="Verdana" w:cs="Arial"/>
          <w:sz w:val="24"/>
          <w:szCs w:val="24"/>
        </w:rPr>
      </w:pPr>
      <w:r w:rsidRPr="005D64F6">
        <w:rPr>
          <w:rFonts w:ascii="Verdana" w:hAnsi="Verdana" w:cs="Arial"/>
          <w:sz w:val="24"/>
          <w:szCs w:val="24"/>
        </w:rPr>
        <w:t xml:space="preserve">El resultado de la ejecución presupuestal del ICBF para el año 2014, fue el mejor registrado en el último cuatrienio 2011-2014. </w:t>
      </w:r>
    </w:p>
    <w:p w:rsidR="00AB08E1" w:rsidRDefault="00AB08E1" w:rsidP="00AB08E1">
      <w:pPr>
        <w:spacing w:after="0" w:line="240" w:lineRule="auto"/>
        <w:jc w:val="both"/>
        <w:rPr>
          <w:rFonts w:ascii="Verdana" w:hAnsi="Verdana" w:cs="Arial"/>
          <w:sz w:val="24"/>
          <w:szCs w:val="24"/>
        </w:rPr>
      </w:pPr>
    </w:p>
    <w:p w:rsidR="00AB08E1" w:rsidRDefault="00AB08E1" w:rsidP="00AB08E1">
      <w:pPr>
        <w:spacing w:after="0" w:line="240" w:lineRule="auto"/>
        <w:jc w:val="both"/>
        <w:rPr>
          <w:rFonts w:ascii="Verdana" w:hAnsi="Verdana" w:cs="Arial"/>
          <w:b/>
        </w:rPr>
      </w:pPr>
    </w:p>
    <w:p w:rsidR="00AB08E1" w:rsidRPr="00D645DC" w:rsidRDefault="00AB08E1" w:rsidP="00AB08E1">
      <w:pPr>
        <w:spacing w:after="0" w:line="240" w:lineRule="auto"/>
        <w:rPr>
          <w:rFonts w:ascii="Verdana" w:hAnsi="Verdana" w:cs="Arial"/>
          <w:b/>
          <w:color w:val="1F497D" w:themeColor="text2"/>
        </w:rPr>
      </w:pPr>
      <w:r w:rsidRPr="00D645DC">
        <w:rPr>
          <w:rFonts w:ascii="Verdana" w:hAnsi="Verdana" w:cs="Arial"/>
          <w:b/>
          <w:color w:val="1F497D" w:themeColor="text2"/>
        </w:rPr>
        <w:t xml:space="preserve"> Ejecución presupuestal histórica 2011-2014 ICBF</w:t>
      </w:r>
    </w:p>
    <w:p w:rsidR="00AB08E1" w:rsidRPr="00B16826" w:rsidRDefault="00AB08E1" w:rsidP="00AB08E1">
      <w:pPr>
        <w:spacing w:after="0" w:line="240" w:lineRule="auto"/>
        <w:jc w:val="center"/>
        <w:rPr>
          <w:rFonts w:ascii="Verdana" w:hAnsi="Verdana"/>
          <w:noProof/>
          <w:lang w:eastAsia="es-CO"/>
        </w:rPr>
      </w:pPr>
    </w:p>
    <w:p w:rsidR="00AB08E1" w:rsidRPr="00B16826" w:rsidRDefault="00AB08E1" w:rsidP="00AB08E1">
      <w:pPr>
        <w:spacing w:after="0" w:line="240" w:lineRule="auto"/>
        <w:jc w:val="center"/>
        <w:rPr>
          <w:rFonts w:ascii="Verdana" w:hAnsi="Verdana"/>
          <w:noProof/>
          <w:lang w:eastAsia="es-CO"/>
        </w:rPr>
      </w:pPr>
    </w:p>
    <w:p w:rsidR="00AB08E1" w:rsidRPr="00B16826" w:rsidRDefault="00AB08E1" w:rsidP="00AB08E1">
      <w:pPr>
        <w:spacing w:after="0" w:line="240" w:lineRule="auto"/>
        <w:jc w:val="center"/>
        <w:rPr>
          <w:rFonts w:ascii="Verdana" w:hAnsi="Verdana"/>
          <w:noProof/>
          <w:lang w:eastAsia="es-CO"/>
        </w:rPr>
      </w:pPr>
    </w:p>
    <w:p w:rsidR="00AB08E1" w:rsidRPr="00B16826" w:rsidRDefault="00AB08E1" w:rsidP="00AB08E1">
      <w:pPr>
        <w:spacing w:after="0" w:line="240" w:lineRule="auto"/>
        <w:jc w:val="center"/>
        <w:rPr>
          <w:rFonts w:ascii="Verdana" w:hAnsi="Verdana"/>
          <w:noProof/>
          <w:lang w:eastAsia="es-CO"/>
        </w:rPr>
      </w:pPr>
      <w:r>
        <w:rPr>
          <w:rFonts w:ascii="Verdana" w:hAnsi="Verdana"/>
          <w:noProof/>
          <w:lang w:eastAsia="es-CO"/>
        </w:rPr>
        <w:drawing>
          <wp:anchor distT="0" distB="0" distL="114300" distR="114300" simplePos="0" relativeHeight="251769856" behindDoc="0" locked="0" layoutInCell="1" allowOverlap="1">
            <wp:simplePos x="0" y="0"/>
            <wp:positionH relativeFrom="margin">
              <wp:align>center</wp:align>
            </wp:positionH>
            <wp:positionV relativeFrom="paragraph">
              <wp:posOffset>5715</wp:posOffset>
            </wp:positionV>
            <wp:extent cx="5577205" cy="2676525"/>
            <wp:effectExtent l="19050" t="0" r="4445" b="0"/>
            <wp:wrapSquare wrapText="bothSides"/>
            <wp:docPr id="49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7205" cy="2676525"/>
                    </a:xfrm>
                    <a:prstGeom prst="rect">
                      <a:avLst/>
                    </a:prstGeom>
                    <a:noFill/>
                  </pic:spPr>
                </pic:pic>
              </a:graphicData>
            </a:graphic>
          </wp:anchor>
        </w:drawing>
      </w:r>
    </w:p>
    <w:p w:rsidR="00AB08E1" w:rsidRPr="00B16826" w:rsidRDefault="00AB08E1" w:rsidP="00AB08E1">
      <w:pPr>
        <w:spacing w:after="0" w:line="240" w:lineRule="auto"/>
        <w:jc w:val="center"/>
        <w:rPr>
          <w:rFonts w:ascii="Verdana" w:hAnsi="Verdana"/>
          <w:noProof/>
          <w:lang w:eastAsia="es-CO"/>
        </w:rPr>
      </w:pPr>
    </w:p>
    <w:p w:rsidR="00AB08E1" w:rsidRPr="00B16826" w:rsidRDefault="00AB08E1" w:rsidP="00AB08E1">
      <w:pPr>
        <w:spacing w:after="0" w:line="240" w:lineRule="auto"/>
        <w:jc w:val="center"/>
        <w:rPr>
          <w:rFonts w:ascii="Verdana" w:hAnsi="Verdana"/>
          <w:noProof/>
          <w:lang w:eastAsia="es-CO"/>
        </w:rPr>
      </w:pPr>
    </w:p>
    <w:p w:rsidR="00AB08E1" w:rsidRPr="00B16826" w:rsidRDefault="00AB08E1" w:rsidP="00AB08E1">
      <w:pPr>
        <w:spacing w:after="0" w:line="240" w:lineRule="auto"/>
        <w:jc w:val="center"/>
        <w:rPr>
          <w:rFonts w:ascii="Verdana" w:hAnsi="Verdana"/>
          <w:noProof/>
          <w:lang w:eastAsia="es-CO"/>
        </w:rPr>
      </w:pPr>
    </w:p>
    <w:p w:rsidR="00AB08E1" w:rsidRPr="00B16826" w:rsidRDefault="00AB08E1" w:rsidP="00AB08E1">
      <w:pPr>
        <w:spacing w:after="0" w:line="240" w:lineRule="auto"/>
        <w:jc w:val="right"/>
        <w:rPr>
          <w:rFonts w:ascii="Verdana" w:hAnsi="Verdana" w:cs="Arial"/>
        </w:rPr>
      </w:pPr>
      <w:r w:rsidRPr="00B16826">
        <w:rPr>
          <w:rFonts w:ascii="Verdana" w:hAnsi="Verdana"/>
        </w:rPr>
        <w:br w:type="textWrapping" w:clear="all"/>
      </w:r>
      <w:r w:rsidRPr="00B16826">
        <w:rPr>
          <w:rFonts w:ascii="Verdana" w:hAnsi="Verdana" w:cs="Arial"/>
          <w:b/>
          <w:sz w:val="16"/>
        </w:rPr>
        <w:t>Fuente:</w:t>
      </w:r>
      <w:r w:rsidRPr="00B16826">
        <w:rPr>
          <w:rFonts w:ascii="Verdana" w:hAnsi="Verdana" w:cs="Arial"/>
          <w:sz w:val="16"/>
        </w:rPr>
        <w:t xml:space="preserve"> SIIF. Cálculos Dirección de Planeación y Control de Gestión</w:t>
      </w:r>
    </w:p>
    <w:p w:rsidR="00AB08E1" w:rsidRPr="00D645DC" w:rsidRDefault="00AB08E1" w:rsidP="00AB08E1">
      <w:pPr>
        <w:spacing w:after="0" w:line="240" w:lineRule="auto"/>
        <w:jc w:val="right"/>
        <w:rPr>
          <w:rFonts w:ascii="Verdana" w:hAnsi="Verdana" w:cs="Arial"/>
          <w:color w:val="1F497D" w:themeColor="text2"/>
          <w:sz w:val="16"/>
        </w:rPr>
      </w:pPr>
      <w:r w:rsidRPr="00D645DC">
        <w:rPr>
          <w:rFonts w:ascii="Verdana" w:hAnsi="Verdana" w:cs="Arial"/>
          <w:color w:val="1F497D" w:themeColor="text2"/>
          <w:sz w:val="16"/>
        </w:rPr>
        <w:t>Cifras en millones de $</w:t>
      </w:r>
    </w:p>
    <w:p w:rsidR="00AB08E1" w:rsidRDefault="00AB08E1" w:rsidP="00AB08E1">
      <w:pPr>
        <w:pStyle w:val="Ttulo2"/>
        <w:spacing w:before="0" w:line="240" w:lineRule="auto"/>
        <w:jc w:val="center"/>
        <w:rPr>
          <w:rFonts w:ascii="Verdana" w:hAnsi="Verdana" w:cs="Arial"/>
          <w:sz w:val="22"/>
          <w:szCs w:val="22"/>
        </w:rPr>
      </w:pPr>
    </w:p>
    <w:p w:rsidR="00AB08E1" w:rsidRPr="005D64F6" w:rsidRDefault="00AB08E1" w:rsidP="00AB08E1">
      <w:pPr>
        <w:spacing w:after="0" w:line="240" w:lineRule="auto"/>
        <w:jc w:val="both"/>
        <w:rPr>
          <w:rFonts w:ascii="Verdana" w:hAnsi="Verdana" w:cs="Arial"/>
          <w:sz w:val="24"/>
          <w:szCs w:val="24"/>
        </w:rPr>
      </w:pPr>
      <w:r w:rsidRPr="005D64F6">
        <w:rPr>
          <w:rFonts w:ascii="Verdana" w:hAnsi="Verdana" w:cs="Arial"/>
          <w:sz w:val="24"/>
          <w:szCs w:val="24"/>
        </w:rPr>
        <w:t xml:space="preserve">De igual forma, con niveles de ejecución </w:t>
      </w:r>
      <w:r w:rsidRPr="00D645DC">
        <w:rPr>
          <w:rFonts w:ascii="Verdana" w:hAnsi="Verdana" w:cs="Arial"/>
          <w:sz w:val="24"/>
          <w:szCs w:val="24"/>
        </w:rPr>
        <w:t>comprometida del 98,1% y con obligaciones del 96,6%, el ICBF se ubica en el primer lugar de ejecución entre las entidades que conforman el Sector Inclusión Social.</w:t>
      </w:r>
      <w:r w:rsidRPr="005D64F6">
        <w:rPr>
          <w:rFonts w:ascii="Verdana" w:hAnsi="Verdana" w:cs="Arial"/>
          <w:sz w:val="24"/>
          <w:szCs w:val="24"/>
        </w:rPr>
        <w:t xml:space="preserve"> </w:t>
      </w:r>
    </w:p>
    <w:p w:rsidR="00AB08E1" w:rsidRPr="005D64F6" w:rsidRDefault="00AB08E1" w:rsidP="00AB08E1">
      <w:pPr>
        <w:spacing w:after="0" w:line="240" w:lineRule="auto"/>
        <w:jc w:val="both"/>
        <w:rPr>
          <w:rFonts w:ascii="Verdana" w:hAnsi="Verdana" w:cs="Arial"/>
          <w:sz w:val="24"/>
          <w:szCs w:val="24"/>
        </w:rPr>
      </w:pPr>
    </w:p>
    <w:p w:rsidR="00AB08E1" w:rsidRPr="00D04816" w:rsidRDefault="00AB08E1" w:rsidP="00AB08E1">
      <w:pPr>
        <w:spacing w:after="0" w:line="240" w:lineRule="auto"/>
        <w:jc w:val="center"/>
        <w:rPr>
          <w:rFonts w:ascii="Verdana" w:hAnsi="Verdana" w:cs="Arial"/>
          <w:b/>
          <w:color w:val="1F497D" w:themeColor="text2"/>
        </w:rPr>
      </w:pPr>
      <w:r w:rsidRPr="00D04816">
        <w:rPr>
          <w:rFonts w:ascii="Verdana" w:hAnsi="Verdana" w:cs="Arial"/>
          <w:b/>
          <w:color w:val="1F497D" w:themeColor="text2"/>
        </w:rPr>
        <w:t>Ejecución presupuestal ICBF 2014</w:t>
      </w:r>
    </w:p>
    <w:p w:rsidR="00AB08E1" w:rsidRDefault="00AB08E1" w:rsidP="00AB08E1">
      <w:pPr>
        <w:spacing w:after="0" w:line="240" w:lineRule="auto"/>
        <w:jc w:val="center"/>
        <w:rPr>
          <w:rFonts w:ascii="Verdana" w:hAnsi="Verdana" w:cs="Arial"/>
          <w:sz w:val="16"/>
        </w:rPr>
      </w:pPr>
      <w:r w:rsidRPr="00B16826">
        <w:rPr>
          <w:rFonts w:ascii="Verdana" w:hAnsi="Verdana" w:cs="Arial"/>
          <w:sz w:val="16"/>
        </w:rPr>
        <w:t>Cifras en millones de $</w:t>
      </w:r>
    </w:p>
    <w:tbl>
      <w:tblPr>
        <w:tblW w:w="9600" w:type="dxa"/>
        <w:tblCellMar>
          <w:left w:w="0" w:type="dxa"/>
          <w:right w:w="0" w:type="dxa"/>
        </w:tblCellMar>
        <w:tblLook w:val="04A0"/>
      </w:tblPr>
      <w:tblGrid>
        <w:gridCol w:w="2431"/>
        <w:gridCol w:w="1518"/>
        <w:gridCol w:w="1580"/>
        <w:gridCol w:w="1717"/>
        <w:gridCol w:w="1177"/>
        <w:gridCol w:w="1177"/>
      </w:tblGrid>
      <w:tr w:rsidR="00AB08E1" w:rsidRPr="00D645DC" w:rsidTr="00F33CF6">
        <w:trPr>
          <w:trHeight w:val="474"/>
        </w:trPr>
        <w:tc>
          <w:tcPr>
            <w:tcW w:w="2431" w:type="dxa"/>
            <w:tcBorders>
              <w:top w:val="nil"/>
              <w:left w:val="nil"/>
              <w:bottom w:val="single" w:sz="12" w:space="0" w:color="FFFFFF"/>
              <w:right w:val="single" w:sz="4" w:space="0" w:color="FFFFFF"/>
            </w:tcBorders>
            <w:shd w:val="clear" w:color="auto" w:fill="4F81BD"/>
            <w:tcMar>
              <w:top w:w="14" w:type="dxa"/>
              <w:left w:w="14" w:type="dxa"/>
              <w:bottom w:w="0" w:type="dxa"/>
              <w:right w:w="14" w:type="dxa"/>
            </w:tcMar>
            <w:vAlign w:val="center"/>
            <w:hideMark/>
          </w:tcPr>
          <w:p w:rsidR="00AB08E1" w:rsidRPr="00D04816" w:rsidRDefault="00AB08E1" w:rsidP="00F33CF6">
            <w:pPr>
              <w:tabs>
                <w:tab w:val="left" w:pos="1395"/>
              </w:tabs>
              <w:spacing w:after="0" w:line="240" w:lineRule="auto"/>
              <w:jc w:val="center"/>
              <w:rPr>
                <w:rFonts w:ascii="Verdana" w:hAnsi="Verdana" w:cs="Arial"/>
                <w:color w:val="FFFFFF" w:themeColor="background1"/>
                <w:sz w:val="20"/>
                <w:szCs w:val="24"/>
              </w:rPr>
            </w:pPr>
            <w:r w:rsidRPr="00D04816">
              <w:rPr>
                <w:rFonts w:ascii="Verdana" w:hAnsi="Verdana" w:cs="Arial"/>
                <w:b/>
                <w:bCs/>
                <w:color w:val="FFFFFF" w:themeColor="background1"/>
                <w:sz w:val="20"/>
                <w:szCs w:val="24"/>
              </w:rPr>
              <w:t>Rubro</w:t>
            </w:r>
          </w:p>
        </w:tc>
        <w:tc>
          <w:tcPr>
            <w:tcW w:w="1518" w:type="dxa"/>
            <w:tcBorders>
              <w:top w:val="nil"/>
              <w:left w:val="single" w:sz="4" w:space="0" w:color="FFFFFF"/>
              <w:bottom w:val="single" w:sz="12" w:space="0" w:color="FFFFFF"/>
              <w:right w:val="single" w:sz="4" w:space="0" w:color="FFFFFF"/>
            </w:tcBorders>
            <w:shd w:val="clear" w:color="auto" w:fill="4F81BD"/>
            <w:tcMar>
              <w:top w:w="14" w:type="dxa"/>
              <w:left w:w="14" w:type="dxa"/>
              <w:bottom w:w="0" w:type="dxa"/>
              <w:right w:w="14" w:type="dxa"/>
            </w:tcMar>
            <w:vAlign w:val="center"/>
            <w:hideMark/>
          </w:tcPr>
          <w:p w:rsidR="00AB08E1" w:rsidRPr="00D04816" w:rsidRDefault="00AB08E1" w:rsidP="00F33CF6">
            <w:pPr>
              <w:tabs>
                <w:tab w:val="left" w:pos="1395"/>
              </w:tabs>
              <w:spacing w:after="0" w:line="240" w:lineRule="auto"/>
              <w:jc w:val="center"/>
              <w:rPr>
                <w:rFonts w:ascii="Verdana" w:hAnsi="Verdana" w:cs="Arial"/>
                <w:color w:val="FFFFFF" w:themeColor="background1"/>
                <w:sz w:val="20"/>
                <w:szCs w:val="24"/>
              </w:rPr>
            </w:pPr>
            <w:r w:rsidRPr="00D04816">
              <w:rPr>
                <w:rFonts w:ascii="Verdana" w:hAnsi="Verdana" w:cs="Arial"/>
                <w:b/>
                <w:bCs/>
                <w:color w:val="FFFFFF" w:themeColor="background1"/>
                <w:sz w:val="20"/>
                <w:szCs w:val="24"/>
              </w:rPr>
              <w:t>Apropiación</w:t>
            </w:r>
          </w:p>
        </w:tc>
        <w:tc>
          <w:tcPr>
            <w:tcW w:w="1580" w:type="dxa"/>
            <w:tcBorders>
              <w:top w:val="nil"/>
              <w:left w:val="single" w:sz="4" w:space="0" w:color="FFFFFF"/>
              <w:bottom w:val="single" w:sz="12" w:space="0" w:color="FFFFFF"/>
              <w:right w:val="single" w:sz="4" w:space="0" w:color="FFFFFF"/>
            </w:tcBorders>
            <w:shd w:val="clear" w:color="auto" w:fill="4F81BD"/>
            <w:tcMar>
              <w:top w:w="14" w:type="dxa"/>
              <w:left w:w="14" w:type="dxa"/>
              <w:bottom w:w="0" w:type="dxa"/>
              <w:right w:w="14" w:type="dxa"/>
            </w:tcMar>
            <w:vAlign w:val="center"/>
            <w:hideMark/>
          </w:tcPr>
          <w:p w:rsidR="00AB08E1" w:rsidRPr="00D04816" w:rsidRDefault="00AB08E1" w:rsidP="00F33CF6">
            <w:pPr>
              <w:tabs>
                <w:tab w:val="left" w:pos="1395"/>
              </w:tabs>
              <w:spacing w:after="0" w:line="240" w:lineRule="auto"/>
              <w:jc w:val="center"/>
              <w:rPr>
                <w:rFonts w:ascii="Verdana" w:hAnsi="Verdana" w:cs="Arial"/>
                <w:color w:val="FFFFFF" w:themeColor="background1"/>
                <w:sz w:val="20"/>
                <w:szCs w:val="24"/>
              </w:rPr>
            </w:pPr>
            <w:r w:rsidRPr="00D04816">
              <w:rPr>
                <w:rFonts w:ascii="Verdana" w:hAnsi="Verdana" w:cs="Arial"/>
                <w:b/>
                <w:bCs/>
                <w:color w:val="FFFFFF" w:themeColor="background1"/>
                <w:sz w:val="20"/>
                <w:szCs w:val="24"/>
              </w:rPr>
              <w:t>Compromisos</w:t>
            </w:r>
          </w:p>
        </w:tc>
        <w:tc>
          <w:tcPr>
            <w:tcW w:w="1717" w:type="dxa"/>
            <w:tcBorders>
              <w:top w:val="nil"/>
              <w:left w:val="single" w:sz="4" w:space="0" w:color="FFFFFF"/>
              <w:bottom w:val="single" w:sz="12" w:space="0" w:color="FFFFFF"/>
              <w:right w:val="single" w:sz="4" w:space="0" w:color="FFFFFF"/>
            </w:tcBorders>
            <w:shd w:val="clear" w:color="auto" w:fill="4F81BD"/>
            <w:tcMar>
              <w:top w:w="14" w:type="dxa"/>
              <w:left w:w="14" w:type="dxa"/>
              <w:bottom w:w="0" w:type="dxa"/>
              <w:right w:w="14" w:type="dxa"/>
            </w:tcMar>
            <w:vAlign w:val="center"/>
            <w:hideMark/>
          </w:tcPr>
          <w:p w:rsidR="00AB08E1" w:rsidRPr="00D04816" w:rsidRDefault="00AB08E1" w:rsidP="00F33CF6">
            <w:pPr>
              <w:tabs>
                <w:tab w:val="left" w:pos="1395"/>
              </w:tabs>
              <w:spacing w:after="0" w:line="240" w:lineRule="auto"/>
              <w:jc w:val="center"/>
              <w:rPr>
                <w:rFonts w:ascii="Verdana" w:hAnsi="Verdana" w:cs="Arial"/>
                <w:color w:val="FFFFFF" w:themeColor="background1"/>
                <w:sz w:val="20"/>
                <w:szCs w:val="24"/>
              </w:rPr>
            </w:pPr>
            <w:r w:rsidRPr="00D04816">
              <w:rPr>
                <w:rFonts w:ascii="Verdana" w:hAnsi="Verdana" w:cs="Arial"/>
                <w:b/>
                <w:bCs/>
                <w:color w:val="FFFFFF" w:themeColor="background1"/>
                <w:sz w:val="20"/>
                <w:szCs w:val="24"/>
              </w:rPr>
              <w:t>Obligaciones</w:t>
            </w:r>
          </w:p>
        </w:tc>
        <w:tc>
          <w:tcPr>
            <w:tcW w:w="1177" w:type="dxa"/>
            <w:tcBorders>
              <w:top w:val="nil"/>
              <w:left w:val="single" w:sz="4" w:space="0" w:color="FFFFFF"/>
              <w:bottom w:val="single" w:sz="12" w:space="0" w:color="FFFFFF"/>
              <w:right w:val="single" w:sz="4" w:space="0" w:color="FFFFFF"/>
            </w:tcBorders>
            <w:shd w:val="clear" w:color="auto" w:fill="4F81BD"/>
            <w:tcMar>
              <w:top w:w="14" w:type="dxa"/>
              <w:left w:w="14" w:type="dxa"/>
              <w:bottom w:w="0" w:type="dxa"/>
              <w:right w:w="14" w:type="dxa"/>
            </w:tcMar>
            <w:vAlign w:val="center"/>
            <w:hideMark/>
          </w:tcPr>
          <w:p w:rsidR="00AB08E1" w:rsidRPr="00D04816" w:rsidRDefault="00AB08E1" w:rsidP="00F33CF6">
            <w:pPr>
              <w:tabs>
                <w:tab w:val="left" w:pos="1395"/>
              </w:tabs>
              <w:spacing w:after="0" w:line="240" w:lineRule="auto"/>
              <w:jc w:val="center"/>
              <w:rPr>
                <w:rFonts w:ascii="Verdana" w:hAnsi="Verdana" w:cs="Arial"/>
                <w:color w:val="FFFFFF" w:themeColor="background1"/>
                <w:sz w:val="20"/>
                <w:szCs w:val="24"/>
              </w:rPr>
            </w:pPr>
            <w:r w:rsidRPr="00D04816">
              <w:rPr>
                <w:rFonts w:ascii="Verdana" w:hAnsi="Verdana" w:cs="Arial"/>
                <w:b/>
                <w:bCs/>
                <w:color w:val="FFFFFF" w:themeColor="background1"/>
                <w:sz w:val="20"/>
                <w:szCs w:val="24"/>
              </w:rPr>
              <w:t>% Comp.</w:t>
            </w:r>
          </w:p>
        </w:tc>
        <w:tc>
          <w:tcPr>
            <w:tcW w:w="1177" w:type="dxa"/>
            <w:tcBorders>
              <w:top w:val="nil"/>
              <w:left w:val="single" w:sz="4" w:space="0" w:color="FFFFFF"/>
              <w:bottom w:val="single" w:sz="12" w:space="0" w:color="FFFFFF"/>
              <w:right w:val="single" w:sz="4" w:space="0" w:color="FFFFFF"/>
            </w:tcBorders>
            <w:shd w:val="clear" w:color="auto" w:fill="4F81BD"/>
            <w:tcMar>
              <w:top w:w="14" w:type="dxa"/>
              <w:left w:w="14" w:type="dxa"/>
              <w:bottom w:w="0" w:type="dxa"/>
              <w:right w:w="14" w:type="dxa"/>
            </w:tcMar>
            <w:vAlign w:val="center"/>
            <w:hideMark/>
          </w:tcPr>
          <w:p w:rsidR="00AB08E1" w:rsidRPr="00D04816" w:rsidRDefault="00AB08E1" w:rsidP="00F33CF6">
            <w:pPr>
              <w:tabs>
                <w:tab w:val="left" w:pos="1395"/>
              </w:tabs>
              <w:spacing w:after="0" w:line="240" w:lineRule="auto"/>
              <w:jc w:val="center"/>
              <w:rPr>
                <w:rFonts w:ascii="Verdana" w:hAnsi="Verdana" w:cs="Arial"/>
                <w:color w:val="FFFFFF" w:themeColor="background1"/>
                <w:sz w:val="20"/>
                <w:szCs w:val="24"/>
              </w:rPr>
            </w:pPr>
            <w:r w:rsidRPr="00D04816">
              <w:rPr>
                <w:rFonts w:ascii="Verdana" w:hAnsi="Verdana" w:cs="Arial"/>
                <w:b/>
                <w:bCs/>
                <w:color w:val="FFFFFF" w:themeColor="background1"/>
                <w:sz w:val="20"/>
                <w:szCs w:val="24"/>
              </w:rPr>
              <w:t>% Obli.</w:t>
            </w:r>
          </w:p>
        </w:tc>
      </w:tr>
      <w:tr w:rsidR="00AB08E1" w:rsidRPr="00D645DC" w:rsidTr="00F33CF6">
        <w:trPr>
          <w:trHeight w:val="279"/>
        </w:trPr>
        <w:tc>
          <w:tcPr>
            <w:tcW w:w="2431" w:type="dxa"/>
            <w:tcBorders>
              <w:top w:val="single" w:sz="12" w:space="0" w:color="FFFFFF"/>
              <w:left w:val="nil"/>
              <w:bottom w:val="single" w:sz="4" w:space="0" w:color="FFFFFF"/>
              <w:right w:val="single" w:sz="4" w:space="0" w:color="FFFFFF"/>
            </w:tcBorders>
            <w:shd w:val="clear" w:color="auto" w:fill="B8CCE4"/>
            <w:tcMar>
              <w:top w:w="14" w:type="dxa"/>
              <w:left w:w="14" w:type="dxa"/>
              <w:bottom w:w="0" w:type="dxa"/>
              <w:right w:w="14" w:type="dxa"/>
            </w:tcMar>
            <w:hideMark/>
          </w:tcPr>
          <w:p w:rsidR="00AB08E1" w:rsidRPr="00D04816" w:rsidRDefault="00AB08E1" w:rsidP="00F33CF6">
            <w:pPr>
              <w:spacing w:after="0" w:line="240" w:lineRule="auto"/>
              <w:jc w:val="both"/>
              <w:rPr>
                <w:rFonts w:ascii="Verdana" w:hAnsi="Verdana" w:cs="Arial"/>
                <w:sz w:val="20"/>
                <w:szCs w:val="24"/>
              </w:rPr>
            </w:pPr>
            <w:r w:rsidRPr="00D04816">
              <w:rPr>
                <w:rFonts w:ascii="Verdana" w:hAnsi="Verdana" w:cs="Arial"/>
                <w:sz w:val="20"/>
                <w:szCs w:val="24"/>
              </w:rPr>
              <w:t>Funcionamiento</w:t>
            </w:r>
          </w:p>
        </w:tc>
        <w:tc>
          <w:tcPr>
            <w:tcW w:w="1518" w:type="dxa"/>
            <w:tcBorders>
              <w:top w:val="single" w:sz="12" w:space="0" w:color="FFFFFF"/>
              <w:left w:val="single" w:sz="4" w:space="0" w:color="FFFFFF"/>
              <w:bottom w:val="single" w:sz="4" w:space="0" w:color="FFFFFF"/>
              <w:right w:val="single" w:sz="4" w:space="0" w:color="FFFFFF"/>
            </w:tcBorders>
            <w:shd w:val="clear" w:color="auto" w:fill="B8CCE4"/>
            <w:tcMar>
              <w:top w:w="14" w:type="dxa"/>
              <w:left w:w="14" w:type="dxa"/>
              <w:bottom w:w="0" w:type="dxa"/>
              <w:right w:w="14" w:type="dxa"/>
            </w:tcMar>
            <w:hideMark/>
          </w:tcPr>
          <w:p w:rsidR="00AB08E1" w:rsidRPr="00D04816" w:rsidRDefault="00AB08E1" w:rsidP="00F33CF6">
            <w:pPr>
              <w:spacing w:after="0" w:line="240" w:lineRule="auto"/>
              <w:jc w:val="both"/>
              <w:rPr>
                <w:rFonts w:ascii="Verdana" w:hAnsi="Verdana" w:cs="Arial"/>
                <w:sz w:val="20"/>
                <w:szCs w:val="24"/>
              </w:rPr>
            </w:pPr>
            <w:r w:rsidRPr="00D04816">
              <w:rPr>
                <w:rFonts w:ascii="Verdana" w:hAnsi="Verdana" w:cs="Arial"/>
                <w:sz w:val="20"/>
                <w:szCs w:val="24"/>
              </w:rPr>
              <w:t>320.320</w:t>
            </w:r>
          </w:p>
        </w:tc>
        <w:tc>
          <w:tcPr>
            <w:tcW w:w="1580" w:type="dxa"/>
            <w:tcBorders>
              <w:top w:val="single" w:sz="12" w:space="0" w:color="FFFFFF"/>
              <w:left w:val="single" w:sz="4" w:space="0" w:color="FFFFFF"/>
              <w:bottom w:val="single" w:sz="4" w:space="0" w:color="FFFFFF"/>
              <w:right w:val="single" w:sz="4" w:space="0" w:color="FFFFFF"/>
            </w:tcBorders>
            <w:shd w:val="clear" w:color="auto" w:fill="B8CCE4"/>
            <w:tcMar>
              <w:top w:w="14" w:type="dxa"/>
              <w:left w:w="14" w:type="dxa"/>
              <w:bottom w:w="0" w:type="dxa"/>
              <w:right w:w="14" w:type="dxa"/>
            </w:tcMar>
            <w:hideMark/>
          </w:tcPr>
          <w:p w:rsidR="00AB08E1" w:rsidRPr="00D04816" w:rsidRDefault="00AB08E1" w:rsidP="00F33CF6">
            <w:pPr>
              <w:spacing w:after="0" w:line="240" w:lineRule="auto"/>
              <w:jc w:val="both"/>
              <w:rPr>
                <w:rFonts w:ascii="Verdana" w:hAnsi="Verdana" w:cs="Arial"/>
                <w:sz w:val="20"/>
                <w:szCs w:val="24"/>
              </w:rPr>
            </w:pPr>
            <w:r w:rsidRPr="00D04816">
              <w:rPr>
                <w:rFonts w:ascii="Verdana" w:hAnsi="Verdana" w:cs="Arial"/>
                <w:sz w:val="20"/>
                <w:szCs w:val="24"/>
              </w:rPr>
              <w:t>308.802</w:t>
            </w:r>
          </w:p>
        </w:tc>
        <w:tc>
          <w:tcPr>
            <w:tcW w:w="1717" w:type="dxa"/>
            <w:tcBorders>
              <w:top w:val="single" w:sz="12" w:space="0" w:color="FFFFFF"/>
              <w:left w:val="single" w:sz="4" w:space="0" w:color="FFFFFF"/>
              <w:bottom w:val="single" w:sz="4" w:space="0" w:color="FFFFFF"/>
              <w:right w:val="single" w:sz="4" w:space="0" w:color="FFFFFF"/>
            </w:tcBorders>
            <w:shd w:val="clear" w:color="auto" w:fill="B8CCE4"/>
            <w:tcMar>
              <w:top w:w="14" w:type="dxa"/>
              <w:left w:w="14" w:type="dxa"/>
              <w:bottom w:w="0" w:type="dxa"/>
              <w:right w:w="14" w:type="dxa"/>
            </w:tcMar>
            <w:hideMark/>
          </w:tcPr>
          <w:p w:rsidR="00AB08E1" w:rsidRPr="00D04816" w:rsidRDefault="00AB08E1" w:rsidP="00F33CF6">
            <w:pPr>
              <w:spacing w:after="0" w:line="240" w:lineRule="auto"/>
              <w:jc w:val="both"/>
              <w:rPr>
                <w:rFonts w:ascii="Verdana" w:hAnsi="Verdana" w:cs="Arial"/>
                <w:sz w:val="20"/>
                <w:szCs w:val="24"/>
              </w:rPr>
            </w:pPr>
            <w:r w:rsidRPr="00D04816">
              <w:rPr>
                <w:rFonts w:ascii="Verdana" w:hAnsi="Verdana" w:cs="Arial"/>
                <w:sz w:val="20"/>
                <w:szCs w:val="24"/>
              </w:rPr>
              <w:t>307.618</w:t>
            </w:r>
          </w:p>
        </w:tc>
        <w:tc>
          <w:tcPr>
            <w:tcW w:w="1177" w:type="dxa"/>
            <w:tcBorders>
              <w:top w:val="single" w:sz="12" w:space="0" w:color="FFFFFF"/>
              <w:left w:val="single" w:sz="4" w:space="0" w:color="FFFFFF"/>
              <w:bottom w:val="single" w:sz="4" w:space="0" w:color="FFFFFF"/>
              <w:right w:val="single" w:sz="4" w:space="0" w:color="FFFFFF"/>
            </w:tcBorders>
            <w:shd w:val="clear" w:color="auto" w:fill="B8CCE4"/>
            <w:tcMar>
              <w:top w:w="14" w:type="dxa"/>
              <w:left w:w="14" w:type="dxa"/>
              <w:bottom w:w="0" w:type="dxa"/>
              <w:right w:w="14" w:type="dxa"/>
            </w:tcMar>
            <w:hideMark/>
          </w:tcPr>
          <w:p w:rsidR="00AB08E1" w:rsidRPr="00D04816" w:rsidRDefault="00AB08E1" w:rsidP="00F33CF6">
            <w:pPr>
              <w:spacing w:after="0" w:line="240" w:lineRule="auto"/>
              <w:jc w:val="both"/>
              <w:rPr>
                <w:rFonts w:ascii="Verdana" w:hAnsi="Verdana" w:cs="Arial"/>
                <w:sz w:val="20"/>
                <w:szCs w:val="24"/>
              </w:rPr>
            </w:pPr>
            <w:r w:rsidRPr="00D04816">
              <w:rPr>
                <w:rFonts w:ascii="Verdana" w:hAnsi="Verdana" w:cs="Arial"/>
                <w:sz w:val="20"/>
                <w:szCs w:val="24"/>
              </w:rPr>
              <w:t>96,40%</w:t>
            </w:r>
          </w:p>
        </w:tc>
        <w:tc>
          <w:tcPr>
            <w:tcW w:w="1177" w:type="dxa"/>
            <w:tcBorders>
              <w:top w:val="single" w:sz="12" w:space="0" w:color="FFFFFF"/>
              <w:left w:val="single" w:sz="4" w:space="0" w:color="FFFFFF"/>
              <w:bottom w:val="single" w:sz="4" w:space="0" w:color="FFFFFF"/>
              <w:right w:val="single" w:sz="4" w:space="0" w:color="FFFFFF"/>
            </w:tcBorders>
            <w:shd w:val="clear" w:color="auto" w:fill="B8CCE4"/>
            <w:tcMar>
              <w:top w:w="14" w:type="dxa"/>
              <w:left w:w="14" w:type="dxa"/>
              <w:bottom w:w="0" w:type="dxa"/>
              <w:right w:w="14" w:type="dxa"/>
            </w:tcMar>
            <w:hideMark/>
          </w:tcPr>
          <w:p w:rsidR="00AB08E1" w:rsidRPr="00D04816" w:rsidRDefault="00AB08E1" w:rsidP="00F33CF6">
            <w:pPr>
              <w:spacing w:after="0" w:line="240" w:lineRule="auto"/>
              <w:jc w:val="both"/>
              <w:rPr>
                <w:rFonts w:ascii="Verdana" w:hAnsi="Verdana" w:cs="Arial"/>
                <w:sz w:val="20"/>
                <w:szCs w:val="24"/>
              </w:rPr>
            </w:pPr>
            <w:r w:rsidRPr="00D04816">
              <w:rPr>
                <w:rFonts w:ascii="Verdana" w:hAnsi="Verdana" w:cs="Arial"/>
                <w:sz w:val="20"/>
                <w:szCs w:val="24"/>
              </w:rPr>
              <w:t>96,00%</w:t>
            </w:r>
          </w:p>
        </w:tc>
      </w:tr>
      <w:tr w:rsidR="00AB08E1" w:rsidRPr="00D645DC" w:rsidTr="00F33CF6">
        <w:trPr>
          <w:trHeight w:val="279"/>
        </w:trPr>
        <w:tc>
          <w:tcPr>
            <w:tcW w:w="2431" w:type="dxa"/>
            <w:tcBorders>
              <w:top w:val="single" w:sz="4" w:space="0" w:color="FFFFFF"/>
              <w:left w:val="nil"/>
              <w:bottom w:val="single" w:sz="4" w:space="0" w:color="FFFFFF"/>
              <w:right w:val="single" w:sz="4" w:space="0" w:color="FFFFFF"/>
            </w:tcBorders>
            <w:shd w:val="clear" w:color="auto" w:fill="DBE5F1"/>
            <w:tcMar>
              <w:top w:w="14" w:type="dxa"/>
              <w:left w:w="14" w:type="dxa"/>
              <w:bottom w:w="0" w:type="dxa"/>
              <w:right w:w="14" w:type="dxa"/>
            </w:tcMar>
            <w:hideMark/>
          </w:tcPr>
          <w:p w:rsidR="00AB08E1" w:rsidRPr="00D04816" w:rsidRDefault="00AB08E1" w:rsidP="00F33CF6">
            <w:pPr>
              <w:spacing w:after="0" w:line="240" w:lineRule="auto"/>
              <w:jc w:val="both"/>
              <w:rPr>
                <w:rFonts w:ascii="Verdana" w:hAnsi="Verdana" w:cs="Arial"/>
                <w:sz w:val="20"/>
                <w:szCs w:val="24"/>
              </w:rPr>
            </w:pPr>
            <w:r w:rsidRPr="00D04816">
              <w:rPr>
                <w:rFonts w:ascii="Verdana" w:hAnsi="Verdana" w:cs="Arial"/>
                <w:sz w:val="20"/>
                <w:szCs w:val="24"/>
              </w:rPr>
              <w:t>Inversión</w:t>
            </w:r>
          </w:p>
        </w:tc>
        <w:tc>
          <w:tcPr>
            <w:tcW w:w="1518" w:type="dxa"/>
            <w:tcBorders>
              <w:top w:val="single" w:sz="4" w:space="0" w:color="FFFFFF"/>
              <w:left w:val="single" w:sz="4" w:space="0" w:color="FFFFFF"/>
              <w:bottom w:val="single" w:sz="4" w:space="0" w:color="FFFFFF"/>
              <w:right w:val="single" w:sz="4" w:space="0" w:color="FFFFFF"/>
            </w:tcBorders>
            <w:shd w:val="clear" w:color="auto" w:fill="DBE5F1"/>
            <w:tcMar>
              <w:top w:w="14" w:type="dxa"/>
              <w:left w:w="14" w:type="dxa"/>
              <w:bottom w:w="0" w:type="dxa"/>
              <w:right w:w="14" w:type="dxa"/>
            </w:tcMar>
            <w:hideMark/>
          </w:tcPr>
          <w:p w:rsidR="00AB08E1" w:rsidRPr="00D04816" w:rsidRDefault="00AB08E1" w:rsidP="00F33CF6">
            <w:pPr>
              <w:spacing w:after="0" w:line="240" w:lineRule="auto"/>
              <w:jc w:val="both"/>
              <w:rPr>
                <w:rFonts w:ascii="Verdana" w:hAnsi="Verdana" w:cs="Arial"/>
                <w:sz w:val="20"/>
                <w:szCs w:val="24"/>
              </w:rPr>
            </w:pPr>
            <w:r w:rsidRPr="00D04816">
              <w:rPr>
                <w:rFonts w:ascii="Verdana" w:hAnsi="Verdana" w:cs="Arial"/>
                <w:sz w:val="20"/>
                <w:szCs w:val="24"/>
              </w:rPr>
              <w:t>4.306.803</w:t>
            </w:r>
          </w:p>
        </w:tc>
        <w:tc>
          <w:tcPr>
            <w:tcW w:w="1580" w:type="dxa"/>
            <w:tcBorders>
              <w:top w:val="single" w:sz="4" w:space="0" w:color="FFFFFF"/>
              <w:left w:val="single" w:sz="4" w:space="0" w:color="FFFFFF"/>
              <w:bottom w:val="single" w:sz="4" w:space="0" w:color="FFFFFF"/>
              <w:right w:val="single" w:sz="4" w:space="0" w:color="FFFFFF"/>
            </w:tcBorders>
            <w:shd w:val="clear" w:color="auto" w:fill="DBE5F1"/>
            <w:tcMar>
              <w:top w:w="14" w:type="dxa"/>
              <w:left w:w="14" w:type="dxa"/>
              <w:bottom w:w="0" w:type="dxa"/>
              <w:right w:w="14" w:type="dxa"/>
            </w:tcMar>
            <w:hideMark/>
          </w:tcPr>
          <w:p w:rsidR="00AB08E1" w:rsidRPr="00D04816" w:rsidRDefault="00AB08E1" w:rsidP="00F33CF6">
            <w:pPr>
              <w:spacing w:after="0" w:line="240" w:lineRule="auto"/>
              <w:jc w:val="both"/>
              <w:rPr>
                <w:rFonts w:ascii="Verdana" w:hAnsi="Verdana" w:cs="Arial"/>
                <w:sz w:val="20"/>
                <w:szCs w:val="24"/>
              </w:rPr>
            </w:pPr>
            <w:r w:rsidRPr="00D04816">
              <w:rPr>
                <w:rFonts w:ascii="Verdana" w:hAnsi="Verdana" w:cs="Arial"/>
                <w:sz w:val="20"/>
                <w:szCs w:val="24"/>
              </w:rPr>
              <w:t>4.230.159</w:t>
            </w:r>
          </w:p>
        </w:tc>
        <w:tc>
          <w:tcPr>
            <w:tcW w:w="1717" w:type="dxa"/>
            <w:tcBorders>
              <w:top w:val="single" w:sz="4" w:space="0" w:color="FFFFFF"/>
              <w:left w:val="single" w:sz="4" w:space="0" w:color="FFFFFF"/>
              <w:bottom w:val="single" w:sz="4" w:space="0" w:color="FFFFFF"/>
              <w:right w:val="single" w:sz="4" w:space="0" w:color="FFFFFF"/>
            </w:tcBorders>
            <w:shd w:val="clear" w:color="auto" w:fill="DBE5F1"/>
            <w:tcMar>
              <w:top w:w="14" w:type="dxa"/>
              <w:left w:w="14" w:type="dxa"/>
              <w:bottom w:w="0" w:type="dxa"/>
              <w:right w:w="14" w:type="dxa"/>
            </w:tcMar>
            <w:hideMark/>
          </w:tcPr>
          <w:p w:rsidR="00AB08E1" w:rsidRPr="00D04816" w:rsidRDefault="00AB08E1" w:rsidP="00F33CF6">
            <w:pPr>
              <w:spacing w:after="0" w:line="240" w:lineRule="auto"/>
              <w:jc w:val="both"/>
              <w:rPr>
                <w:rFonts w:ascii="Verdana" w:hAnsi="Verdana" w:cs="Arial"/>
                <w:sz w:val="20"/>
                <w:szCs w:val="24"/>
              </w:rPr>
            </w:pPr>
            <w:r w:rsidRPr="00D04816">
              <w:rPr>
                <w:rFonts w:ascii="Verdana" w:hAnsi="Verdana" w:cs="Arial"/>
                <w:sz w:val="20"/>
                <w:szCs w:val="24"/>
              </w:rPr>
              <w:t>4.160.219</w:t>
            </w:r>
          </w:p>
        </w:tc>
        <w:tc>
          <w:tcPr>
            <w:tcW w:w="1177" w:type="dxa"/>
            <w:tcBorders>
              <w:top w:val="single" w:sz="4" w:space="0" w:color="FFFFFF"/>
              <w:left w:val="single" w:sz="4" w:space="0" w:color="FFFFFF"/>
              <w:bottom w:val="single" w:sz="4" w:space="0" w:color="FFFFFF"/>
              <w:right w:val="single" w:sz="4" w:space="0" w:color="FFFFFF"/>
            </w:tcBorders>
            <w:shd w:val="clear" w:color="auto" w:fill="DBE5F1"/>
            <w:tcMar>
              <w:top w:w="14" w:type="dxa"/>
              <w:left w:w="14" w:type="dxa"/>
              <w:bottom w:w="0" w:type="dxa"/>
              <w:right w:w="14" w:type="dxa"/>
            </w:tcMar>
            <w:hideMark/>
          </w:tcPr>
          <w:p w:rsidR="00AB08E1" w:rsidRPr="00D04816" w:rsidRDefault="00AB08E1" w:rsidP="00F33CF6">
            <w:pPr>
              <w:spacing w:after="0" w:line="240" w:lineRule="auto"/>
              <w:jc w:val="both"/>
              <w:rPr>
                <w:rFonts w:ascii="Verdana" w:hAnsi="Verdana" w:cs="Arial"/>
                <w:sz w:val="20"/>
                <w:szCs w:val="24"/>
              </w:rPr>
            </w:pPr>
            <w:r w:rsidRPr="00D04816">
              <w:rPr>
                <w:rFonts w:ascii="Verdana" w:hAnsi="Verdana" w:cs="Arial"/>
                <w:sz w:val="20"/>
                <w:szCs w:val="24"/>
              </w:rPr>
              <w:t>98,20%</w:t>
            </w:r>
          </w:p>
        </w:tc>
        <w:tc>
          <w:tcPr>
            <w:tcW w:w="1177" w:type="dxa"/>
            <w:tcBorders>
              <w:top w:val="single" w:sz="4" w:space="0" w:color="FFFFFF"/>
              <w:left w:val="single" w:sz="4" w:space="0" w:color="FFFFFF"/>
              <w:bottom w:val="single" w:sz="4" w:space="0" w:color="FFFFFF"/>
              <w:right w:val="single" w:sz="4" w:space="0" w:color="FFFFFF"/>
            </w:tcBorders>
            <w:shd w:val="clear" w:color="auto" w:fill="DBE5F1"/>
            <w:tcMar>
              <w:top w:w="14" w:type="dxa"/>
              <w:left w:w="14" w:type="dxa"/>
              <w:bottom w:w="0" w:type="dxa"/>
              <w:right w:w="14" w:type="dxa"/>
            </w:tcMar>
            <w:hideMark/>
          </w:tcPr>
          <w:p w:rsidR="00AB08E1" w:rsidRPr="00D04816" w:rsidRDefault="00AB08E1" w:rsidP="00F33CF6">
            <w:pPr>
              <w:spacing w:after="0" w:line="240" w:lineRule="auto"/>
              <w:jc w:val="both"/>
              <w:rPr>
                <w:rFonts w:ascii="Verdana" w:hAnsi="Verdana" w:cs="Arial"/>
                <w:sz w:val="20"/>
                <w:szCs w:val="24"/>
              </w:rPr>
            </w:pPr>
            <w:r w:rsidRPr="00D04816">
              <w:rPr>
                <w:rFonts w:ascii="Verdana" w:hAnsi="Verdana" w:cs="Arial"/>
                <w:sz w:val="20"/>
                <w:szCs w:val="24"/>
              </w:rPr>
              <w:t>96,60%</w:t>
            </w:r>
          </w:p>
        </w:tc>
      </w:tr>
      <w:tr w:rsidR="00AB08E1" w:rsidRPr="00D645DC" w:rsidTr="00F33CF6">
        <w:trPr>
          <w:trHeight w:val="279"/>
        </w:trPr>
        <w:tc>
          <w:tcPr>
            <w:tcW w:w="2431" w:type="dxa"/>
            <w:tcBorders>
              <w:top w:val="single" w:sz="4" w:space="0" w:color="FFFFFF"/>
              <w:left w:val="nil"/>
              <w:bottom w:val="single" w:sz="4" w:space="0" w:color="FFFFFF"/>
              <w:right w:val="single" w:sz="4" w:space="0" w:color="FFFFFF"/>
            </w:tcBorders>
            <w:shd w:val="clear" w:color="auto" w:fill="B8CCE4"/>
            <w:tcMar>
              <w:top w:w="14" w:type="dxa"/>
              <w:left w:w="14" w:type="dxa"/>
              <w:bottom w:w="0" w:type="dxa"/>
              <w:right w:w="14" w:type="dxa"/>
            </w:tcMar>
            <w:hideMark/>
          </w:tcPr>
          <w:p w:rsidR="00AB08E1" w:rsidRPr="00D04816" w:rsidRDefault="00AB08E1" w:rsidP="00F33CF6">
            <w:pPr>
              <w:spacing w:after="0" w:line="240" w:lineRule="auto"/>
              <w:jc w:val="both"/>
              <w:rPr>
                <w:rFonts w:ascii="Verdana" w:hAnsi="Verdana" w:cs="Arial"/>
                <w:sz w:val="20"/>
                <w:szCs w:val="24"/>
              </w:rPr>
            </w:pPr>
            <w:r w:rsidRPr="00D04816">
              <w:rPr>
                <w:rFonts w:ascii="Verdana" w:hAnsi="Verdana" w:cs="Arial"/>
                <w:sz w:val="20"/>
                <w:szCs w:val="24"/>
              </w:rPr>
              <w:t>Total</w:t>
            </w:r>
          </w:p>
        </w:tc>
        <w:tc>
          <w:tcPr>
            <w:tcW w:w="1518" w:type="dxa"/>
            <w:tcBorders>
              <w:top w:val="single" w:sz="4" w:space="0" w:color="FFFFFF"/>
              <w:left w:val="single" w:sz="4" w:space="0" w:color="FFFFFF"/>
              <w:bottom w:val="single" w:sz="4" w:space="0" w:color="FFFFFF"/>
              <w:right w:val="single" w:sz="4" w:space="0" w:color="FFFFFF"/>
            </w:tcBorders>
            <w:shd w:val="clear" w:color="auto" w:fill="B8CCE4"/>
            <w:tcMar>
              <w:top w:w="14" w:type="dxa"/>
              <w:left w:w="14" w:type="dxa"/>
              <w:bottom w:w="0" w:type="dxa"/>
              <w:right w:w="14" w:type="dxa"/>
            </w:tcMar>
            <w:hideMark/>
          </w:tcPr>
          <w:p w:rsidR="00AB08E1" w:rsidRPr="00D04816" w:rsidRDefault="00AB08E1" w:rsidP="00F33CF6">
            <w:pPr>
              <w:spacing w:after="0" w:line="240" w:lineRule="auto"/>
              <w:jc w:val="both"/>
              <w:rPr>
                <w:rFonts w:ascii="Verdana" w:hAnsi="Verdana" w:cs="Arial"/>
                <w:sz w:val="20"/>
                <w:szCs w:val="24"/>
              </w:rPr>
            </w:pPr>
            <w:r w:rsidRPr="00D04816">
              <w:rPr>
                <w:rFonts w:ascii="Verdana" w:hAnsi="Verdana" w:cs="Arial"/>
                <w:b/>
                <w:bCs/>
                <w:sz w:val="20"/>
                <w:szCs w:val="24"/>
              </w:rPr>
              <w:t>4.627.123</w:t>
            </w:r>
          </w:p>
        </w:tc>
        <w:tc>
          <w:tcPr>
            <w:tcW w:w="1580" w:type="dxa"/>
            <w:tcBorders>
              <w:top w:val="single" w:sz="4" w:space="0" w:color="FFFFFF"/>
              <w:left w:val="single" w:sz="4" w:space="0" w:color="FFFFFF"/>
              <w:bottom w:val="single" w:sz="4" w:space="0" w:color="FFFFFF"/>
              <w:right w:val="single" w:sz="4" w:space="0" w:color="FFFFFF"/>
            </w:tcBorders>
            <w:shd w:val="clear" w:color="auto" w:fill="B8CCE4"/>
            <w:tcMar>
              <w:top w:w="14" w:type="dxa"/>
              <w:left w:w="14" w:type="dxa"/>
              <w:bottom w:w="0" w:type="dxa"/>
              <w:right w:w="14" w:type="dxa"/>
            </w:tcMar>
            <w:hideMark/>
          </w:tcPr>
          <w:p w:rsidR="00AB08E1" w:rsidRPr="00D04816" w:rsidRDefault="00AB08E1" w:rsidP="00F33CF6">
            <w:pPr>
              <w:spacing w:after="0" w:line="240" w:lineRule="auto"/>
              <w:jc w:val="both"/>
              <w:rPr>
                <w:rFonts w:ascii="Verdana" w:hAnsi="Verdana" w:cs="Arial"/>
                <w:sz w:val="20"/>
                <w:szCs w:val="24"/>
              </w:rPr>
            </w:pPr>
            <w:r w:rsidRPr="00D04816">
              <w:rPr>
                <w:rFonts w:ascii="Verdana" w:hAnsi="Verdana" w:cs="Arial"/>
                <w:b/>
                <w:bCs/>
                <w:sz w:val="20"/>
                <w:szCs w:val="24"/>
              </w:rPr>
              <w:t>4.538.961</w:t>
            </w:r>
          </w:p>
        </w:tc>
        <w:tc>
          <w:tcPr>
            <w:tcW w:w="1717" w:type="dxa"/>
            <w:tcBorders>
              <w:top w:val="single" w:sz="4" w:space="0" w:color="FFFFFF"/>
              <w:left w:val="single" w:sz="4" w:space="0" w:color="FFFFFF"/>
              <w:bottom w:val="single" w:sz="4" w:space="0" w:color="FFFFFF"/>
              <w:right w:val="single" w:sz="4" w:space="0" w:color="FFFFFF"/>
            </w:tcBorders>
            <w:shd w:val="clear" w:color="auto" w:fill="B8CCE4"/>
            <w:tcMar>
              <w:top w:w="14" w:type="dxa"/>
              <w:left w:w="14" w:type="dxa"/>
              <w:bottom w:w="0" w:type="dxa"/>
              <w:right w:w="14" w:type="dxa"/>
            </w:tcMar>
            <w:hideMark/>
          </w:tcPr>
          <w:p w:rsidR="00AB08E1" w:rsidRPr="00D04816" w:rsidRDefault="00AB08E1" w:rsidP="00F33CF6">
            <w:pPr>
              <w:spacing w:after="0" w:line="240" w:lineRule="auto"/>
              <w:jc w:val="both"/>
              <w:rPr>
                <w:rFonts w:ascii="Verdana" w:hAnsi="Verdana" w:cs="Arial"/>
                <w:sz w:val="20"/>
                <w:szCs w:val="24"/>
              </w:rPr>
            </w:pPr>
            <w:r w:rsidRPr="00D04816">
              <w:rPr>
                <w:rFonts w:ascii="Verdana" w:hAnsi="Verdana" w:cs="Arial"/>
                <w:b/>
                <w:bCs/>
                <w:sz w:val="20"/>
                <w:szCs w:val="24"/>
              </w:rPr>
              <w:t>4.467.837</w:t>
            </w:r>
          </w:p>
        </w:tc>
        <w:tc>
          <w:tcPr>
            <w:tcW w:w="1177" w:type="dxa"/>
            <w:tcBorders>
              <w:top w:val="single" w:sz="4" w:space="0" w:color="FFFFFF"/>
              <w:left w:val="single" w:sz="4" w:space="0" w:color="FFFFFF"/>
              <w:bottom w:val="single" w:sz="4" w:space="0" w:color="FFFFFF"/>
              <w:right w:val="single" w:sz="4" w:space="0" w:color="FFFFFF"/>
            </w:tcBorders>
            <w:shd w:val="clear" w:color="auto" w:fill="B8CCE4"/>
            <w:tcMar>
              <w:top w:w="14" w:type="dxa"/>
              <w:left w:w="14" w:type="dxa"/>
              <w:bottom w:w="0" w:type="dxa"/>
              <w:right w:w="14" w:type="dxa"/>
            </w:tcMar>
            <w:hideMark/>
          </w:tcPr>
          <w:p w:rsidR="00AB08E1" w:rsidRPr="00D04816" w:rsidRDefault="00AB08E1" w:rsidP="00F33CF6">
            <w:pPr>
              <w:spacing w:after="0" w:line="240" w:lineRule="auto"/>
              <w:jc w:val="both"/>
              <w:rPr>
                <w:rFonts w:ascii="Verdana" w:hAnsi="Verdana" w:cs="Arial"/>
                <w:sz w:val="20"/>
                <w:szCs w:val="24"/>
              </w:rPr>
            </w:pPr>
            <w:r w:rsidRPr="00D04816">
              <w:rPr>
                <w:rFonts w:ascii="Verdana" w:hAnsi="Verdana" w:cs="Arial"/>
                <w:b/>
                <w:bCs/>
                <w:sz w:val="20"/>
                <w:szCs w:val="24"/>
              </w:rPr>
              <w:t>98,10%</w:t>
            </w:r>
          </w:p>
        </w:tc>
        <w:tc>
          <w:tcPr>
            <w:tcW w:w="1177" w:type="dxa"/>
            <w:tcBorders>
              <w:top w:val="single" w:sz="4" w:space="0" w:color="FFFFFF"/>
              <w:left w:val="single" w:sz="4" w:space="0" w:color="FFFFFF"/>
              <w:bottom w:val="single" w:sz="4" w:space="0" w:color="FFFFFF"/>
              <w:right w:val="single" w:sz="4" w:space="0" w:color="FFFFFF"/>
            </w:tcBorders>
            <w:shd w:val="clear" w:color="auto" w:fill="B8CCE4"/>
            <w:tcMar>
              <w:top w:w="14" w:type="dxa"/>
              <w:left w:w="14" w:type="dxa"/>
              <w:bottom w:w="0" w:type="dxa"/>
              <w:right w:w="14" w:type="dxa"/>
            </w:tcMar>
            <w:hideMark/>
          </w:tcPr>
          <w:p w:rsidR="00AB08E1" w:rsidRPr="00D04816" w:rsidRDefault="00AB08E1" w:rsidP="00F33CF6">
            <w:pPr>
              <w:spacing w:after="0" w:line="240" w:lineRule="auto"/>
              <w:jc w:val="both"/>
              <w:rPr>
                <w:rFonts w:ascii="Verdana" w:hAnsi="Verdana" w:cs="Arial"/>
                <w:sz w:val="20"/>
                <w:szCs w:val="24"/>
              </w:rPr>
            </w:pPr>
            <w:r w:rsidRPr="00D04816">
              <w:rPr>
                <w:rFonts w:ascii="Verdana" w:hAnsi="Verdana" w:cs="Arial"/>
                <w:b/>
                <w:bCs/>
                <w:sz w:val="20"/>
                <w:szCs w:val="24"/>
              </w:rPr>
              <w:t>96,60%</w:t>
            </w:r>
          </w:p>
        </w:tc>
      </w:tr>
    </w:tbl>
    <w:p w:rsidR="00AB08E1" w:rsidRPr="00B16826" w:rsidRDefault="00AB08E1" w:rsidP="00AB08E1">
      <w:pPr>
        <w:spacing w:after="0" w:line="240" w:lineRule="auto"/>
        <w:jc w:val="right"/>
        <w:rPr>
          <w:rFonts w:ascii="Verdana" w:hAnsi="Verdana" w:cs="Arial"/>
        </w:rPr>
      </w:pPr>
      <w:r w:rsidRPr="00B16826">
        <w:rPr>
          <w:rFonts w:ascii="Verdana" w:hAnsi="Verdana" w:cs="Arial"/>
          <w:sz w:val="16"/>
        </w:rPr>
        <w:t>Fuente: SIIF. Cálculos Dirección de Planeación y Control de Gestión</w:t>
      </w:r>
    </w:p>
    <w:p w:rsidR="00AB08E1" w:rsidRPr="00B707C5" w:rsidRDefault="00AB08E1" w:rsidP="00AB08E1">
      <w:pPr>
        <w:spacing w:after="0" w:line="240" w:lineRule="auto"/>
        <w:jc w:val="both"/>
        <w:rPr>
          <w:rFonts w:ascii="Verdana" w:hAnsi="Verdana" w:cs="Arial"/>
          <w:sz w:val="24"/>
          <w:szCs w:val="24"/>
        </w:rPr>
      </w:pPr>
    </w:p>
    <w:p w:rsidR="00AB08E1" w:rsidRPr="00B707C5" w:rsidRDefault="00AB08E1" w:rsidP="00AB08E1">
      <w:pPr>
        <w:spacing w:after="0" w:line="240" w:lineRule="auto"/>
        <w:jc w:val="both"/>
        <w:rPr>
          <w:rFonts w:ascii="Verdana" w:hAnsi="Verdana" w:cs="Arial"/>
          <w:sz w:val="24"/>
          <w:szCs w:val="24"/>
        </w:rPr>
      </w:pPr>
      <w:r w:rsidRPr="00B707C5">
        <w:rPr>
          <w:rFonts w:ascii="Verdana" w:hAnsi="Verdana" w:cs="Arial"/>
          <w:sz w:val="24"/>
          <w:szCs w:val="24"/>
        </w:rPr>
        <w:t>El anterior avance fue producto de una estrategia de seguimiento frecuente y pormenorizado a las diferentes dependencias misionales y de apoyo, así como a las Direcciones Regionales; también, producto de una mejor asignación de recursos atendiendo los criterios de priorización y focalización del gasto en los programas misionales con mayores necesidades de recursos y  que producen mayor impacto en la población objetivo.</w:t>
      </w:r>
    </w:p>
    <w:p w:rsidR="00AB08E1" w:rsidRPr="00B707C5" w:rsidRDefault="00AB08E1" w:rsidP="00AB08E1">
      <w:pPr>
        <w:spacing w:after="0" w:line="240" w:lineRule="auto"/>
        <w:jc w:val="both"/>
        <w:rPr>
          <w:rFonts w:ascii="Verdana" w:hAnsi="Verdana" w:cs="Arial"/>
          <w:sz w:val="24"/>
          <w:szCs w:val="24"/>
        </w:rPr>
      </w:pPr>
    </w:p>
    <w:p w:rsidR="00AB08E1" w:rsidRDefault="00AB08E1" w:rsidP="00AB08E1">
      <w:pPr>
        <w:spacing w:after="0" w:line="240" w:lineRule="auto"/>
        <w:jc w:val="both"/>
        <w:rPr>
          <w:rFonts w:ascii="Verdana" w:hAnsi="Verdana" w:cs="Arial"/>
          <w:sz w:val="24"/>
          <w:szCs w:val="24"/>
        </w:rPr>
      </w:pPr>
      <w:r w:rsidRPr="00B707C5">
        <w:rPr>
          <w:rFonts w:ascii="Verdana" w:hAnsi="Verdana" w:cs="Arial"/>
          <w:sz w:val="24"/>
          <w:szCs w:val="24"/>
        </w:rPr>
        <w:t>En relación con el acuerdo de desempeño con Presidencia de la República, las metas de recursos obligados al 91,5% de la apropiación 2014 y de compromisos del 94,6%, fueron ampliamente superadas con resultados de los compromisos de 3,52 puntos porcentuales por encima de la meta planteada en 5 puntos porcentuales con respecto a meta de ejecución obligada.</w:t>
      </w:r>
    </w:p>
    <w:p w:rsidR="00AB08E1" w:rsidRDefault="00AB08E1" w:rsidP="00AB08E1">
      <w:pPr>
        <w:spacing w:after="0" w:line="240" w:lineRule="auto"/>
        <w:jc w:val="both"/>
        <w:rPr>
          <w:rFonts w:ascii="Verdana" w:hAnsi="Verdana" w:cs="Arial"/>
          <w:b/>
        </w:rPr>
      </w:pPr>
    </w:p>
    <w:p w:rsidR="00AB08E1" w:rsidRDefault="00AB08E1" w:rsidP="00AB08E1">
      <w:pPr>
        <w:spacing w:after="0" w:line="240" w:lineRule="auto"/>
        <w:jc w:val="center"/>
        <w:rPr>
          <w:rFonts w:ascii="Verdana" w:hAnsi="Verdana" w:cs="Arial"/>
          <w:b/>
        </w:rPr>
      </w:pPr>
    </w:p>
    <w:p w:rsidR="00AB08E1" w:rsidRPr="00D04816" w:rsidRDefault="00AB08E1" w:rsidP="00AB08E1">
      <w:pPr>
        <w:spacing w:after="0" w:line="240" w:lineRule="auto"/>
        <w:jc w:val="center"/>
        <w:rPr>
          <w:rFonts w:ascii="Verdana" w:hAnsi="Verdana" w:cs="Arial"/>
          <w:b/>
          <w:color w:val="1F497D" w:themeColor="text2"/>
        </w:rPr>
      </w:pPr>
      <w:r w:rsidRPr="00D04816">
        <w:rPr>
          <w:rFonts w:ascii="Verdana" w:hAnsi="Verdana" w:cs="Arial"/>
          <w:b/>
          <w:color w:val="1F497D" w:themeColor="text2"/>
        </w:rPr>
        <w:t>Ejecución presupuestal Vs. acuerdo de desempeño ICBF</w:t>
      </w:r>
    </w:p>
    <w:p w:rsidR="00AB08E1" w:rsidRPr="00B16826" w:rsidRDefault="00AB08E1" w:rsidP="00AB08E1">
      <w:pPr>
        <w:spacing w:after="0" w:line="240" w:lineRule="auto"/>
        <w:jc w:val="center"/>
        <w:rPr>
          <w:rFonts w:ascii="Verdana" w:hAnsi="Verdana" w:cs="Arial"/>
          <w:sz w:val="16"/>
        </w:rPr>
      </w:pPr>
      <w:r w:rsidRPr="00B16826">
        <w:rPr>
          <w:rFonts w:ascii="Verdana" w:hAnsi="Verdana" w:cs="Arial"/>
          <w:noProof/>
          <w:sz w:val="16"/>
          <w:lang w:eastAsia="es-CO"/>
        </w:rPr>
        <w:drawing>
          <wp:inline distT="0" distB="0" distL="0" distR="0">
            <wp:extent cx="5791200" cy="2987695"/>
            <wp:effectExtent l="19050" t="0" r="0" b="0"/>
            <wp:docPr id="491"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4217" cy="2994410"/>
                    </a:xfrm>
                    <a:prstGeom prst="rect">
                      <a:avLst/>
                    </a:prstGeom>
                    <a:noFill/>
                    <a:ln>
                      <a:noFill/>
                    </a:ln>
                  </pic:spPr>
                </pic:pic>
              </a:graphicData>
            </a:graphic>
          </wp:inline>
        </w:drawing>
      </w:r>
    </w:p>
    <w:p w:rsidR="00AB08E1" w:rsidRPr="00B16826" w:rsidRDefault="00AB08E1" w:rsidP="00AB08E1">
      <w:pPr>
        <w:spacing w:after="0" w:line="240" w:lineRule="auto"/>
        <w:jc w:val="center"/>
        <w:rPr>
          <w:rFonts w:ascii="Verdana" w:hAnsi="Verdana" w:cs="Arial"/>
        </w:rPr>
      </w:pPr>
      <w:r w:rsidRPr="00B16826">
        <w:rPr>
          <w:rFonts w:ascii="Verdana" w:hAnsi="Verdana" w:cs="Arial"/>
          <w:b/>
          <w:sz w:val="16"/>
        </w:rPr>
        <w:t>Fuente:</w:t>
      </w:r>
      <w:r w:rsidRPr="00B16826">
        <w:rPr>
          <w:rFonts w:ascii="Verdana" w:hAnsi="Verdana" w:cs="Arial"/>
          <w:sz w:val="16"/>
        </w:rPr>
        <w:t xml:space="preserve"> SIIF. Cálculos Dirección de Planeación y Control de Gestión</w:t>
      </w:r>
    </w:p>
    <w:p w:rsidR="00AB08E1" w:rsidRPr="00B707C5" w:rsidRDefault="00AB08E1" w:rsidP="00AB08E1">
      <w:pPr>
        <w:pStyle w:val="Ttulo2"/>
        <w:spacing w:before="0" w:line="240" w:lineRule="auto"/>
        <w:rPr>
          <w:rFonts w:ascii="Verdana" w:hAnsi="Verdana" w:cs="Arial"/>
          <w:sz w:val="24"/>
          <w:szCs w:val="22"/>
        </w:rPr>
      </w:pPr>
    </w:p>
    <w:p w:rsidR="00AB08E1" w:rsidRPr="00B707C5" w:rsidRDefault="00AB08E1" w:rsidP="00AB08E1">
      <w:pPr>
        <w:spacing w:after="0" w:line="240" w:lineRule="auto"/>
        <w:jc w:val="both"/>
        <w:rPr>
          <w:rFonts w:ascii="Verdana" w:hAnsi="Verdana" w:cs="Arial"/>
          <w:sz w:val="24"/>
        </w:rPr>
      </w:pPr>
      <w:r w:rsidRPr="00B707C5">
        <w:rPr>
          <w:rFonts w:ascii="Verdana" w:hAnsi="Verdana" w:cs="Arial"/>
          <w:sz w:val="24"/>
        </w:rPr>
        <w:t>Es importante destacar el ejercicio sobresaliente que se logró en los últimos cuatro meses del año 2014. Del mes de agosto al mes de diciembre se obligó 35,6% y los recursos comprometidos aumentaron en 15,8 puntos porcentuales.</w:t>
      </w:r>
    </w:p>
    <w:p w:rsidR="00AB08E1" w:rsidRPr="00B707C5" w:rsidRDefault="00AB08E1" w:rsidP="00AB08E1">
      <w:pPr>
        <w:spacing w:after="0" w:line="240" w:lineRule="auto"/>
        <w:jc w:val="both"/>
        <w:rPr>
          <w:rFonts w:ascii="Verdana" w:hAnsi="Verdana" w:cs="Arial"/>
          <w:sz w:val="24"/>
        </w:rPr>
      </w:pPr>
    </w:p>
    <w:p w:rsidR="00AB08E1" w:rsidRPr="00B707C5" w:rsidRDefault="00AB08E1" w:rsidP="00AB08E1">
      <w:pPr>
        <w:spacing w:after="0" w:line="240" w:lineRule="auto"/>
        <w:jc w:val="both"/>
        <w:rPr>
          <w:rFonts w:ascii="Verdana" w:hAnsi="Verdana" w:cs="Arial"/>
          <w:sz w:val="24"/>
        </w:rPr>
      </w:pPr>
      <w:r w:rsidRPr="00B707C5">
        <w:rPr>
          <w:rFonts w:ascii="Verdana" w:hAnsi="Verdana" w:cs="Arial"/>
          <w:sz w:val="24"/>
        </w:rPr>
        <w:t xml:space="preserve">Cabe mencionar que la pérdida de apropiación registrada por ICBF en el 2014 representa el 1,9% de la apropiación vigente y equivale a la pérdida más baja registrada en el último cuatrienio. Los recursos que no fueron posible obligar, responden principalmente a: (i) las vacantes en la nómina del ICBF que impiden la ejecución total del rubro de gastos de personal y (ii) al proyecto de Protección producto de la dinámica de ejecución por demanda de los servicios de atención. </w:t>
      </w:r>
    </w:p>
    <w:p w:rsidR="00AB08E1" w:rsidRPr="00B707C5" w:rsidRDefault="00AB08E1" w:rsidP="00AB08E1">
      <w:pPr>
        <w:spacing w:after="0" w:line="240" w:lineRule="auto"/>
        <w:jc w:val="both"/>
        <w:rPr>
          <w:rFonts w:ascii="Verdana" w:hAnsi="Verdana" w:cs="Arial"/>
          <w:sz w:val="24"/>
        </w:rPr>
      </w:pPr>
    </w:p>
    <w:p w:rsidR="00AB08E1" w:rsidRPr="004D5E37" w:rsidRDefault="00AB08E1" w:rsidP="00AB08E1">
      <w:pPr>
        <w:spacing w:after="0" w:line="240" w:lineRule="auto"/>
        <w:jc w:val="both"/>
        <w:rPr>
          <w:rFonts w:ascii="Verdana" w:hAnsi="Verdana" w:cs="Arial"/>
          <w:b/>
          <w:color w:val="4F81BD" w:themeColor="accent1"/>
          <w:sz w:val="24"/>
        </w:rPr>
      </w:pPr>
      <w:r w:rsidRPr="004D5E37">
        <w:rPr>
          <w:rFonts w:ascii="Verdana" w:hAnsi="Verdana" w:cs="Arial"/>
          <w:b/>
          <w:color w:val="4F81BD" w:themeColor="accent1"/>
          <w:sz w:val="24"/>
        </w:rPr>
        <w:t>Ejecución por macro regiones</w:t>
      </w:r>
      <w:r w:rsidRPr="004D5E37">
        <w:rPr>
          <w:rStyle w:val="Refdenotaalpie"/>
          <w:rFonts w:ascii="Verdana" w:hAnsi="Verdana" w:cs="Arial"/>
          <w:b/>
          <w:color w:val="4F81BD" w:themeColor="accent1"/>
          <w:sz w:val="24"/>
        </w:rPr>
        <w:footnoteReference w:id="15"/>
      </w:r>
      <w:r w:rsidRPr="004D5E37">
        <w:rPr>
          <w:rFonts w:ascii="Verdana" w:hAnsi="Verdana" w:cs="Arial"/>
          <w:b/>
          <w:color w:val="4F81BD" w:themeColor="accent1"/>
          <w:sz w:val="24"/>
        </w:rPr>
        <w:t>.</w:t>
      </w:r>
    </w:p>
    <w:p w:rsidR="00AB08E1" w:rsidRPr="00B707C5" w:rsidRDefault="00AB08E1" w:rsidP="00AB08E1">
      <w:pPr>
        <w:spacing w:after="0" w:line="240" w:lineRule="auto"/>
        <w:jc w:val="both"/>
        <w:rPr>
          <w:rFonts w:ascii="Verdana" w:hAnsi="Verdana" w:cs="Arial"/>
          <w:sz w:val="24"/>
        </w:rPr>
      </w:pPr>
    </w:p>
    <w:p w:rsidR="00AB08E1" w:rsidRPr="00B707C5" w:rsidRDefault="00AB08E1" w:rsidP="00AB08E1">
      <w:pPr>
        <w:spacing w:after="0" w:line="240" w:lineRule="auto"/>
        <w:jc w:val="both"/>
        <w:rPr>
          <w:rFonts w:ascii="Verdana" w:hAnsi="Verdana" w:cs="Arial"/>
          <w:sz w:val="24"/>
        </w:rPr>
      </w:pPr>
      <w:r w:rsidRPr="00B707C5">
        <w:rPr>
          <w:rFonts w:ascii="Verdana" w:hAnsi="Verdana" w:cs="Arial"/>
          <w:sz w:val="24"/>
        </w:rPr>
        <w:t>El mejor resultado de ejecución obligada de 2014 se presentó en la macro Región Centro Sur, con el 99,5% y no presenta rezagos presupuestales. Por el contrario la Sede Nacional fue la de menor ejecución obligada con el 91,5%.</w:t>
      </w:r>
    </w:p>
    <w:p w:rsidR="00AB08E1" w:rsidRPr="00B707C5" w:rsidRDefault="00AB08E1" w:rsidP="00AB08E1">
      <w:pPr>
        <w:spacing w:after="0" w:line="240" w:lineRule="auto"/>
        <w:jc w:val="both"/>
        <w:rPr>
          <w:rFonts w:ascii="Verdana" w:hAnsi="Verdana" w:cs="Arial"/>
          <w:sz w:val="24"/>
        </w:rPr>
      </w:pPr>
    </w:p>
    <w:p w:rsidR="00AB08E1" w:rsidRPr="00B707C5" w:rsidRDefault="00AB08E1" w:rsidP="00AB08E1">
      <w:pPr>
        <w:spacing w:after="0" w:line="240" w:lineRule="auto"/>
        <w:jc w:val="both"/>
        <w:rPr>
          <w:rFonts w:ascii="Verdana" w:hAnsi="Verdana" w:cs="Arial"/>
          <w:sz w:val="24"/>
        </w:rPr>
      </w:pPr>
      <w:r w:rsidRPr="00B707C5">
        <w:rPr>
          <w:rFonts w:ascii="Verdana" w:hAnsi="Verdana" w:cs="Arial"/>
          <w:sz w:val="24"/>
        </w:rPr>
        <w:t xml:space="preserve">Entre las Direcciones Regionales, la mejor fue Cesar con una ejecución obligada y comprometida de </w:t>
      </w:r>
      <w:r w:rsidRPr="00B707C5">
        <w:rPr>
          <w:rFonts w:ascii="Verdana" w:hAnsi="Verdana" w:cs="Arial"/>
          <w:bCs/>
          <w:sz w:val="24"/>
        </w:rPr>
        <w:t>99,76%</w:t>
      </w:r>
      <w:r w:rsidRPr="00B707C5">
        <w:rPr>
          <w:rFonts w:ascii="Verdana" w:hAnsi="Verdana" w:cs="Arial"/>
          <w:sz w:val="24"/>
        </w:rPr>
        <w:t xml:space="preserve">; la sigue Huila con una ejecución obligada del </w:t>
      </w:r>
      <w:r w:rsidRPr="00B707C5">
        <w:rPr>
          <w:rFonts w:ascii="Verdana" w:hAnsi="Verdana" w:cs="Arial"/>
          <w:bCs/>
          <w:sz w:val="24"/>
        </w:rPr>
        <w:t>99,74%</w:t>
      </w:r>
      <w:r w:rsidRPr="00B707C5">
        <w:rPr>
          <w:rFonts w:ascii="Verdana" w:hAnsi="Verdana" w:cs="Arial"/>
          <w:sz w:val="24"/>
        </w:rPr>
        <w:t xml:space="preserve">. La regional Vichada con una ejecución de </w:t>
      </w:r>
      <w:r w:rsidRPr="00B707C5">
        <w:rPr>
          <w:rFonts w:ascii="Verdana" w:hAnsi="Verdana" w:cs="Arial"/>
          <w:bCs/>
          <w:sz w:val="24"/>
        </w:rPr>
        <w:t>85,74%</w:t>
      </w:r>
      <w:r w:rsidRPr="00B707C5">
        <w:rPr>
          <w:rFonts w:ascii="Verdana" w:hAnsi="Verdana" w:cs="Arial"/>
          <w:b/>
          <w:bCs/>
          <w:sz w:val="24"/>
        </w:rPr>
        <w:t xml:space="preserve"> </w:t>
      </w:r>
      <w:r w:rsidRPr="00B707C5">
        <w:rPr>
          <w:rFonts w:ascii="Verdana" w:hAnsi="Verdana" w:cs="Arial"/>
          <w:sz w:val="24"/>
        </w:rPr>
        <w:t>fue la de más bajo desempeño.</w:t>
      </w:r>
    </w:p>
    <w:p w:rsidR="00AB08E1" w:rsidRPr="00B707C5" w:rsidRDefault="00AB08E1" w:rsidP="00AB08E1">
      <w:pPr>
        <w:spacing w:after="0" w:line="240" w:lineRule="auto"/>
        <w:jc w:val="both"/>
        <w:rPr>
          <w:rFonts w:ascii="Verdana" w:hAnsi="Verdana" w:cs="Arial"/>
          <w:sz w:val="24"/>
        </w:rPr>
      </w:pPr>
    </w:p>
    <w:p w:rsidR="00AB08E1" w:rsidRPr="004D5E37" w:rsidRDefault="00AB08E1" w:rsidP="00AB08E1">
      <w:pPr>
        <w:spacing w:after="0" w:line="240" w:lineRule="auto"/>
        <w:jc w:val="center"/>
        <w:rPr>
          <w:rFonts w:ascii="Verdana" w:hAnsi="Verdana" w:cs="Arial"/>
          <w:b/>
          <w:color w:val="1F497D" w:themeColor="text2"/>
        </w:rPr>
      </w:pPr>
      <w:r w:rsidRPr="004D5E37">
        <w:rPr>
          <w:rFonts w:ascii="Verdana" w:hAnsi="Verdana" w:cs="Arial"/>
          <w:b/>
          <w:color w:val="1F497D" w:themeColor="text2"/>
        </w:rPr>
        <w:t>Ejecución presupuestal por macro región 2014</w:t>
      </w:r>
    </w:p>
    <w:p w:rsidR="00AB08E1" w:rsidRDefault="00AB08E1" w:rsidP="00AB08E1">
      <w:pPr>
        <w:spacing w:after="0" w:line="240" w:lineRule="auto"/>
        <w:jc w:val="center"/>
        <w:rPr>
          <w:rFonts w:ascii="Verdana" w:hAnsi="Verdana" w:cs="Arial"/>
          <w:sz w:val="16"/>
        </w:rPr>
      </w:pPr>
      <w:r w:rsidRPr="00B16826">
        <w:rPr>
          <w:rFonts w:ascii="Verdana" w:hAnsi="Verdana" w:cs="Arial"/>
          <w:sz w:val="16"/>
        </w:rPr>
        <w:t>Cifras en millones de $</w:t>
      </w:r>
    </w:p>
    <w:p w:rsidR="00AB08E1" w:rsidRPr="00B16826" w:rsidRDefault="00AB08E1" w:rsidP="00AB08E1">
      <w:pPr>
        <w:spacing w:after="0" w:line="240" w:lineRule="auto"/>
        <w:jc w:val="center"/>
        <w:rPr>
          <w:rFonts w:ascii="Verdana" w:hAnsi="Verdana" w:cs="Arial"/>
          <w:sz w:val="16"/>
        </w:rPr>
      </w:pPr>
    </w:p>
    <w:p w:rsidR="00AB08E1" w:rsidRPr="00B16826" w:rsidRDefault="00AB08E1" w:rsidP="00AB08E1">
      <w:pPr>
        <w:spacing w:after="0" w:line="240" w:lineRule="auto"/>
        <w:jc w:val="both"/>
        <w:rPr>
          <w:rFonts w:ascii="Verdana" w:hAnsi="Verdana" w:cs="Arial"/>
        </w:rPr>
      </w:pPr>
      <w:r w:rsidRPr="00B16826">
        <w:rPr>
          <w:rFonts w:ascii="Verdana" w:hAnsi="Verdana"/>
          <w:noProof/>
          <w:lang w:eastAsia="es-CO"/>
        </w:rPr>
        <w:drawing>
          <wp:anchor distT="0" distB="0" distL="114300" distR="114300" simplePos="0" relativeHeight="251770880" behindDoc="0" locked="0" layoutInCell="1" allowOverlap="1">
            <wp:simplePos x="0" y="0"/>
            <wp:positionH relativeFrom="column">
              <wp:posOffset>152400</wp:posOffset>
            </wp:positionH>
            <wp:positionV relativeFrom="paragraph">
              <wp:posOffset>45085</wp:posOffset>
            </wp:positionV>
            <wp:extent cx="4562475" cy="2803525"/>
            <wp:effectExtent l="19050" t="0" r="9525" b="0"/>
            <wp:wrapSquare wrapText="bothSides"/>
            <wp:docPr id="49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1337"/>
                    <a:stretch/>
                  </pic:blipFill>
                  <pic:spPr bwMode="auto">
                    <a:xfrm>
                      <a:off x="0" y="0"/>
                      <a:ext cx="4562475" cy="2803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B08E1" w:rsidRPr="00B16826" w:rsidRDefault="00AB08E1" w:rsidP="00AB08E1">
      <w:pPr>
        <w:spacing w:after="0" w:line="240" w:lineRule="auto"/>
        <w:jc w:val="center"/>
        <w:rPr>
          <w:rFonts w:ascii="Verdana" w:hAnsi="Verdana" w:cs="Arial"/>
          <w:b/>
          <w:sz w:val="16"/>
        </w:rPr>
      </w:pPr>
    </w:p>
    <w:p w:rsidR="00AB08E1" w:rsidRPr="00B16826" w:rsidRDefault="00AB08E1" w:rsidP="00AB08E1">
      <w:pPr>
        <w:spacing w:after="0" w:line="240" w:lineRule="auto"/>
        <w:jc w:val="center"/>
        <w:rPr>
          <w:rFonts w:ascii="Verdana" w:hAnsi="Verdana" w:cs="Arial"/>
          <w:b/>
          <w:sz w:val="16"/>
        </w:rPr>
      </w:pPr>
    </w:p>
    <w:p w:rsidR="00AB08E1" w:rsidRPr="00B16826" w:rsidRDefault="00AB08E1" w:rsidP="00AB08E1">
      <w:pPr>
        <w:spacing w:after="0" w:line="240" w:lineRule="auto"/>
        <w:jc w:val="center"/>
        <w:rPr>
          <w:rFonts w:ascii="Verdana" w:hAnsi="Verdana" w:cs="Arial"/>
          <w:b/>
          <w:sz w:val="16"/>
        </w:rPr>
      </w:pPr>
    </w:p>
    <w:p w:rsidR="00AB08E1" w:rsidRPr="00B16826" w:rsidRDefault="00AB08E1" w:rsidP="00AB08E1">
      <w:pPr>
        <w:spacing w:after="0" w:line="240" w:lineRule="auto"/>
        <w:jc w:val="center"/>
        <w:rPr>
          <w:rFonts w:ascii="Verdana" w:hAnsi="Verdana" w:cs="Arial"/>
          <w:b/>
          <w:sz w:val="16"/>
        </w:rPr>
      </w:pPr>
    </w:p>
    <w:p w:rsidR="00AB08E1" w:rsidRPr="00B16826" w:rsidRDefault="00AB08E1" w:rsidP="00AB08E1">
      <w:pPr>
        <w:spacing w:after="0" w:line="240" w:lineRule="auto"/>
        <w:jc w:val="center"/>
        <w:rPr>
          <w:rFonts w:ascii="Verdana" w:hAnsi="Verdana" w:cs="Arial"/>
          <w:b/>
          <w:sz w:val="16"/>
        </w:rPr>
      </w:pPr>
    </w:p>
    <w:p w:rsidR="00AB08E1" w:rsidRPr="00B16826" w:rsidRDefault="00AB08E1" w:rsidP="00AB08E1">
      <w:pPr>
        <w:spacing w:after="0" w:line="240" w:lineRule="auto"/>
        <w:jc w:val="center"/>
        <w:rPr>
          <w:rFonts w:ascii="Verdana" w:hAnsi="Verdana" w:cs="Arial"/>
          <w:b/>
          <w:sz w:val="16"/>
        </w:rPr>
      </w:pPr>
    </w:p>
    <w:p w:rsidR="00AB08E1" w:rsidRPr="00B16826" w:rsidRDefault="00AB08E1" w:rsidP="00AB08E1">
      <w:pPr>
        <w:spacing w:after="0" w:line="240" w:lineRule="auto"/>
        <w:jc w:val="center"/>
        <w:rPr>
          <w:rFonts w:ascii="Verdana" w:hAnsi="Verdana" w:cs="Arial"/>
          <w:b/>
          <w:sz w:val="16"/>
        </w:rPr>
      </w:pPr>
    </w:p>
    <w:p w:rsidR="00AB08E1" w:rsidRPr="00B16826" w:rsidRDefault="00AB08E1" w:rsidP="00AB08E1">
      <w:pPr>
        <w:spacing w:after="0" w:line="240" w:lineRule="auto"/>
        <w:jc w:val="center"/>
        <w:rPr>
          <w:rFonts w:ascii="Verdana" w:hAnsi="Verdana" w:cs="Arial"/>
          <w:b/>
          <w:sz w:val="16"/>
        </w:rPr>
      </w:pPr>
    </w:p>
    <w:p w:rsidR="00AB08E1" w:rsidRPr="00B16826" w:rsidRDefault="00AB08E1" w:rsidP="00AB08E1">
      <w:pPr>
        <w:spacing w:after="0" w:line="240" w:lineRule="auto"/>
        <w:jc w:val="center"/>
        <w:rPr>
          <w:rFonts w:ascii="Verdana" w:hAnsi="Verdana" w:cs="Arial"/>
          <w:b/>
          <w:sz w:val="16"/>
        </w:rPr>
      </w:pPr>
    </w:p>
    <w:p w:rsidR="00AB08E1" w:rsidRPr="00B16826" w:rsidRDefault="00AB08E1" w:rsidP="00AB08E1">
      <w:pPr>
        <w:spacing w:after="0" w:line="240" w:lineRule="auto"/>
        <w:jc w:val="center"/>
        <w:rPr>
          <w:rFonts w:ascii="Verdana" w:hAnsi="Verdana" w:cs="Arial"/>
          <w:b/>
          <w:sz w:val="16"/>
        </w:rPr>
      </w:pPr>
    </w:p>
    <w:p w:rsidR="00AB08E1" w:rsidRPr="00B16826" w:rsidRDefault="00AB08E1" w:rsidP="00AB08E1">
      <w:pPr>
        <w:spacing w:after="0" w:line="240" w:lineRule="auto"/>
        <w:jc w:val="center"/>
        <w:rPr>
          <w:rFonts w:ascii="Verdana" w:hAnsi="Verdana" w:cs="Arial"/>
          <w:b/>
          <w:sz w:val="16"/>
        </w:rPr>
      </w:pPr>
    </w:p>
    <w:p w:rsidR="00AB08E1" w:rsidRPr="00B16826" w:rsidRDefault="00AB08E1" w:rsidP="00AB08E1">
      <w:pPr>
        <w:spacing w:after="0" w:line="240" w:lineRule="auto"/>
        <w:jc w:val="center"/>
        <w:rPr>
          <w:rFonts w:ascii="Verdana" w:hAnsi="Verdana" w:cs="Arial"/>
          <w:b/>
          <w:sz w:val="16"/>
        </w:rPr>
      </w:pPr>
    </w:p>
    <w:p w:rsidR="00AB08E1" w:rsidRPr="00B16826" w:rsidRDefault="00AB08E1" w:rsidP="00AB08E1">
      <w:pPr>
        <w:spacing w:after="0" w:line="240" w:lineRule="auto"/>
        <w:jc w:val="center"/>
        <w:rPr>
          <w:rFonts w:ascii="Verdana" w:hAnsi="Verdana" w:cs="Arial"/>
          <w:b/>
          <w:sz w:val="16"/>
        </w:rPr>
      </w:pPr>
    </w:p>
    <w:p w:rsidR="00AB08E1" w:rsidRPr="00B16826" w:rsidRDefault="00AB08E1" w:rsidP="00AB08E1">
      <w:pPr>
        <w:spacing w:after="0" w:line="240" w:lineRule="auto"/>
        <w:jc w:val="center"/>
        <w:rPr>
          <w:rFonts w:ascii="Verdana" w:hAnsi="Verdana" w:cs="Arial"/>
          <w:b/>
          <w:sz w:val="16"/>
        </w:rPr>
      </w:pPr>
    </w:p>
    <w:p w:rsidR="00AB08E1" w:rsidRPr="00B16826" w:rsidRDefault="00AB08E1" w:rsidP="00AB08E1">
      <w:pPr>
        <w:spacing w:after="0" w:line="240" w:lineRule="auto"/>
        <w:jc w:val="center"/>
        <w:rPr>
          <w:rFonts w:ascii="Verdana" w:hAnsi="Verdana" w:cs="Arial"/>
          <w:b/>
          <w:sz w:val="16"/>
        </w:rPr>
      </w:pPr>
    </w:p>
    <w:p w:rsidR="00AB08E1" w:rsidRPr="00B16826" w:rsidRDefault="00AB08E1" w:rsidP="00AB08E1">
      <w:pPr>
        <w:spacing w:after="0" w:line="240" w:lineRule="auto"/>
        <w:jc w:val="center"/>
        <w:rPr>
          <w:rFonts w:ascii="Verdana" w:hAnsi="Verdana" w:cs="Arial"/>
          <w:b/>
          <w:sz w:val="16"/>
        </w:rPr>
      </w:pPr>
    </w:p>
    <w:p w:rsidR="00AB08E1" w:rsidRPr="00B16826" w:rsidRDefault="00AB08E1" w:rsidP="00AB08E1">
      <w:pPr>
        <w:spacing w:after="0" w:line="240" w:lineRule="auto"/>
        <w:jc w:val="center"/>
        <w:rPr>
          <w:rFonts w:ascii="Verdana" w:hAnsi="Verdana" w:cs="Arial"/>
          <w:b/>
          <w:sz w:val="16"/>
        </w:rPr>
      </w:pPr>
    </w:p>
    <w:p w:rsidR="00AB08E1" w:rsidRPr="00B16826" w:rsidRDefault="00AB08E1" w:rsidP="00AB08E1">
      <w:pPr>
        <w:spacing w:after="0" w:line="240" w:lineRule="auto"/>
        <w:jc w:val="center"/>
        <w:rPr>
          <w:rFonts w:ascii="Verdana" w:hAnsi="Verdana" w:cs="Arial"/>
          <w:b/>
          <w:sz w:val="16"/>
        </w:rPr>
      </w:pPr>
    </w:p>
    <w:p w:rsidR="00AB08E1" w:rsidRPr="00B16826" w:rsidRDefault="00AB08E1" w:rsidP="00AB08E1">
      <w:pPr>
        <w:spacing w:after="0" w:line="240" w:lineRule="auto"/>
        <w:jc w:val="center"/>
        <w:rPr>
          <w:rFonts w:ascii="Verdana" w:hAnsi="Verdana" w:cs="Arial"/>
        </w:rPr>
      </w:pPr>
      <w:r w:rsidRPr="00B16826">
        <w:rPr>
          <w:rFonts w:ascii="Verdana" w:hAnsi="Verdana" w:cs="Arial"/>
          <w:b/>
          <w:sz w:val="16"/>
        </w:rPr>
        <w:t>Fuente:</w:t>
      </w:r>
      <w:r w:rsidRPr="00B16826">
        <w:rPr>
          <w:rFonts w:ascii="Verdana" w:hAnsi="Verdana" w:cs="Arial"/>
          <w:sz w:val="16"/>
        </w:rPr>
        <w:t xml:space="preserve"> SIIF. Cálculos Dirección de Planeación y Control de Gestión</w:t>
      </w:r>
    </w:p>
    <w:p w:rsidR="00AB08E1" w:rsidRPr="00B16826" w:rsidRDefault="00AB08E1" w:rsidP="00AB08E1">
      <w:pPr>
        <w:spacing w:after="0" w:line="240" w:lineRule="auto"/>
        <w:jc w:val="center"/>
        <w:rPr>
          <w:rFonts w:ascii="Verdana" w:hAnsi="Verdana" w:cs="Arial"/>
        </w:rPr>
      </w:pPr>
    </w:p>
    <w:p w:rsidR="00AB08E1" w:rsidRPr="004D5E37" w:rsidRDefault="00AB08E1" w:rsidP="00AB08E1">
      <w:pPr>
        <w:pStyle w:val="Ttulo3"/>
        <w:spacing w:before="0" w:line="240" w:lineRule="auto"/>
        <w:rPr>
          <w:rFonts w:ascii="Verdana" w:eastAsia="Calibri" w:hAnsi="Verdana" w:cs="Arial"/>
          <w:b w:val="0"/>
          <w:color w:val="4F81BD" w:themeColor="accent1"/>
          <w:sz w:val="22"/>
          <w:szCs w:val="22"/>
          <w:lang w:val="es-ES"/>
        </w:rPr>
      </w:pPr>
      <w:r w:rsidRPr="004D5E37">
        <w:rPr>
          <w:rFonts w:ascii="Verdana" w:eastAsia="Calibri" w:hAnsi="Verdana" w:cs="Arial"/>
          <w:color w:val="4F81BD" w:themeColor="accent1"/>
          <w:sz w:val="22"/>
          <w:szCs w:val="22"/>
          <w:lang w:val="es-ES"/>
        </w:rPr>
        <w:t>Reservas presupuestales ICBF 2014</w:t>
      </w:r>
    </w:p>
    <w:p w:rsidR="00AB08E1" w:rsidRPr="00B16826" w:rsidRDefault="00AB08E1" w:rsidP="00AB08E1">
      <w:pPr>
        <w:spacing w:after="0" w:line="240" w:lineRule="auto"/>
        <w:jc w:val="both"/>
        <w:rPr>
          <w:rFonts w:ascii="Verdana" w:hAnsi="Verdana" w:cs="Arial"/>
        </w:rPr>
      </w:pPr>
    </w:p>
    <w:p w:rsidR="00AB08E1" w:rsidRPr="00B707C5" w:rsidRDefault="00AB08E1" w:rsidP="00AB08E1">
      <w:pPr>
        <w:spacing w:after="0" w:line="240" w:lineRule="auto"/>
        <w:jc w:val="both"/>
        <w:rPr>
          <w:rFonts w:ascii="Verdana" w:hAnsi="Verdana" w:cs="Arial"/>
          <w:sz w:val="24"/>
          <w:szCs w:val="24"/>
        </w:rPr>
      </w:pPr>
      <w:r w:rsidRPr="00B707C5">
        <w:rPr>
          <w:rFonts w:ascii="Verdana" w:hAnsi="Verdana" w:cs="Arial"/>
          <w:sz w:val="24"/>
          <w:szCs w:val="24"/>
        </w:rPr>
        <w:t xml:space="preserve">El 2014 fue el año con menor nivel de reservas constituidas en los últimos 4 años ($71.124 millones), las cuales representan el 1,5% de la apropiación del ICBF. Las potenciales reservas presupuestales de 2014 para ser obligadas en el 2015, se constituyeron con el propósito de garantizar la continuidad de los servicios relacionados con la Primera Infancia, Protección e Infraestructura. </w:t>
      </w:r>
    </w:p>
    <w:p w:rsidR="00AB08E1" w:rsidRDefault="00AB08E1" w:rsidP="00AB08E1">
      <w:pPr>
        <w:spacing w:after="0" w:line="240" w:lineRule="auto"/>
        <w:jc w:val="both"/>
        <w:rPr>
          <w:rFonts w:ascii="Verdana" w:hAnsi="Verdana" w:cs="Arial"/>
          <w:sz w:val="24"/>
          <w:szCs w:val="24"/>
        </w:rPr>
      </w:pPr>
    </w:p>
    <w:p w:rsidR="00AB08E1" w:rsidRPr="00B707C5" w:rsidRDefault="00AB08E1" w:rsidP="00AB08E1">
      <w:pPr>
        <w:spacing w:after="0" w:line="240" w:lineRule="auto"/>
        <w:jc w:val="both"/>
        <w:rPr>
          <w:rFonts w:ascii="Verdana" w:hAnsi="Verdana" w:cs="Arial"/>
          <w:sz w:val="24"/>
          <w:szCs w:val="24"/>
        </w:rPr>
      </w:pPr>
    </w:p>
    <w:p w:rsidR="00AB08E1" w:rsidRPr="004D5E37" w:rsidRDefault="00AB08E1" w:rsidP="00AB08E1">
      <w:pPr>
        <w:spacing w:after="0" w:line="240" w:lineRule="auto"/>
        <w:jc w:val="center"/>
        <w:rPr>
          <w:rFonts w:ascii="Verdana" w:hAnsi="Verdana" w:cs="Arial"/>
          <w:b/>
          <w:color w:val="1F497D" w:themeColor="text2"/>
        </w:rPr>
      </w:pPr>
      <w:r w:rsidRPr="004D5E37">
        <w:rPr>
          <w:rFonts w:ascii="Verdana" w:hAnsi="Verdana" w:cs="Arial"/>
          <w:b/>
          <w:color w:val="1F497D" w:themeColor="text2"/>
        </w:rPr>
        <w:t>Evolución pérdida de apropiación histórica 2011-2014</w:t>
      </w:r>
    </w:p>
    <w:p w:rsidR="00AB08E1" w:rsidRPr="00B16826" w:rsidRDefault="00AB08E1" w:rsidP="00AB08E1">
      <w:pPr>
        <w:spacing w:after="0" w:line="240" w:lineRule="auto"/>
        <w:jc w:val="center"/>
        <w:rPr>
          <w:rFonts w:ascii="Verdana" w:hAnsi="Verdana" w:cs="Arial"/>
          <w:sz w:val="16"/>
          <w:szCs w:val="16"/>
        </w:rPr>
      </w:pPr>
      <w:r w:rsidRPr="00B16826">
        <w:rPr>
          <w:rFonts w:ascii="Verdana" w:hAnsi="Verdana" w:cs="Arial"/>
          <w:sz w:val="16"/>
          <w:szCs w:val="16"/>
        </w:rPr>
        <w:t>Cifras en millones de pesos</w:t>
      </w:r>
    </w:p>
    <w:p w:rsidR="00AB08E1" w:rsidRDefault="001F35BA" w:rsidP="00AB08E1">
      <w:pPr>
        <w:spacing w:after="0" w:line="240" w:lineRule="auto"/>
        <w:jc w:val="center"/>
        <w:rPr>
          <w:rFonts w:ascii="Verdana" w:hAnsi="Verdana"/>
        </w:rPr>
      </w:pPr>
      <w:r>
        <w:rPr>
          <w:rFonts w:ascii="Verdana" w:hAnsi="Verdana"/>
          <w:noProof/>
        </w:rPr>
        <w:pict>
          <v:rect id="Rectángulo 5" o:spid="_x0000_s1028" style="position:absolute;left:0;text-align:left;margin-left:370.95pt;margin-top:15.15pt;width:42.95pt;height:166.5pt;z-index:251767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" fillcolor="white [3212]" strokecolor="white [3212]"/>
        </w:pict>
      </w:r>
      <w:r w:rsidR="00AB08E1" w:rsidRPr="00B16826">
        <w:rPr>
          <w:rFonts w:ascii="Verdana" w:hAnsi="Verdana"/>
          <w:noProof/>
          <w:lang w:eastAsia="es-CO"/>
        </w:rPr>
        <w:drawing>
          <wp:inline distT="0" distB="0" distL="0" distR="0">
            <wp:extent cx="5200650" cy="2628900"/>
            <wp:effectExtent l="0" t="0" r="0" b="0"/>
            <wp:docPr id="493"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AB08E1" w:rsidRDefault="00AB08E1" w:rsidP="00AB08E1">
      <w:pPr>
        <w:spacing w:after="0" w:line="240" w:lineRule="auto"/>
        <w:jc w:val="center"/>
        <w:rPr>
          <w:rFonts w:ascii="Verdana" w:hAnsi="Verdana"/>
        </w:rPr>
      </w:pPr>
    </w:p>
    <w:p w:rsidR="00AB08E1" w:rsidRPr="00B16826" w:rsidRDefault="00AB08E1" w:rsidP="00AB08E1">
      <w:pPr>
        <w:spacing w:after="0" w:line="240" w:lineRule="auto"/>
        <w:jc w:val="center"/>
        <w:rPr>
          <w:rFonts w:ascii="Verdana" w:hAnsi="Verdana"/>
        </w:rPr>
      </w:pPr>
    </w:p>
    <w:p w:rsidR="00AB08E1" w:rsidRPr="00B16826" w:rsidRDefault="00AB08E1" w:rsidP="00AB08E1">
      <w:pPr>
        <w:spacing w:after="0" w:line="240" w:lineRule="auto"/>
        <w:jc w:val="center"/>
        <w:rPr>
          <w:rFonts w:ascii="Verdana" w:hAnsi="Verdana" w:cs="Arial"/>
        </w:rPr>
      </w:pPr>
      <w:r w:rsidRPr="00B16826">
        <w:rPr>
          <w:rFonts w:ascii="Verdana" w:hAnsi="Verdana" w:cs="Arial"/>
          <w:b/>
          <w:sz w:val="16"/>
        </w:rPr>
        <w:t>Fuente:</w:t>
      </w:r>
      <w:r w:rsidRPr="00B16826">
        <w:rPr>
          <w:rFonts w:ascii="Verdana" w:hAnsi="Verdana" w:cs="Arial"/>
          <w:sz w:val="16"/>
        </w:rPr>
        <w:t xml:space="preserve"> SIIF. Cálculos Dirección de Planeación y Control de Gestión</w:t>
      </w:r>
    </w:p>
    <w:p w:rsidR="00AB08E1" w:rsidRDefault="00AB08E1" w:rsidP="00AB08E1">
      <w:pPr>
        <w:spacing w:after="0" w:line="240" w:lineRule="auto"/>
        <w:jc w:val="both"/>
        <w:rPr>
          <w:rFonts w:ascii="Verdana" w:hAnsi="Verdana" w:cs="Arial"/>
          <w:color w:val="000000" w:themeColor="text1"/>
        </w:rPr>
      </w:pPr>
    </w:p>
    <w:p w:rsidR="00AB08E1" w:rsidRPr="00B16826" w:rsidRDefault="00AB08E1" w:rsidP="00AB08E1">
      <w:pPr>
        <w:spacing w:after="0" w:line="240" w:lineRule="auto"/>
        <w:jc w:val="both"/>
        <w:rPr>
          <w:rFonts w:ascii="Verdana" w:hAnsi="Verdana" w:cs="Arial"/>
          <w:color w:val="000000" w:themeColor="text1"/>
        </w:rPr>
      </w:pPr>
    </w:p>
    <w:p w:rsidR="00AB08E1" w:rsidRPr="00B707C5" w:rsidRDefault="00AB08E1" w:rsidP="00AB08E1">
      <w:pPr>
        <w:spacing w:after="0" w:line="240" w:lineRule="auto"/>
        <w:jc w:val="both"/>
        <w:rPr>
          <w:rFonts w:ascii="Verdana" w:hAnsi="Verdana" w:cs="Arial"/>
          <w:sz w:val="24"/>
          <w:szCs w:val="24"/>
        </w:rPr>
      </w:pPr>
      <w:r w:rsidRPr="00B707C5">
        <w:rPr>
          <w:rFonts w:ascii="Verdana" w:hAnsi="Verdana" w:cs="Arial"/>
          <w:color w:val="000000" w:themeColor="text1"/>
          <w:sz w:val="24"/>
          <w:szCs w:val="24"/>
        </w:rPr>
        <w:t xml:space="preserve">En el proyecto de Primera Infancia se calculan reservas potenciales de $22.041 millones. Con el propósito de garantizar el normal funcionamiento de los programas de Primera Infancia para los </w:t>
      </w:r>
      <w:r w:rsidRPr="00B707C5">
        <w:rPr>
          <w:rFonts w:ascii="Verdana" w:hAnsi="Verdana" w:cs="Arial"/>
          <w:sz w:val="24"/>
          <w:szCs w:val="24"/>
        </w:rPr>
        <w:t>primeros meses del año 2015.</w:t>
      </w:r>
    </w:p>
    <w:p w:rsidR="00AB08E1" w:rsidRPr="00B707C5" w:rsidRDefault="00AB08E1" w:rsidP="00AB08E1">
      <w:pPr>
        <w:spacing w:after="0" w:line="240" w:lineRule="auto"/>
        <w:jc w:val="both"/>
        <w:rPr>
          <w:rFonts w:ascii="Verdana" w:hAnsi="Verdana" w:cs="Arial"/>
          <w:sz w:val="24"/>
          <w:szCs w:val="24"/>
        </w:rPr>
      </w:pPr>
    </w:p>
    <w:p w:rsidR="00AB08E1" w:rsidRPr="00B707C5" w:rsidRDefault="00AB08E1" w:rsidP="00AB08E1">
      <w:pPr>
        <w:spacing w:after="0" w:line="240" w:lineRule="auto"/>
        <w:jc w:val="both"/>
        <w:rPr>
          <w:rFonts w:ascii="Verdana" w:hAnsi="Verdana" w:cs="Arial"/>
          <w:sz w:val="24"/>
          <w:szCs w:val="24"/>
        </w:rPr>
      </w:pPr>
      <w:r w:rsidRPr="00B707C5">
        <w:rPr>
          <w:rFonts w:ascii="Verdana" w:hAnsi="Verdana" w:cs="Arial"/>
          <w:sz w:val="24"/>
          <w:szCs w:val="24"/>
        </w:rPr>
        <w:t>En el proyecto de Protección – “Acciones para preservar y restituir el ejercicio integral de los derechos de la niñez y la familia”, se calculan una reserva potencial  de $6.544 millones con el propósito de garantizar a los niños, niñas y adolescentes un espacio institucional de protección inmediata (hogares de paso y centros de emergencias), fortalecer los servicios de intervención de apoyo y brindar atención terapéutica a niños, niñas y adolescentes en situación de vulnerabilidad. Reservas constituidas toda vez que esas modalidades deben funcionar durante todo el año y no se pueden suspender por el proceso de contratación.</w:t>
      </w:r>
    </w:p>
    <w:p w:rsidR="00AB08E1" w:rsidRPr="00B707C5" w:rsidRDefault="00AB08E1" w:rsidP="00AB08E1">
      <w:pPr>
        <w:spacing w:after="0" w:line="240" w:lineRule="auto"/>
        <w:jc w:val="both"/>
        <w:rPr>
          <w:rFonts w:ascii="Verdana" w:hAnsi="Verdana" w:cs="Arial"/>
          <w:sz w:val="24"/>
          <w:szCs w:val="24"/>
        </w:rPr>
      </w:pPr>
    </w:p>
    <w:p w:rsidR="00AB08E1" w:rsidRPr="00B707C5" w:rsidRDefault="00AB08E1" w:rsidP="00AB08E1">
      <w:pPr>
        <w:spacing w:after="0" w:line="240" w:lineRule="auto"/>
        <w:jc w:val="both"/>
        <w:rPr>
          <w:rFonts w:ascii="Verdana" w:hAnsi="Verdana" w:cs="Arial"/>
          <w:color w:val="000000" w:themeColor="text1"/>
          <w:sz w:val="24"/>
          <w:szCs w:val="24"/>
        </w:rPr>
      </w:pPr>
      <w:r w:rsidRPr="00B707C5">
        <w:rPr>
          <w:rFonts w:ascii="Verdana" w:hAnsi="Verdana" w:cs="Arial"/>
          <w:color w:val="000000" w:themeColor="text1"/>
          <w:sz w:val="24"/>
          <w:szCs w:val="24"/>
        </w:rPr>
        <w:t>En el rubro de Gastos Administrativos se estima una potencial reserva de $20.977 millones. Los cuales fueron producto de tres aspectos principales:</w:t>
      </w:r>
    </w:p>
    <w:p w:rsidR="00AB08E1" w:rsidRPr="00B707C5" w:rsidRDefault="00AB08E1" w:rsidP="00AB08E1">
      <w:pPr>
        <w:spacing w:after="0" w:line="240" w:lineRule="auto"/>
        <w:jc w:val="both"/>
        <w:rPr>
          <w:rFonts w:ascii="Verdana" w:hAnsi="Verdana" w:cs="Arial"/>
          <w:color w:val="000000" w:themeColor="text1"/>
          <w:sz w:val="24"/>
          <w:szCs w:val="24"/>
        </w:rPr>
      </w:pPr>
    </w:p>
    <w:p w:rsidR="00AB08E1" w:rsidRPr="00B707C5" w:rsidRDefault="00AB08E1" w:rsidP="00AB08E1">
      <w:pPr>
        <w:pStyle w:val="Prrafodelista"/>
        <w:numPr>
          <w:ilvl w:val="0"/>
          <w:numId w:val="121"/>
        </w:numPr>
        <w:spacing w:after="0" w:line="240" w:lineRule="auto"/>
        <w:jc w:val="both"/>
        <w:rPr>
          <w:rFonts w:ascii="Verdana" w:hAnsi="Verdana" w:cs="Arial"/>
          <w:color w:val="000000" w:themeColor="text1"/>
          <w:sz w:val="24"/>
          <w:szCs w:val="24"/>
        </w:rPr>
      </w:pPr>
      <w:r w:rsidRPr="00B707C5">
        <w:rPr>
          <w:rFonts w:ascii="Verdana" w:hAnsi="Verdana" w:cs="Arial"/>
          <w:color w:val="000000" w:themeColor="text1"/>
          <w:sz w:val="24"/>
          <w:szCs w:val="24"/>
        </w:rPr>
        <w:t>El primero tiene que ver con la construcción de los Centros de Atención Especializados/Centros de Internamiento Preventivo para el Sistema de Responsabilidad Penal Adolescente. El contratista encargado de las obras no ha cumplido con los términos de los avances.</w:t>
      </w:r>
    </w:p>
    <w:p w:rsidR="00AB08E1" w:rsidRPr="00B707C5" w:rsidRDefault="00AB08E1" w:rsidP="00AB08E1">
      <w:pPr>
        <w:pStyle w:val="Prrafodelista"/>
        <w:spacing w:after="0" w:line="240" w:lineRule="auto"/>
        <w:jc w:val="both"/>
        <w:rPr>
          <w:rFonts w:ascii="Verdana" w:hAnsi="Verdana" w:cs="Arial"/>
          <w:color w:val="000000" w:themeColor="text1"/>
          <w:sz w:val="24"/>
          <w:szCs w:val="24"/>
        </w:rPr>
      </w:pPr>
    </w:p>
    <w:p w:rsidR="00AB08E1" w:rsidRPr="00B707C5" w:rsidRDefault="00AB08E1" w:rsidP="00AB08E1">
      <w:pPr>
        <w:pStyle w:val="Prrafodelista"/>
        <w:numPr>
          <w:ilvl w:val="0"/>
          <w:numId w:val="121"/>
        </w:numPr>
        <w:spacing w:after="0" w:line="240" w:lineRule="auto"/>
        <w:jc w:val="both"/>
        <w:rPr>
          <w:rFonts w:ascii="Verdana" w:hAnsi="Verdana" w:cs="Arial"/>
          <w:color w:val="000000" w:themeColor="text1"/>
          <w:sz w:val="24"/>
          <w:szCs w:val="24"/>
        </w:rPr>
      </w:pPr>
      <w:r w:rsidRPr="00B707C5">
        <w:rPr>
          <w:rFonts w:ascii="Verdana" w:hAnsi="Verdana" w:cs="Arial"/>
          <w:color w:val="000000" w:themeColor="text1"/>
          <w:sz w:val="24"/>
          <w:szCs w:val="24"/>
        </w:rPr>
        <w:t>El segundo aspecto hace referencia a una situación similar, el ICBF se encuentra en proceso de construcción de Centros de Desarrollo Infantil cofinanciados con recursos del Departamento Administrativo de la Presidencia de la Republica-DAPRE, los cuales se están desarrollando en diferentes departamentos pero por dificultades técnicas no se han concluido las obras.</w:t>
      </w:r>
    </w:p>
    <w:p w:rsidR="00AB08E1" w:rsidRPr="00B707C5" w:rsidRDefault="00AB08E1" w:rsidP="00AB08E1">
      <w:pPr>
        <w:spacing w:after="0" w:line="240" w:lineRule="auto"/>
        <w:jc w:val="both"/>
        <w:rPr>
          <w:rFonts w:ascii="Verdana" w:hAnsi="Verdana" w:cs="Arial"/>
          <w:color w:val="000000" w:themeColor="text1"/>
          <w:sz w:val="24"/>
          <w:szCs w:val="24"/>
        </w:rPr>
      </w:pPr>
    </w:p>
    <w:p w:rsidR="00AB08E1" w:rsidRPr="00B707C5" w:rsidRDefault="00AB08E1" w:rsidP="00AB08E1">
      <w:pPr>
        <w:pStyle w:val="Prrafodelista"/>
        <w:numPr>
          <w:ilvl w:val="0"/>
          <w:numId w:val="121"/>
        </w:numPr>
        <w:spacing w:after="0" w:line="240" w:lineRule="auto"/>
        <w:jc w:val="both"/>
        <w:rPr>
          <w:rFonts w:ascii="Verdana" w:hAnsi="Verdana" w:cs="Arial"/>
          <w:color w:val="000000" w:themeColor="text1"/>
          <w:sz w:val="24"/>
          <w:szCs w:val="24"/>
        </w:rPr>
      </w:pPr>
      <w:r w:rsidRPr="00B707C5">
        <w:rPr>
          <w:rFonts w:ascii="Verdana" w:hAnsi="Verdana" w:cs="Arial"/>
          <w:color w:val="000000" w:themeColor="text1"/>
          <w:sz w:val="24"/>
          <w:szCs w:val="24"/>
        </w:rPr>
        <w:t>El tercer y último aspecto,  corresponde a las posibles reservas constituidas asociadas a las construcciones y adecuaciones en centro zonales, que no fueron recibidas en la vigencia 2014, así como gastos de administración de planta física que serán legalizados en los primeros meses del año.</w:t>
      </w:r>
    </w:p>
    <w:p w:rsidR="00AB08E1" w:rsidRDefault="00AB08E1" w:rsidP="00AB08E1">
      <w:pPr>
        <w:spacing w:after="0" w:line="240" w:lineRule="auto"/>
        <w:jc w:val="both"/>
        <w:rPr>
          <w:rFonts w:ascii="Verdana" w:hAnsi="Verdana"/>
          <w:b/>
          <w:color w:val="4F81BD" w:themeColor="accent1"/>
          <w:sz w:val="24"/>
          <w:szCs w:val="24"/>
        </w:rPr>
      </w:pPr>
    </w:p>
    <w:p w:rsidR="00AB08E1" w:rsidRDefault="00AB08E1" w:rsidP="00AB08E1">
      <w:pPr>
        <w:spacing w:after="0" w:line="240" w:lineRule="auto"/>
        <w:jc w:val="both"/>
        <w:rPr>
          <w:rFonts w:ascii="Verdana" w:hAnsi="Verdana"/>
          <w:b/>
          <w:color w:val="4F81BD" w:themeColor="accent1"/>
          <w:sz w:val="24"/>
          <w:szCs w:val="24"/>
        </w:rPr>
      </w:pPr>
    </w:p>
    <w:p w:rsidR="00AB08E1" w:rsidRPr="00344E7A" w:rsidRDefault="00AB08E1" w:rsidP="00AB08E1">
      <w:pPr>
        <w:spacing w:after="0" w:line="240" w:lineRule="auto"/>
        <w:jc w:val="both"/>
        <w:rPr>
          <w:rFonts w:ascii="Verdana" w:hAnsi="Verdana"/>
          <w:b/>
          <w:color w:val="4F81BD" w:themeColor="accent1"/>
          <w:sz w:val="28"/>
          <w:szCs w:val="24"/>
        </w:rPr>
      </w:pPr>
      <w:r w:rsidRPr="00344E7A">
        <w:rPr>
          <w:rFonts w:ascii="Verdana" w:hAnsi="Verdana"/>
          <w:b/>
          <w:noProof/>
          <w:color w:val="4F81BD" w:themeColor="accent1"/>
          <w:sz w:val="24"/>
          <w:szCs w:val="24"/>
          <w:lang w:eastAsia="es-CO"/>
        </w:rPr>
        <w:drawing>
          <wp:inline distT="0" distB="0" distL="0" distR="0">
            <wp:extent cx="216024" cy="216024"/>
            <wp:effectExtent l="19050" t="0" r="0" b="0"/>
            <wp:docPr id="494" name="Objeto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7884368" y="2996952"/>
                      <a:chExt cx="216024" cy="216024"/>
                    </a:xfrm>
                  </a:grpSpPr>
                  <a:sp>
                    <a:nvSpPr>
                      <a:cNvPr id="40" name="39 Rectángulo redondeado"/>
                      <a:cNvSpPr/>
                    </a:nvSpPr>
                    <a:spPr>
                      <a:xfrm>
                        <a:off x="7884368" y="2996952"/>
                        <a:ext cx="216024" cy="216024"/>
                      </a:xfrm>
                      <a:prstGeom prst="roundRect">
                        <a:avLst/>
                      </a:prstGeom>
                      <a:solidFill>
                        <a:schemeClr val="tx2">
                          <a:lumMod val="75000"/>
                        </a:schemeClr>
                      </a:soli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hAnsi="Verdana"/>
          <w:b/>
          <w:color w:val="4F81BD" w:themeColor="accent1"/>
          <w:sz w:val="24"/>
          <w:szCs w:val="24"/>
        </w:rPr>
        <w:t xml:space="preserve"> </w:t>
      </w:r>
      <w:r w:rsidRPr="00344E7A">
        <w:rPr>
          <w:rFonts w:ascii="Verdana" w:hAnsi="Verdana"/>
          <w:b/>
          <w:color w:val="4F81BD" w:themeColor="accent1"/>
          <w:sz w:val="28"/>
          <w:szCs w:val="24"/>
        </w:rPr>
        <w:t>CUMPLIMIENTO DE METAS</w:t>
      </w:r>
    </w:p>
    <w:p w:rsidR="00AB08E1" w:rsidRDefault="00AB08E1" w:rsidP="00AB08E1">
      <w:pPr>
        <w:spacing w:after="0" w:line="240" w:lineRule="auto"/>
        <w:jc w:val="both"/>
        <w:rPr>
          <w:rFonts w:ascii="Verdana" w:hAnsi="Verdana"/>
          <w:sz w:val="24"/>
          <w:szCs w:val="24"/>
        </w:rPr>
      </w:pPr>
    </w:p>
    <w:p w:rsidR="00AB08E1" w:rsidRPr="004D5E37" w:rsidRDefault="00AB08E1" w:rsidP="00AB08E1">
      <w:pPr>
        <w:spacing w:after="0" w:line="240" w:lineRule="auto"/>
        <w:jc w:val="both"/>
        <w:rPr>
          <w:rFonts w:ascii="Verdana" w:hAnsi="Verdana" w:cs="Arial"/>
          <w:b/>
          <w:color w:val="4F81BD" w:themeColor="accent1"/>
          <w:sz w:val="24"/>
          <w:szCs w:val="24"/>
        </w:rPr>
      </w:pPr>
      <w:r w:rsidRPr="004D5E37">
        <w:rPr>
          <w:rFonts w:ascii="Verdana" w:hAnsi="Verdana" w:cs="Arial"/>
          <w:b/>
          <w:color w:val="4F81BD" w:themeColor="accent1"/>
          <w:sz w:val="24"/>
          <w:szCs w:val="24"/>
        </w:rPr>
        <w:t>Indicadores y metas de gobierno</w:t>
      </w:r>
    </w:p>
    <w:p w:rsidR="00AB08E1" w:rsidRDefault="00AB08E1" w:rsidP="00AB08E1">
      <w:pPr>
        <w:spacing w:after="0" w:line="240" w:lineRule="auto"/>
        <w:jc w:val="both"/>
        <w:rPr>
          <w:rFonts w:ascii="Verdana" w:hAnsi="Verdana" w:cs="Arial"/>
          <w:sz w:val="24"/>
          <w:szCs w:val="24"/>
        </w:rPr>
      </w:pPr>
    </w:p>
    <w:p w:rsidR="00AB08E1" w:rsidRPr="00F36E2D" w:rsidRDefault="00AB08E1" w:rsidP="00AB08E1">
      <w:pPr>
        <w:spacing w:after="0" w:line="240" w:lineRule="auto"/>
        <w:jc w:val="both"/>
        <w:rPr>
          <w:rFonts w:ascii="Verdana" w:hAnsi="Verdana" w:cs="Arial"/>
          <w:sz w:val="24"/>
          <w:szCs w:val="24"/>
        </w:rPr>
      </w:pPr>
      <w:r w:rsidRPr="00F36E2D">
        <w:rPr>
          <w:rFonts w:ascii="Verdana" w:hAnsi="Verdana" w:cs="Arial"/>
          <w:sz w:val="24"/>
          <w:szCs w:val="24"/>
        </w:rPr>
        <w:t>La labor del Instituto Colombiano de Bienestar Familiar se enmarca en dos pilares fundamentales del Plan Nacional de Desarrollo 2010-2014 “Prosperidad Para Todos”: 1). La Igualdad de Oportunidades para la Prosperidad Social; 2). La Consolidación de la Paz.</w:t>
      </w:r>
    </w:p>
    <w:p w:rsidR="00AB08E1" w:rsidRPr="00F36E2D" w:rsidRDefault="00AB08E1" w:rsidP="00AB08E1">
      <w:pPr>
        <w:spacing w:after="0" w:line="240" w:lineRule="auto"/>
        <w:jc w:val="both"/>
        <w:rPr>
          <w:rFonts w:ascii="Verdana" w:hAnsi="Verdana" w:cs="Arial"/>
          <w:sz w:val="24"/>
          <w:szCs w:val="24"/>
        </w:rPr>
      </w:pPr>
    </w:p>
    <w:p w:rsidR="00AB08E1" w:rsidRPr="00F36E2D" w:rsidRDefault="00AB08E1" w:rsidP="00AB08E1">
      <w:pPr>
        <w:spacing w:after="0" w:line="240" w:lineRule="auto"/>
        <w:jc w:val="both"/>
        <w:rPr>
          <w:rFonts w:ascii="Verdana" w:hAnsi="Verdana" w:cs="Arial"/>
          <w:sz w:val="24"/>
          <w:szCs w:val="24"/>
        </w:rPr>
      </w:pPr>
      <w:r w:rsidRPr="00F36E2D">
        <w:rPr>
          <w:rFonts w:ascii="Verdana" w:hAnsi="Verdana" w:cs="Arial"/>
          <w:sz w:val="24"/>
          <w:szCs w:val="24"/>
        </w:rPr>
        <w:t>Es así como las metas de gobierno, en las cuales tiene incidencia directa el ICBF, se encuentran orientadas al cumplimiento de grandes retos tal y como se puede evidenciar con la Estrategia de Atención Integral a la Primera Infancia “De Cero a Siempre”, que reúne las políticas, programas, proyectos, acciones y servicios dirigidos a las madres en periodo de gestación, y a los niños y niñas desde los 0 a los 5 años 11 meses.</w:t>
      </w:r>
    </w:p>
    <w:p w:rsidR="00AB08E1" w:rsidRPr="00F36E2D" w:rsidRDefault="00AB08E1" w:rsidP="00AB08E1">
      <w:pPr>
        <w:spacing w:after="0" w:line="240" w:lineRule="auto"/>
        <w:jc w:val="both"/>
        <w:rPr>
          <w:rFonts w:ascii="Verdana" w:hAnsi="Verdana" w:cs="Arial"/>
          <w:sz w:val="24"/>
          <w:szCs w:val="24"/>
        </w:rPr>
      </w:pPr>
    </w:p>
    <w:p w:rsidR="00AB08E1" w:rsidRPr="00F36E2D" w:rsidRDefault="00AB08E1" w:rsidP="00AB08E1">
      <w:pPr>
        <w:spacing w:after="0" w:line="240" w:lineRule="auto"/>
        <w:jc w:val="both"/>
        <w:rPr>
          <w:rFonts w:ascii="Verdana" w:hAnsi="Verdana" w:cs="Arial"/>
          <w:sz w:val="24"/>
          <w:szCs w:val="24"/>
        </w:rPr>
      </w:pPr>
      <w:r w:rsidRPr="00F36E2D">
        <w:rPr>
          <w:rFonts w:ascii="Verdana" w:hAnsi="Verdana" w:cs="Arial"/>
          <w:sz w:val="24"/>
          <w:szCs w:val="24"/>
        </w:rPr>
        <w:t>A través de esta estrategia se han beneficiado 1.051.005 niños y niñas menores de 5 años, así como madres en periodo de gestación y lactancia, 973.005 atendidos directamente por el ICBF y 78.000 por las Entidades Territoriales. De esta forma, se avanza en el cumplimiento de 88% respecto a la meta establecida para el cuatrienio.</w:t>
      </w:r>
    </w:p>
    <w:p w:rsidR="00AB08E1" w:rsidRPr="00F36E2D" w:rsidRDefault="00AB08E1" w:rsidP="00AB08E1">
      <w:pPr>
        <w:spacing w:after="0" w:line="240" w:lineRule="auto"/>
        <w:jc w:val="both"/>
        <w:rPr>
          <w:rFonts w:ascii="Verdana" w:hAnsi="Verdana" w:cs="Arial"/>
          <w:sz w:val="24"/>
          <w:szCs w:val="24"/>
        </w:rPr>
      </w:pPr>
    </w:p>
    <w:p w:rsidR="00AB08E1" w:rsidRPr="00F36E2D" w:rsidRDefault="00AB08E1" w:rsidP="00AB08E1">
      <w:pPr>
        <w:spacing w:after="0" w:line="240" w:lineRule="auto"/>
        <w:jc w:val="both"/>
        <w:rPr>
          <w:rFonts w:ascii="Verdana" w:hAnsi="Verdana" w:cs="Arial"/>
          <w:sz w:val="24"/>
          <w:szCs w:val="24"/>
        </w:rPr>
      </w:pPr>
      <w:r w:rsidRPr="00F36E2D">
        <w:rPr>
          <w:rFonts w:ascii="Verdana" w:hAnsi="Verdana" w:cs="Arial"/>
          <w:sz w:val="24"/>
          <w:szCs w:val="24"/>
        </w:rPr>
        <w:t>Por otro lado, la entidad atiende a 924.652 niños y niñas de la primera infancia a través de modalidades tradicionales de Hogares ICBF que brindan los componentes de cuidado y nutrición, sin el componente de educación inicial. Esto representa el cumplimiento de 111% de la meta propuesta para el periodo.</w:t>
      </w:r>
    </w:p>
    <w:p w:rsidR="00AB08E1" w:rsidRPr="00F36E2D" w:rsidRDefault="00AB08E1" w:rsidP="00AB08E1">
      <w:pPr>
        <w:spacing w:after="0" w:line="240" w:lineRule="auto"/>
        <w:jc w:val="both"/>
        <w:rPr>
          <w:rFonts w:ascii="Verdana" w:hAnsi="Verdana" w:cs="Arial"/>
          <w:sz w:val="24"/>
          <w:szCs w:val="24"/>
        </w:rPr>
      </w:pPr>
    </w:p>
    <w:p w:rsidR="00AB08E1" w:rsidRPr="00F36E2D" w:rsidRDefault="00AB08E1" w:rsidP="00AB08E1">
      <w:pPr>
        <w:spacing w:after="0" w:line="240" w:lineRule="auto"/>
        <w:jc w:val="both"/>
        <w:rPr>
          <w:rFonts w:ascii="Verdana" w:hAnsi="Verdana" w:cs="Arial"/>
          <w:sz w:val="24"/>
          <w:szCs w:val="24"/>
        </w:rPr>
      </w:pPr>
      <w:r w:rsidRPr="00F36E2D">
        <w:rPr>
          <w:rFonts w:ascii="Verdana" w:hAnsi="Verdana" w:cs="Arial"/>
          <w:sz w:val="24"/>
          <w:szCs w:val="24"/>
        </w:rPr>
        <w:t>Con la finalidad de apoyar la adecuada implementación de la Estrategia “De Cero a Siempre”, el Instituto avanza en la construcción de 100 nuevos Centros de Desarrollo Infantil durante el cuatrienio. A la fecha se reporta la construcción de 25 infraestructuras nuevas en el 2014, 13 se encuentran en construcción y 15 en estudios y diseños, alcanzando un cumplimiento del 72% respecto a la meta de gobierno. Finalmente, se han vinculado 49.672 nuevos agentes educativos en los procesos de formación bajo el modelo de atención integral a la primera infancia lo cual muestra un avance del 99% de la meta establecida para el periodo.</w:t>
      </w:r>
    </w:p>
    <w:p w:rsidR="00AB08E1" w:rsidRPr="00F36E2D" w:rsidRDefault="00AB08E1" w:rsidP="00AB08E1">
      <w:pPr>
        <w:spacing w:after="0" w:line="240" w:lineRule="auto"/>
        <w:jc w:val="both"/>
        <w:rPr>
          <w:rFonts w:ascii="Verdana" w:hAnsi="Verdana" w:cs="Arial"/>
          <w:sz w:val="24"/>
          <w:szCs w:val="24"/>
        </w:rPr>
      </w:pPr>
    </w:p>
    <w:p w:rsidR="00AB08E1" w:rsidRPr="00F36E2D" w:rsidRDefault="00AB08E1" w:rsidP="00AB08E1">
      <w:pPr>
        <w:spacing w:after="0" w:line="240" w:lineRule="auto"/>
        <w:jc w:val="both"/>
        <w:rPr>
          <w:rFonts w:ascii="Verdana" w:hAnsi="Verdana" w:cs="Arial"/>
          <w:sz w:val="24"/>
          <w:szCs w:val="24"/>
        </w:rPr>
      </w:pPr>
      <w:r w:rsidRPr="00F36E2D">
        <w:rPr>
          <w:rFonts w:ascii="Verdana" w:hAnsi="Verdana" w:cs="Arial"/>
          <w:sz w:val="24"/>
          <w:szCs w:val="24"/>
        </w:rPr>
        <w:t xml:space="preserve">En cuanto a niñez y adolescencia, el Instituto le otorga especial énfasis a las estrategias y acciones que posibilitan la garantía de los derechos de los niños, niñas y adolescentes en los ámbitos de existencia, desarrollo, ciudadanía y protección. Por esta razón, cuenta con el programa de “Generaciones con Bienestar” con el cual se alcanzó un cumplimiento del 71% de la meta, atendiendo a 712.163 niños, niñas y adolescentes entre los 6 y 17 años y previniendo diversas formas de vulneración de derechos. </w:t>
      </w:r>
    </w:p>
    <w:p w:rsidR="00AB08E1" w:rsidRPr="00F36E2D" w:rsidRDefault="00AB08E1" w:rsidP="00AB08E1">
      <w:pPr>
        <w:spacing w:after="0" w:line="240" w:lineRule="auto"/>
        <w:jc w:val="both"/>
        <w:rPr>
          <w:rFonts w:ascii="Verdana" w:hAnsi="Verdana" w:cs="Arial"/>
          <w:sz w:val="24"/>
          <w:szCs w:val="24"/>
        </w:rPr>
      </w:pPr>
    </w:p>
    <w:p w:rsidR="00AB08E1" w:rsidRPr="00F36E2D" w:rsidRDefault="00AB08E1" w:rsidP="00AB08E1">
      <w:pPr>
        <w:spacing w:after="0" w:line="240" w:lineRule="auto"/>
        <w:jc w:val="both"/>
        <w:rPr>
          <w:rFonts w:ascii="Verdana" w:hAnsi="Verdana" w:cs="Arial"/>
          <w:sz w:val="24"/>
          <w:szCs w:val="24"/>
        </w:rPr>
      </w:pPr>
      <w:r w:rsidRPr="00F36E2D">
        <w:rPr>
          <w:rFonts w:ascii="Verdana" w:hAnsi="Verdana" w:cs="Arial"/>
          <w:sz w:val="24"/>
          <w:szCs w:val="24"/>
        </w:rPr>
        <w:t xml:space="preserve">Así mismo, hasta la vigencia 2014 se contó con el Programa de Alimentación Escolar – PAE a través del cual se llegó a beneficiar a 4.135.340 niños, niñas y adolescentes con complementación alimentaria mediante un desayuno o un almuerzo escolar, obteniendo un cumplimiento de 102% respecto a la meta establecida. Vale la pena aclarar, que este programa pasó a ser del Ministerio de Educación Nacional – MEN, pero el ICBF continuó operando en 8 regionales durante la vigencia 2014. </w:t>
      </w:r>
    </w:p>
    <w:p w:rsidR="00AB08E1" w:rsidRPr="00F36E2D" w:rsidRDefault="00AB08E1" w:rsidP="00AB08E1">
      <w:pPr>
        <w:spacing w:after="0" w:line="240" w:lineRule="auto"/>
        <w:jc w:val="both"/>
        <w:rPr>
          <w:rFonts w:ascii="Verdana" w:hAnsi="Verdana" w:cs="Arial"/>
          <w:sz w:val="24"/>
          <w:szCs w:val="24"/>
        </w:rPr>
      </w:pPr>
    </w:p>
    <w:p w:rsidR="00AB08E1" w:rsidRPr="00F36E2D" w:rsidRDefault="00AB08E1" w:rsidP="00AB08E1">
      <w:pPr>
        <w:spacing w:after="0" w:line="240" w:lineRule="auto"/>
        <w:jc w:val="both"/>
        <w:rPr>
          <w:rFonts w:ascii="Verdana" w:hAnsi="Verdana" w:cs="Arial"/>
          <w:sz w:val="24"/>
          <w:szCs w:val="24"/>
        </w:rPr>
      </w:pPr>
      <w:r w:rsidRPr="00F36E2D">
        <w:rPr>
          <w:rFonts w:ascii="Verdana" w:hAnsi="Verdana" w:cs="Arial"/>
          <w:sz w:val="24"/>
          <w:szCs w:val="24"/>
        </w:rPr>
        <w:t>Pensando en las familias colombianas, el ICBF también cuenta con el programa “Familias con Bienestar” a través del cual se alcanzó el cumplimiento del 71% de la meta prevista, beneficiando a 541.002 familias, principalmente de la Estrategia de Superación de la Pobreza Extrema – RED UNIDOS.</w:t>
      </w:r>
    </w:p>
    <w:p w:rsidR="00AB08E1" w:rsidRPr="00F36E2D" w:rsidRDefault="00AB08E1" w:rsidP="00AB08E1">
      <w:pPr>
        <w:spacing w:after="0" w:line="240" w:lineRule="auto"/>
        <w:jc w:val="both"/>
        <w:rPr>
          <w:rFonts w:ascii="Verdana" w:hAnsi="Verdana" w:cs="Arial"/>
          <w:sz w:val="24"/>
          <w:szCs w:val="24"/>
        </w:rPr>
      </w:pPr>
    </w:p>
    <w:p w:rsidR="00AB08E1" w:rsidRPr="00F36E2D" w:rsidRDefault="00AB08E1" w:rsidP="00AB08E1">
      <w:pPr>
        <w:spacing w:after="0" w:line="240" w:lineRule="auto"/>
        <w:jc w:val="both"/>
        <w:rPr>
          <w:rFonts w:ascii="Verdana" w:hAnsi="Verdana" w:cs="Arial"/>
          <w:sz w:val="24"/>
          <w:szCs w:val="24"/>
        </w:rPr>
      </w:pPr>
      <w:r w:rsidRPr="00F36E2D">
        <w:rPr>
          <w:rFonts w:ascii="Verdana" w:hAnsi="Verdana" w:cs="Arial"/>
          <w:sz w:val="24"/>
          <w:szCs w:val="24"/>
        </w:rPr>
        <w:t>En cuanto al restablecimiento de derechos de los niños, niñas y adolescentes colombianos, el ICBF, avanzó en el restablecimiento del derecho a tener una familia a través del mecanismo de adopción al 100% de los niños, niñas y adolescentes sin características especiales presentados al comité de adopciones y al 65% de los niños, niñas y adolescentes con características o necesidades especiales., porcentajes que en el año 2011 eran de 70% y 34% respectivamente.</w:t>
      </w:r>
    </w:p>
    <w:p w:rsidR="00AB08E1" w:rsidRPr="00F36E2D" w:rsidRDefault="00AB08E1" w:rsidP="00AB08E1">
      <w:pPr>
        <w:spacing w:after="0" w:line="240" w:lineRule="auto"/>
        <w:jc w:val="both"/>
        <w:rPr>
          <w:rFonts w:ascii="Verdana" w:hAnsi="Verdana" w:cs="Arial"/>
          <w:sz w:val="24"/>
          <w:szCs w:val="24"/>
        </w:rPr>
      </w:pPr>
    </w:p>
    <w:p w:rsidR="00AB08E1" w:rsidRPr="00F36E2D" w:rsidRDefault="00AB08E1" w:rsidP="00AB08E1">
      <w:pPr>
        <w:spacing w:after="0" w:line="240" w:lineRule="auto"/>
        <w:jc w:val="both"/>
        <w:rPr>
          <w:rFonts w:ascii="Verdana" w:hAnsi="Verdana" w:cs="Arial"/>
          <w:sz w:val="24"/>
          <w:szCs w:val="24"/>
        </w:rPr>
      </w:pPr>
      <w:r w:rsidRPr="00F36E2D">
        <w:rPr>
          <w:rFonts w:ascii="Verdana" w:hAnsi="Verdana" w:cs="Arial"/>
          <w:sz w:val="24"/>
          <w:szCs w:val="24"/>
        </w:rPr>
        <w:t>Se presentan a continuación las metas y avances de la vigencia 2014 y del acumulado en el cuatrienio de los indicadores del Plan Nacional de Desarrollo (PND) 2010-2014 “Prosperidad Para Todos”, que están a cargo del ICBF en el Sistema de Seguimiento a Metas de Gobierno - SISMEG. Las cifras de avance se presentan con corte al 30 de noviembre de 2014.</w:t>
      </w:r>
    </w:p>
    <w:p w:rsidR="00AB08E1" w:rsidRPr="00F36E2D" w:rsidRDefault="00AB08E1" w:rsidP="00AB08E1">
      <w:pPr>
        <w:spacing w:after="0" w:line="240" w:lineRule="auto"/>
        <w:jc w:val="both"/>
        <w:rPr>
          <w:rFonts w:ascii="Verdana" w:hAnsi="Verdana" w:cs="Arial"/>
          <w:b/>
          <w:sz w:val="24"/>
          <w:szCs w:val="24"/>
        </w:rPr>
      </w:pPr>
    </w:p>
    <w:p w:rsidR="00AB08E1" w:rsidRPr="00A3293E" w:rsidRDefault="00AB08E1" w:rsidP="00AB08E1">
      <w:pPr>
        <w:spacing w:after="0" w:line="240" w:lineRule="auto"/>
        <w:jc w:val="center"/>
        <w:rPr>
          <w:rFonts w:ascii="Verdana" w:hAnsi="Verdana" w:cs="Arial"/>
          <w:color w:val="4F81BD" w:themeColor="accent1"/>
          <w:sz w:val="24"/>
          <w:szCs w:val="24"/>
        </w:rPr>
      </w:pPr>
      <w:r w:rsidRPr="00A3293E">
        <w:rPr>
          <w:rFonts w:ascii="Verdana" w:hAnsi="Verdana" w:cs="Arial"/>
          <w:color w:val="4F81BD" w:themeColor="accent1"/>
          <w:sz w:val="24"/>
          <w:szCs w:val="24"/>
        </w:rPr>
        <w:t>Avance de Metas de Gobierno. PND 2010- 2014</w:t>
      </w:r>
    </w:p>
    <w:p w:rsidR="00AB08E1" w:rsidRPr="00F36E2D" w:rsidRDefault="00AB08E1" w:rsidP="00AB08E1">
      <w:pPr>
        <w:pStyle w:val="Prrafodelista"/>
        <w:spacing w:after="0" w:line="240" w:lineRule="auto"/>
        <w:ind w:left="567" w:hanging="567"/>
        <w:contextualSpacing w:val="0"/>
        <w:jc w:val="both"/>
        <w:rPr>
          <w:rFonts w:ascii="Arial" w:hAnsi="Arial" w:cs="Arial"/>
          <w:b/>
          <w:sz w:val="16"/>
        </w:rPr>
      </w:pPr>
    </w:p>
    <w:tbl>
      <w:tblPr>
        <w:tblW w:w="5000" w:type="pct"/>
        <w:tblCellMar>
          <w:left w:w="70" w:type="dxa"/>
          <w:right w:w="70" w:type="dxa"/>
        </w:tblCellMar>
        <w:tblLook w:val="04A0"/>
      </w:tblPr>
      <w:tblGrid>
        <w:gridCol w:w="2213"/>
        <w:gridCol w:w="1378"/>
        <w:gridCol w:w="1428"/>
        <w:gridCol w:w="1540"/>
        <w:gridCol w:w="1280"/>
        <w:gridCol w:w="1280"/>
        <w:gridCol w:w="1047"/>
      </w:tblGrid>
      <w:tr w:rsidR="00AB08E1" w:rsidRPr="00A3293E" w:rsidTr="00F33CF6">
        <w:trPr>
          <w:trHeight w:val="300"/>
          <w:tblHeader/>
        </w:trPr>
        <w:tc>
          <w:tcPr>
            <w:tcW w:w="1090" w:type="pct"/>
            <w:vMerge w:val="restart"/>
            <w:tcBorders>
              <w:top w:val="nil"/>
              <w:left w:val="nil"/>
              <w:bottom w:val="single" w:sz="12" w:space="0" w:color="FFFFFF"/>
              <w:right w:val="single" w:sz="4" w:space="0" w:color="FFFFFF"/>
            </w:tcBorders>
            <w:shd w:val="clear" w:color="4F81BD" w:fill="4F81BD"/>
            <w:hideMark/>
          </w:tcPr>
          <w:p w:rsidR="00AB08E1" w:rsidRPr="00A3293E" w:rsidRDefault="00AB08E1" w:rsidP="00F33CF6">
            <w:pPr>
              <w:spacing w:after="0" w:line="240" w:lineRule="auto"/>
              <w:jc w:val="center"/>
              <w:rPr>
                <w:rFonts w:ascii="Verdana" w:eastAsia="Times New Roman" w:hAnsi="Verdana" w:cs="Times New Roman"/>
                <w:b/>
                <w:bCs/>
                <w:color w:val="FFFFFF"/>
                <w:lang w:eastAsia="es-CO"/>
              </w:rPr>
            </w:pPr>
            <w:r w:rsidRPr="00A3293E">
              <w:rPr>
                <w:rFonts w:ascii="Verdana" w:eastAsia="Times New Roman" w:hAnsi="Verdana" w:cs="Times New Roman"/>
                <w:b/>
                <w:bCs/>
                <w:color w:val="FFFFFF"/>
                <w:lang w:eastAsia="es-CO"/>
              </w:rPr>
              <w:t>Nombre del indicador</w:t>
            </w:r>
          </w:p>
        </w:tc>
        <w:tc>
          <w:tcPr>
            <w:tcW w:w="2141" w:type="pct"/>
            <w:gridSpan w:val="3"/>
            <w:tcBorders>
              <w:top w:val="nil"/>
              <w:left w:val="nil"/>
              <w:bottom w:val="single" w:sz="12" w:space="0" w:color="FFFFFF"/>
              <w:right w:val="single" w:sz="4" w:space="0" w:color="FFFFFF"/>
            </w:tcBorders>
            <w:shd w:val="clear" w:color="4F81BD" w:fill="4F81BD"/>
            <w:hideMark/>
          </w:tcPr>
          <w:p w:rsidR="00AB08E1" w:rsidRPr="00A3293E" w:rsidRDefault="00AB08E1" w:rsidP="00F33CF6">
            <w:pPr>
              <w:spacing w:after="0" w:line="240" w:lineRule="auto"/>
              <w:jc w:val="center"/>
              <w:rPr>
                <w:rFonts w:ascii="Verdana" w:eastAsia="Times New Roman" w:hAnsi="Verdana" w:cs="Times New Roman"/>
                <w:b/>
                <w:bCs/>
                <w:color w:val="FFFFFF"/>
                <w:szCs w:val="24"/>
                <w:lang w:eastAsia="es-CO"/>
              </w:rPr>
            </w:pPr>
            <w:r w:rsidRPr="00A3293E">
              <w:rPr>
                <w:rFonts w:ascii="Verdana" w:eastAsia="Times New Roman" w:hAnsi="Verdana" w:cs="Times New Roman"/>
                <w:b/>
                <w:bCs/>
                <w:color w:val="FFFFFF"/>
                <w:szCs w:val="24"/>
                <w:lang w:eastAsia="es-CO"/>
              </w:rPr>
              <w:t>2014</w:t>
            </w:r>
          </w:p>
        </w:tc>
        <w:tc>
          <w:tcPr>
            <w:tcW w:w="1769" w:type="pct"/>
            <w:gridSpan w:val="3"/>
            <w:tcBorders>
              <w:top w:val="nil"/>
              <w:left w:val="nil"/>
              <w:bottom w:val="single" w:sz="12" w:space="0" w:color="FFFFFF"/>
              <w:right w:val="single" w:sz="4" w:space="0" w:color="FFFFFF"/>
            </w:tcBorders>
            <w:shd w:val="clear" w:color="4F81BD" w:fill="4F81BD"/>
            <w:hideMark/>
          </w:tcPr>
          <w:p w:rsidR="00AB08E1" w:rsidRPr="00A3293E" w:rsidRDefault="00AB08E1" w:rsidP="00F33CF6">
            <w:pPr>
              <w:spacing w:after="0" w:line="240" w:lineRule="auto"/>
              <w:jc w:val="center"/>
              <w:rPr>
                <w:rFonts w:ascii="Verdana" w:eastAsia="Times New Roman" w:hAnsi="Verdana" w:cs="Times New Roman"/>
                <w:b/>
                <w:bCs/>
                <w:color w:val="FFFFFF"/>
                <w:szCs w:val="24"/>
                <w:lang w:eastAsia="es-CO"/>
              </w:rPr>
            </w:pPr>
            <w:r w:rsidRPr="00A3293E">
              <w:rPr>
                <w:rFonts w:ascii="Verdana" w:eastAsia="Times New Roman" w:hAnsi="Verdana" w:cs="Times New Roman"/>
                <w:b/>
                <w:bCs/>
                <w:color w:val="FFFFFF"/>
                <w:szCs w:val="24"/>
                <w:lang w:eastAsia="es-CO"/>
              </w:rPr>
              <w:t>Cuatrienio</w:t>
            </w:r>
          </w:p>
        </w:tc>
      </w:tr>
      <w:tr w:rsidR="00AB08E1" w:rsidRPr="00A3293E" w:rsidTr="00F33CF6">
        <w:trPr>
          <w:trHeight w:val="300"/>
          <w:tblHeader/>
        </w:trPr>
        <w:tc>
          <w:tcPr>
            <w:tcW w:w="1090" w:type="pct"/>
            <w:vMerge/>
            <w:tcBorders>
              <w:top w:val="nil"/>
              <w:left w:val="nil"/>
              <w:bottom w:val="single" w:sz="12" w:space="0" w:color="FFFFFF"/>
              <w:right w:val="single" w:sz="4" w:space="0" w:color="FFFFFF"/>
            </w:tcBorders>
            <w:vAlign w:val="center"/>
            <w:hideMark/>
          </w:tcPr>
          <w:p w:rsidR="00AB08E1" w:rsidRPr="00A3293E" w:rsidRDefault="00AB08E1" w:rsidP="00F33CF6">
            <w:pPr>
              <w:spacing w:after="0" w:line="240" w:lineRule="auto"/>
              <w:rPr>
                <w:rFonts w:ascii="Verdana" w:eastAsia="Times New Roman" w:hAnsi="Verdana" w:cs="Times New Roman"/>
                <w:b/>
                <w:bCs/>
                <w:color w:val="FFFFFF"/>
                <w:lang w:eastAsia="es-CO"/>
              </w:rPr>
            </w:pPr>
          </w:p>
        </w:tc>
        <w:tc>
          <w:tcPr>
            <w:tcW w:w="679"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center"/>
              <w:rPr>
                <w:rFonts w:ascii="Verdana" w:eastAsia="Times New Roman" w:hAnsi="Verdana" w:cs="Times New Roman"/>
                <w:color w:val="000000"/>
                <w:sz w:val="20"/>
                <w:szCs w:val="24"/>
                <w:lang w:eastAsia="es-CO"/>
              </w:rPr>
            </w:pPr>
            <w:r w:rsidRPr="00A3293E">
              <w:rPr>
                <w:rFonts w:ascii="Verdana" w:eastAsia="Times New Roman" w:hAnsi="Verdana" w:cs="Times New Roman"/>
                <w:color w:val="000000"/>
                <w:sz w:val="20"/>
                <w:szCs w:val="24"/>
                <w:lang w:eastAsia="es-CO"/>
              </w:rPr>
              <w:t>Meta</w:t>
            </w:r>
          </w:p>
        </w:tc>
        <w:tc>
          <w:tcPr>
            <w:tcW w:w="704"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center"/>
              <w:rPr>
                <w:rFonts w:ascii="Verdana" w:eastAsia="Times New Roman" w:hAnsi="Verdana" w:cs="Times New Roman"/>
                <w:color w:val="000000"/>
                <w:sz w:val="20"/>
                <w:szCs w:val="24"/>
                <w:lang w:eastAsia="es-CO"/>
              </w:rPr>
            </w:pPr>
            <w:r w:rsidRPr="00A3293E">
              <w:rPr>
                <w:rFonts w:ascii="Verdana" w:eastAsia="Times New Roman" w:hAnsi="Verdana" w:cs="Times New Roman"/>
                <w:color w:val="000000"/>
                <w:sz w:val="20"/>
                <w:szCs w:val="24"/>
                <w:lang w:eastAsia="es-CO"/>
              </w:rPr>
              <w:t>Avance</w:t>
            </w:r>
          </w:p>
        </w:tc>
        <w:tc>
          <w:tcPr>
            <w:tcW w:w="759"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center"/>
              <w:rPr>
                <w:rFonts w:ascii="Verdana" w:eastAsia="Times New Roman" w:hAnsi="Verdana" w:cs="Times New Roman"/>
                <w:color w:val="000000"/>
                <w:sz w:val="20"/>
                <w:szCs w:val="24"/>
                <w:lang w:eastAsia="es-CO"/>
              </w:rPr>
            </w:pPr>
            <w:r w:rsidRPr="00A3293E">
              <w:rPr>
                <w:rFonts w:ascii="Verdana" w:eastAsia="Times New Roman" w:hAnsi="Verdana" w:cs="Times New Roman"/>
                <w:color w:val="000000"/>
                <w:sz w:val="20"/>
                <w:szCs w:val="24"/>
                <w:lang w:eastAsia="es-CO"/>
              </w:rPr>
              <w:t>%</w:t>
            </w:r>
          </w:p>
        </w:tc>
        <w:tc>
          <w:tcPr>
            <w:tcW w:w="626"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center"/>
              <w:rPr>
                <w:rFonts w:ascii="Verdana" w:eastAsia="Times New Roman" w:hAnsi="Verdana" w:cs="Times New Roman"/>
                <w:color w:val="000000"/>
                <w:sz w:val="20"/>
                <w:szCs w:val="24"/>
                <w:lang w:eastAsia="es-CO"/>
              </w:rPr>
            </w:pPr>
            <w:r w:rsidRPr="00A3293E">
              <w:rPr>
                <w:rFonts w:ascii="Verdana" w:eastAsia="Times New Roman" w:hAnsi="Verdana" w:cs="Times New Roman"/>
                <w:color w:val="000000"/>
                <w:sz w:val="20"/>
                <w:szCs w:val="24"/>
                <w:lang w:eastAsia="es-CO"/>
              </w:rPr>
              <w:t>Meta</w:t>
            </w:r>
          </w:p>
        </w:tc>
        <w:tc>
          <w:tcPr>
            <w:tcW w:w="626"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center"/>
              <w:rPr>
                <w:rFonts w:ascii="Verdana" w:eastAsia="Times New Roman" w:hAnsi="Verdana" w:cs="Times New Roman"/>
                <w:color w:val="000000"/>
                <w:sz w:val="20"/>
                <w:szCs w:val="24"/>
                <w:lang w:eastAsia="es-CO"/>
              </w:rPr>
            </w:pPr>
            <w:r w:rsidRPr="00A3293E">
              <w:rPr>
                <w:rFonts w:ascii="Verdana" w:eastAsia="Times New Roman" w:hAnsi="Verdana" w:cs="Times New Roman"/>
                <w:color w:val="000000"/>
                <w:sz w:val="20"/>
                <w:szCs w:val="24"/>
                <w:lang w:eastAsia="es-CO"/>
              </w:rPr>
              <w:t>Avance</w:t>
            </w:r>
          </w:p>
        </w:tc>
        <w:tc>
          <w:tcPr>
            <w:tcW w:w="516" w:type="pct"/>
            <w:tcBorders>
              <w:top w:val="nil"/>
              <w:left w:val="nil"/>
              <w:bottom w:val="single" w:sz="4" w:space="0" w:color="FFFFFF"/>
              <w:right w:val="nil"/>
            </w:tcBorders>
            <w:shd w:val="clear" w:color="B8CCE4" w:fill="B8CCE4"/>
            <w:hideMark/>
          </w:tcPr>
          <w:p w:rsidR="00AB08E1" w:rsidRPr="00A3293E" w:rsidRDefault="00AB08E1" w:rsidP="00F33CF6">
            <w:pPr>
              <w:spacing w:after="0" w:line="240" w:lineRule="auto"/>
              <w:jc w:val="center"/>
              <w:rPr>
                <w:rFonts w:ascii="Verdana" w:eastAsia="Times New Roman" w:hAnsi="Verdana" w:cs="Times New Roman"/>
                <w:color w:val="000000"/>
                <w:sz w:val="20"/>
                <w:szCs w:val="24"/>
                <w:lang w:eastAsia="es-CO"/>
              </w:rPr>
            </w:pPr>
            <w:r w:rsidRPr="00A3293E">
              <w:rPr>
                <w:rFonts w:ascii="Verdana" w:eastAsia="Times New Roman" w:hAnsi="Verdana" w:cs="Times New Roman"/>
                <w:color w:val="000000"/>
                <w:sz w:val="20"/>
                <w:szCs w:val="24"/>
                <w:lang w:eastAsia="es-CO"/>
              </w:rPr>
              <w:t>%</w:t>
            </w:r>
          </w:p>
        </w:tc>
      </w:tr>
      <w:tr w:rsidR="00AB08E1" w:rsidRPr="00A3293E" w:rsidTr="00F33CF6">
        <w:trPr>
          <w:trHeight w:val="1425"/>
        </w:trPr>
        <w:tc>
          <w:tcPr>
            <w:tcW w:w="1090" w:type="pct"/>
            <w:tcBorders>
              <w:top w:val="nil"/>
              <w:left w:val="nil"/>
              <w:bottom w:val="single" w:sz="4" w:space="0" w:color="FFFFFF"/>
              <w:right w:val="single" w:sz="4" w:space="0" w:color="FFFFFF"/>
            </w:tcBorders>
            <w:shd w:val="clear" w:color="DBE5F1" w:fill="DBE5F1"/>
            <w:hideMark/>
          </w:tcPr>
          <w:p w:rsidR="00AB08E1" w:rsidRPr="00A3293E" w:rsidRDefault="00AB08E1" w:rsidP="00F33CF6">
            <w:pPr>
              <w:spacing w:after="0" w:line="240" w:lineRule="auto"/>
              <w:jc w:val="both"/>
              <w:rPr>
                <w:rFonts w:ascii="Verdana" w:eastAsia="Times New Roman" w:hAnsi="Verdana" w:cs="Times New Roman"/>
                <w:color w:val="262626"/>
                <w:lang w:eastAsia="es-CO"/>
              </w:rPr>
            </w:pPr>
            <w:r w:rsidRPr="00A3293E">
              <w:rPr>
                <w:rFonts w:ascii="Verdana" w:eastAsia="Times New Roman" w:hAnsi="Verdana" w:cs="Times New Roman"/>
                <w:color w:val="262626"/>
                <w:lang w:eastAsia="es-CO"/>
              </w:rPr>
              <w:t>Niños y Niñas con Atención Integral a la Primera Infancia (Indicador acumulado)</w:t>
            </w:r>
          </w:p>
        </w:tc>
        <w:tc>
          <w:tcPr>
            <w:tcW w:w="679" w:type="pct"/>
            <w:tcBorders>
              <w:top w:val="nil"/>
              <w:left w:val="nil"/>
              <w:bottom w:val="single" w:sz="4" w:space="0" w:color="FFFFFF"/>
              <w:right w:val="single" w:sz="4" w:space="0" w:color="FFFFFF"/>
            </w:tcBorders>
            <w:shd w:val="clear" w:color="DBE5F1" w:fill="DBE5F1"/>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1.200.000</w:t>
            </w:r>
          </w:p>
        </w:tc>
        <w:tc>
          <w:tcPr>
            <w:tcW w:w="704" w:type="pct"/>
            <w:tcBorders>
              <w:top w:val="nil"/>
              <w:left w:val="nil"/>
              <w:bottom w:val="single" w:sz="4" w:space="0" w:color="FFFFFF"/>
              <w:right w:val="single" w:sz="4" w:space="0" w:color="FFFFFF"/>
            </w:tcBorders>
            <w:shd w:val="clear" w:color="DBE5F1" w:fill="DBE5F1"/>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1.051.005</w:t>
            </w:r>
          </w:p>
        </w:tc>
        <w:tc>
          <w:tcPr>
            <w:tcW w:w="759" w:type="pct"/>
            <w:tcBorders>
              <w:top w:val="nil"/>
              <w:left w:val="nil"/>
              <w:bottom w:val="single" w:sz="4" w:space="0" w:color="FFFFFF"/>
              <w:right w:val="single" w:sz="4" w:space="0" w:color="FFFFFF"/>
            </w:tcBorders>
            <w:shd w:val="clear" w:color="DBE5F1" w:fill="DBE5F1"/>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88%</w:t>
            </w:r>
          </w:p>
        </w:tc>
        <w:tc>
          <w:tcPr>
            <w:tcW w:w="626" w:type="pct"/>
            <w:tcBorders>
              <w:top w:val="nil"/>
              <w:left w:val="nil"/>
              <w:bottom w:val="single" w:sz="4" w:space="0" w:color="FFFFFF"/>
              <w:right w:val="single" w:sz="4" w:space="0" w:color="FFFFFF"/>
            </w:tcBorders>
            <w:shd w:val="clear" w:color="DBE5F1" w:fill="DBE5F1"/>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1.200.000</w:t>
            </w:r>
          </w:p>
        </w:tc>
        <w:tc>
          <w:tcPr>
            <w:tcW w:w="626" w:type="pct"/>
            <w:tcBorders>
              <w:top w:val="nil"/>
              <w:left w:val="nil"/>
              <w:bottom w:val="single" w:sz="4" w:space="0" w:color="FFFFFF"/>
              <w:right w:val="single" w:sz="4" w:space="0" w:color="FFFFFF"/>
            </w:tcBorders>
            <w:shd w:val="clear" w:color="DBE5F1" w:fill="DBE5F1"/>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1.051.005</w:t>
            </w:r>
          </w:p>
        </w:tc>
        <w:tc>
          <w:tcPr>
            <w:tcW w:w="516" w:type="pct"/>
            <w:tcBorders>
              <w:top w:val="nil"/>
              <w:left w:val="nil"/>
              <w:bottom w:val="single" w:sz="4" w:space="0" w:color="FFFFFF"/>
              <w:right w:val="nil"/>
            </w:tcBorders>
            <w:shd w:val="clear" w:color="DBE5F1" w:fill="DBE5F1"/>
            <w:hideMark/>
          </w:tcPr>
          <w:p w:rsidR="00AB08E1" w:rsidRPr="00A3293E" w:rsidRDefault="00AB08E1" w:rsidP="00F33CF6">
            <w:pPr>
              <w:spacing w:after="0" w:line="240" w:lineRule="auto"/>
              <w:jc w:val="right"/>
              <w:rPr>
                <w:rFonts w:ascii="Verdana" w:eastAsia="Times New Roman" w:hAnsi="Verdana" w:cs="Times New Roman"/>
                <w:b/>
                <w:bCs/>
                <w:color w:val="000000"/>
                <w:szCs w:val="24"/>
                <w:lang w:eastAsia="es-CO"/>
              </w:rPr>
            </w:pPr>
            <w:r w:rsidRPr="00A3293E">
              <w:rPr>
                <w:rFonts w:ascii="Verdana" w:eastAsia="Times New Roman" w:hAnsi="Verdana" w:cs="Times New Roman"/>
                <w:b/>
                <w:bCs/>
                <w:color w:val="000000"/>
                <w:szCs w:val="24"/>
                <w:lang w:eastAsia="es-CO"/>
              </w:rPr>
              <w:t>88%</w:t>
            </w:r>
          </w:p>
        </w:tc>
      </w:tr>
      <w:tr w:rsidR="00AB08E1" w:rsidRPr="00A3293E" w:rsidTr="00F33CF6">
        <w:trPr>
          <w:trHeight w:val="855"/>
        </w:trPr>
        <w:tc>
          <w:tcPr>
            <w:tcW w:w="1090"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both"/>
              <w:rPr>
                <w:rFonts w:ascii="Verdana" w:eastAsia="Times New Roman" w:hAnsi="Verdana" w:cs="Times New Roman"/>
                <w:color w:val="262626"/>
                <w:lang w:eastAsia="es-CO"/>
              </w:rPr>
            </w:pPr>
            <w:r w:rsidRPr="00A3293E">
              <w:rPr>
                <w:rFonts w:ascii="Verdana" w:eastAsia="Times New Roman" w:hAnsi="Verdana" w:cs="Times New Roman"/>
                <w:color w:val="262626"/>
                <w:lang w:eastAsia="es-CO"/>
              </w:rPr>
              <w:t>Centros de Desarrollo Infantil Temprano construidos</w:t>
            </w:r>
          </w:p>
        </w:tc>
        <w:tc>
          <w:tcPr>
            <w:tcW w:w="679"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20</w:t>
            </w:r>
          </w:p>
        </w:tc>
        <w:tc>
          <w:tcPr>
            <w:tcW w:w="704"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25</w:t>
            </w:r>
          </w:p>
        </w:tc>
        <w:tc>
          <w:tcPr>
            <w:tcW w:w="759"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125%</w:t>
            </w:r>
          </w:p>
        </w:tc>
        <w:tc>
          <w:tcPr>
            <w:tcW w:w="626"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100</w:t>
            </w:r>
          </w:p>
        </w:tc>
        <w:tc>
          <w:tcPr>
            <w:tcW w:w="626"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72</w:t>
            </w:r>
          </w:p>
        </w:tc>
        <w:tc>
          <w:tcPr>
            <w:tcW w:w="516" w:type="pct"/>
            <w:tcBorders>
              <w:top w:val="nil"/>
              <w:left w:val="nil"/>
              <w:bottom w:val="single" w:sz="4" w:space="0" w:color="FFFFFF"/>
              <w:right w:val="nil"/>
            </w:tcBorders>
            <w:shd w:val="clear" w:color="B8CCE4" w:fill="B8CCE4"/>
            <w:hideMark/>
          </w:tcPr>
          <w:p w:rsidR="00AB08E1" w:rsidRPr="00A3293E" w:rsidRDefault="00AB08E1" w:rsidP="00F33CF6">
            <w:pPr>
              <w:spacing w:after="0" w:line="240" w:lineRule="auto"/>
              <w:jc w:val="right"/>
              <w:rPr>
                <w:rFonts w:ascii="Verdana" w:eastAsia="Times New Roman" w:hAnsi="Verdana" w:cs="Times New Roman"/>
                <w:b/>
                <w:bCs/>
                <w:color w:val="000000"/>
                <w:szCs w:val="24"/>
                <w:lang w:eastAsia="es-CO"/>
              </w:rPr>
            </w:pPr>
            <w:r w:rsidRPr="00A3293E">
              <w:rPr>
                <w:rFonts w:ascii="Verdana" w:eastAsia="Times New Roman" w:hAnsi="Verdana" w:cs="Times New Roman"/>
                <w:b/>
                <w:bCs/>
                <w:color w:val="000000"/>
                <w:szCs w:val="24"/>
                <w:lang w:eastAsia="es-CO"/>
              </w:rPr>
              <w:t>72%</w:t>
            </w:r>
          </w:p>
        </w:tc>
      </w:tr>
      <w:tr w:rsidR="00AB08E1" w:rsidRPr="00A3293E" w:rsidTr="00F33CF6">
        <w:trPr>
          <w:trHeight w:val="1995"/>
        </w:trPr>
        <w:tc>
          <w:tcPr>
            <w:tcW w:w="1090" w:type="pct"/>
            <w:tcBorders>
              <w:top w:val="nil"/>
              <w:left w:val="nil"/>
              <w:bottom w:val="single" w:sz="4" w:space="0" w:color="FFFFFF"/>
              <w:right w:val="single" w:sz="4" w:space="0" w:color="FFFFFF"/>
            </w:tcBorders>
            <w:shd w:val="clear" w:color="DBE5F1" w:fill="DBE5F1"/>
            <w:hideMark/>
          </w:tcPr>
          <w:p w:rsidR="00AB08E1" w:rsidRPr="00A3293E" w:rsidRDefault="00AB08E1" w:rsidP="00F33CF6">
            <w:pPr>
              <w:spacing w:after="0" w:line="240" w:lineRule="auto"/>
              <w:jc w:val="both"/>
              <w:rPr>
                <w:rFonts w:ascii="Verdana" w:eastAsia="Times New Roman" w:hAnsi="Verdana" w:cs="Times New Roman"/>
                <w:color w:val="262626"/>
                <w:lang w:eastAsia="es-CO"/>
              </w:rPr>
            </w:pPr>
            <w:r w:rsidRPr="00A3293E">
              <w:rPr>
                <w:rFonts w:ascii="Verdana" w:eastAsia="Times New Roman" w:hAnsi="Verdana" w:cs="Times New Roman"/>
                <w:color w:val="262626"/>
                <w:lang w:eastAsia="es-CO"/>
              </w:rPr>
              <w:t>Niños y Niñas atendidos en hogares ICBF que brindan educación inicial, cuidado y nutrición (Indicador acumulado)</w:t>
            </w:r>
          </w:p>
        </w:tc>
        <w:tc>
          <w:tcPr>
            <w:tcW w:w="679" w:type="pct"/>
            <w:tcBorders>
              <w:top w:val="nil"/>
              <w:left w:val="nil"/>
              <w:bottom w:val="single" w:sz="4" w:space="0" w:color="FFFFFF"/>
              <w:right w:val="single" w:sz="4" w:space="0" w:color="FFFFFF"/>
            </w:tcBorders>
            <w:shd w:val="clear" w:color="DBE5F1" w:fill="DBE5F1"/>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833.500</w:t>
            </w:r>
          </w:p>
        </w:tc>
        <w:tc>
          <w:tcPr>
            <w:tcW w:w="704" w:type="pct"/>
            <w:tcBorders>
              <w:top w:val="nil"/>
              <w:left w:val="nil"/>
              <w:bottom w:val="single" w:sz="4" w:space="0" w:color="FFFFFF"/>
              <w:right w:val="single" w:sz="4" w:space="0" w:color="FFFFFF"/>
            </w:tcBorders>
            <w:shd w:val="clear" w:color="DBE5F1" w:fill="DBE5F1"/>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924.652</w:t>
            </w:r>
          </w:p>
        </w:tc>
        <w:tc>
          <w:tcPr>
            <w:tcW w:w="759" w:type="pct"/>
            <w:tcBorders>
              <w:top w:val="nil"/>
              <w:left w:val="nil"/>
              <w:bottom w:val="single" w:sz="4" w:space="0" w:color="FFFFFF"/>
              <w:right w:val="single" w:sz="4" w:space="0" w:color="FFFFFF"/>
            </w:tcBorders>
            <w:shd w:val="clear" w:color="DBE5F1" w:fill="DBE5F1"/>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111%</w:t>
            </w:r>
          </w:p>
        </w:tc>
        <w:tc>
          <w:tcPr>
            <w:tcW w:w="626" w:type="pct"/>
            <w:tcBorders>
              <w:top w:val="nil"/>
              <w:left w:val="nil"/>
              <w:bottom w:val="single" w:sz="4" w:space="0" w:color="FFFFFF"/>
              <w:right w:val="single" w:sz="4" w:space="0" w:color="FFFFFF"/>
            </w:tcBorders>
            <w:shd w:val="clear" w:color="DBE5F1" w:fill="DBE5F1"/>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833.500</w:t>
            </w:r>
          </w:p>
        </w:tc>
        <w:tc>
          <w:tcPr>
            <w:tcW w:w="626" w:type="pct"/>
            <w:tcBorders>
              <w:top w:val="nil"/>
              <w:left w:val="nil"/>
              <w:bottom w:val="single" w:sz="4" w:space="0" w:color="FFFFFF"/>
              <w:right w:val="single" w:sz="4" w:space="0" w:color="FFFFFF"/>
            </w:tcBorders>
            <w:shd w:val="clear" w:color="DBE5F1" w:fill="DBE5F1"/>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924.652</w:t>
            </w:r>
          </w:p>
        </w:tc>
        <w:tc>
          <w:tcPr>
            <w:tcW w:w="516" w:type="pct"/>
            <w:tcBorders>
              <w:top w:val="nil"/>
              <w:left w:val="nil"/>
              <w:bottom w:val="single" w:sz="4" w:space="0" w:color="FFFFFF"/>
              <w:right w:val="nil"/>
            </w:tcBorders>
            <w:shd w:val="clear" w:color="DBE5F1" w:fill="DBE5F1"/>
            <w:hideMark/>
          </w:tcPr>
          <w:p w:rsidR="00AB08E1" w:rsidRPr="00A3293E" w:rsidRDefault="00AB08E1" w:rsidP="00F33CF6">
            <w:pPr>
              <w:spacing w:after="0" w:line="240" w:lineRule="auto"/>
              <w:jc w:val="right"/>
              <w:rPr>
                <w:rFonts w:ascii="Verdana" w:eastAsia="Times New Roman" w:hAnsi="Verdana" w:cs="Times New Roman"/>
                <w:b/>
                <w:bCs/>
                <w:color w:val="000000"/>
                <w:szCs w:val="24"/>
                <w:lang w:eastAsia="es-CO"/>
              </w:rPr>
            </w:pPr>
            <w:r w:rsidRPr="00A3293E">
              <w:rPr>
                <w:rFonts w:ascii="Verdana" w:eastAsia="Times New Roman" w:hAnsi="Verdana" w:cs="Times New Roman"/>
                <w:b/>
                <w:bCs/>
                <w:color w:val="000000"/>
                <w:szCs w:val="24"/>
                <w:lang w:eastAsia="es-CO"/>
              </w:rPr>
              <w:t>111%</w:t>
            </w:r>
          </w:p>
        </w:tc>
      </w:tr>
      <w:tr w:rsidR="00AB08E1" w:rsidRPr="00A3293E" w:rsidTr="00F33CF6">
        <w:trPr>
          <w:trHeight w:val="1710"/>
        </w:trPr>
        <w:tc>
          <w:tcPr>
            <w:tcW w:w="1090"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both"/>
              <w:rPr>
                <w:rFonts w:ascii="Verdana" w:eastAsia="Times New Roman" w:hAnsi="Verdana" w:cs="Times New Roman"/>
                <w:color w:val="262626"/>
                <w:lang w:eastAsia="es-CO"/>
              </w:rPr>
            </w:pPr>
            <w:r w:rsidRPr="00A3293E">
              <w:rPr>
                <w:rFonts w:ascii="Verdana" w:eastAsia="Times New Roman" w:hAnsi="Verdana" w:cs="Times New Roman"/>
                <w:color w:val="262626"/>
                <w:lang w:eastAsia="es-CO"/>
              </w:rPr>
              <w:t xml:space="preserve">Nuevos agentes educativos vinculados a procesos de formación en el modelo de atención integral </w:t>
            </w:r>
          </w:p>
        </w:tc>
        <w:tc>
          <w:tcPr>
            <w:tcW w:w="679"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13.500</w:t>
            </w:r>
          </w:p>
        </w:tc>
        <w:tc>
          <w:tcPr>
            <w:tcW w:w="704"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8.104</w:t>
            </w:r>
          </w:p>
        </w:tc>
        <w:tc>
          <w:tcPr>
            <w:tcW w:w="759"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60%</w:t>
            </w:r>
          </w:p>
        </w:tc>
        <w:tc>
          <w:tcPr>
            <w:tcW w:w="626"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50.000</w:t>
            </w:r>
          </w:p>
        </w:tc>
        <w:tc>
          <w:tcPr>
            <w:tcW w:w="626"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49.672</w:t>
            </w:r>
          </w:p>
        </w:tc>
        <w:tc>
          <w:tcPr>
            <w:tcW w:w="516" w:type="pct"/>
            <w:tcBorders>
              <w:top w:val="nil"/>
              <w:left w:val="nil"/>
              <w:bottom w:val="single" w:sz="4" w:space="0" w:color="FFFFFF"/>
              <w:right w:val="nil"/>
            </w:tcBorders>
            <w:shd w:val="clear" w:color="B8CCE4" w:fill="B8CCE4"/>
            <w:hideMark/>
          </w:tcPr>
          <w:p w:rsidR="00AB08E1" w:rsidRPr="00A3293E" w:rsidRDefault="00AB08E1" w:rsidP="00F33CF6">
            <w:pPr>
              <w:spacing w:after="0" w:line="240" w:lineRule="auto"/>
              <w:jc w:val="right"/>
              <w:rPr>
                <w:rFonts w:ascii="Verdana" w:eastAsia="Times New Roman" w:hAnsi="Verdana" w:cs="Times New Roman"/>
                <w:b/>
                <w:bCs/>
                <w:color w:val="000000"/>
                <w:szCs w:val="24"/>
                <w:lang w:eastAsia="es-CO"/>
              </w:rPr>
            </w:pPr>
            <w:r w:rsidRPr="00A3293E">
              <w:rPr>
                <w:rFonts w:ascii="Verdana" w:eastAsia="Times New Roman" w:hAnsi="Verdana" w:cs="Times New Roman"/>
                <w:b/>
                <w:bCs/>
                <w:color w:val="000000"/>
                <w:szCs w:val="24"/>
                <w:lang w:eastAsia="es-CO"/>
              </w:rPr>
              <w:t>99%</w:t>
            </w:r>
          </w:p>
        </w:tc>
      </w:tr>
      <w:tr w:rsidR="00AB08E1" w:rsidRPr="00A3293E" w:rsidTr="00F33CF6">
        <w:trPr>
          <w:trHeight w:val="1425"/>
        </w:trPr>
        <w:tc>
          <w:tcPr>
            <w:tcW w:w="1090" w:type="pct"/>
            <w:tcBorders>
              <w:top w:val="nil"/>
              <w:left w:val="nil"/>
              <w:bottom w:val="single" w:sz="4" w:space="0" w:color="FFFFFF"/>
              <w:right w:val="single" w:sz="4" w:space="0" w:color="FFFFFF"/>
            </w:tcBorders>
            <w:shd w:val="clear" w:color="DBE5F1" w:fill="DBE5F1"/>
            <w:hideMark/>
          </w:tcPr>
          <w:p w:rsidR="00AB08E1" w:rsidRPr="00A3293E" w:rsidRDefault="00AB08E1" w:rsidP="00F33CF6">
            <w:pPr>
              <w:spacing w:after="0" w:line="240" w:lineRule="auto"/>
              <w:jc w:val="both"/>
              <w:rPr>
                <w:rFonts w:ascii="Verdana" w:eastAsia="Times New Roman" w:hAnsi="Verdana" w:cs="Times New Roman"/>
                <w:color w:val="262626"/>
                <w:lang w:eastAsia="es-CO"/>
              </w:rPr>
            </w:pPr>
            <w:r w:rsidRPr="00A3293E">
              <w:rPr>
                <w:rFonts w:ascii="Verdana" w:eastAsia="Times New Roman" w:hAnsi="Verdana" w:cs="Times New Roman"/>
                <w:color w:val="262626"/>
                <w:lang w:eastAsia="es-CO"/>
              </w:rPr>
              <w:t>Niños, niñas y adolescentes vinculados a programas de prevención</w:t>
            </w:r>
          </w:p>
        </w:tc>
        <w:tc>
          <w:tcPr>
            <w:tcW w:w="679" w:type="pct"/>
            <w:tcBorders>
              <w:top w:val="nil"/>
              <w:left w:val="nil"/>
              <w:bottom w:val="single" w:sz="4" w:space="0" w:color="FFFFFF"/>
              <w:right w:val="single" w:sz="4" w:space="0" w:color="FFFFFF"/>
            </w:tcBorders>
            <w:shd w:val="clear" w:color="DBE5F1" w:fill="DBE5F1"/>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461.953</w:t>
            </w:r>
          </w:p>
        </w:tc>
        <w:tc>
          <w:tcPr>
            <w:tcW w:w="704" w:type="pct"/>
            <w:tcBorders>
              <w:top w:val="nil"/>
              <w:left w:val="nil"/>
              <w:bottom w:val="single" w:sz="4" w:space="0" w:color="FFFFFF"/>
              <w:right w:val="single" w:sz="4" w:space="0" w:color="FFFFFF"/>
            </w:tcBorders>
            <w:shd w:val="clear" w:color="DBE5F1" w:fill="DBE5F1"/>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199.954</w:t>
            </w:r>
          </w:p>
        </w:tc>
        <w:tc>
          <w:tcPr>
            <w:tcW w:w="759" w:type="pct"/>
            <w:tcBorders>
              <w:top w:val="nil"/>
              <w:left w:val="nil"/>
              <w:bottom w:val="single" w:sz="4" w:space="0" w:color="FFFFFF"/>
              <w:right w:val="single" w:sz="4" w:space="0" w:color="FFFFFF"/>
            </w:tcBorders>
            <w:shd w:val="clear" w:color="DBE5F1" w:fill="DBE5F1"/>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43%</w:t>
            </w:r>
          </w:p>
        </w:tc>
        <w:tc>
          <w:tcPr>
            <w:tcW w:w="626" w:type="pct"/>
            <w:tcBorders>
              <w:top w:val="nil"/>
              <w:left w:val="nil"/>
              <w:bottom w:val="single" w:sz="4" w:space="0" w:color="FFFFFF"/>
              <w:right w:val="single" w:sz="4" w:space="0" w:color="FFFFFF"/>
            </w:tcBorders>
            <w:shd w:val="clear" w:color="DBE5F1" w:fill="DBE5F1"/>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1.000.000</w:t>
            </w:r>
          </w:p>
        </w:tc>
        <w:tc>
          <w:tcPr>
            <w:tcW w:w="626" w:type="pct"/>
            <w:tcBorders>
              <w:top w:val="nil"/>
              <w:left w:val="nil"/>
              <w:bottom w:val="single" w:sz="4" w:space="0" w:color="FFFFFF"/>
              <w:right w:val="single" w:sz="4" w:space="0" w:color="FFFFFF"/>
            </w:tcBorders>
            <w:shd w:val="clear" w:color="DBE5F1" w:fill="DBE5F1"/>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712.163</w:t>
            </w:r>
          </w:p>
        </w:tc>
        <w:tc>
          <w:tcPr>
            <w:tcW w:w="516" w:type="pct"/>
            <w:tcBorders>
              <w:top w:val="nil"/>
              <w:left w:val="nil"/>
              <w:bottom w:val="single" w:sz="4" w:space="0" w:color="FFFFFF"/>
              <w:right w:val="nil"/>
            </w:tcBorders>
            <w:shd w:val="clear" w:color="DBE5F1" w:fill="DBE5F1"/>
            <w:hideMark/>
          </w:tcPr>
          <w:p w:rsidR="00AB08E1" w:rsidRPr="00A3293E" w:rsidRDefault="00AB08E1" w:rsidP="00F33CF6">
            <w:pPr>
              <w:spacing w:after="0" w:line="240" w:lineRule="auto"/>
              <w:jc w:val="right"/>
              <w:rPr>
                <w:rFonts w:ascii="Verdana" w:eastAsia="Times New Roman" w:hAnsi="Verdana" w:cs="Times New Roman"/>
                <w:b/>
                <w:bCs/>
                <w:color w:val="000000"/>
                <w:szCs w:val="24"/>
                <w:lang w:eastAsia="es-CO"/>
              </w:rPr>
            </w:pPr>
            <w:r w:rsidRPr="00A3293E">
              <w:rPr>
                <w:rFonts w:ascii="Verdana" w:eastAsia="Times New Roman" w:hAnsi="Verdana" w:cs="Times New Roman"/>
                <w:b/>
                <w:bCs/>
                <w:color w:val="000000"/>
                <w:szCs w:val="24"/>
                <w:lang w:eastAsia="es-CO"/>
              </w:rPr>
              <w:t>71%</w:t>
            </w:r>
          </w:p>
        </w:tc>
      </w:tr>
      <w:tr w:rsidR="00AB08E1" w:rsidRPr="00A3293E" w:rsidTr="00F33CF6">
        <w:trPr>
          <w:trHeight w:val="1710"/>
        </w:trPr>
        <w:tc>
          <w:tcPr>
            <w:tcW w:w="1090"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both"/>
              <w:rPr>
                <w:rFonts w:ascii="Verdana" w:eastAsia="Times New Roman" w:hAnsi="Verdana" w:cs="Times New Roman"/>
                <w:color w:val="262626"/>
                <w:lang w:eastAsia="es-CO"/>
              </w:rPr>
            </w:pPr>
            <w:r w:rsidRPr="00A3293E">
              <w:rPr>
                <w:rFonts w:ascii="Verdana" w:eastAsia="Times New Roman" w:hAnsi="Verdana" w:cs="Times New Roman"/>
                <w:color w:val="262626"/>
                <w:lang w:eastAsia="es-CO"/>
              </w:rPr>
              <w:t>Niños, niñas y adolescentes atendidos por el Programa de Alimentación Escolar -PAE-</w:t>
            </w:r>
          </w:p>
        </w:tc>
        <w:tc>
          <w:tcPr>
            <w:tcW w:w="679"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4.069.678</w:t>
            </w:r>
          </w:p>
        </w:tc>
        <w:tc>
          <w:tcPr>
            <w:tcW w:w="704"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571.733</w:t>
            </w:r>
          </w:p>
        </w:tc>
        <w:tc>
          <w:tcPr>
            <w:tcW w:w="759"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14%</w:t>
            </w:r>
          </w:p>
        </w:tc>
        <w:tc>
          <w:tcPr>
            <w:tcW w:w="626"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4.069.678</w:t>
            </w:r>
          </w:p>
        </w:tc>
        <w:tc>
          <w:tcPr>
            <w:tcW w:w="626"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4.135.340</w:t>
            </w:r>
          </w:p>
        </w:tc>
        <w:tc>
          <w:tcPr>
            <w:tcW w:w="516" w:type="pct"/>
            <w:tcBorders>
              <w:top w:val="nil"/>
              <w:left w:val="nil"/>
              <w:bottom w:val="single" w:sz="4" w:space="0" w:color="FFFFFF"/>
              <w:right w:val="nil"/>
            </w:tcBorders>
            <w:shd w:val="clear" w:color="B8CCE4" w:fill="B8CCE4"/>
            <w:hideMark/>
          </w:tcPr>
          <w:p w:rsidR="00AB08E1" w:rsidRPr="00A3293E" w:rsidRDefault="00AB08E1" w:rsidP="00F33CF6">
            <w:pPr>
              <w:spacing w:after="0" w:line="240" w:lineRule="auto"/>
              <w:jc w:val="right"/>
              <w:rPr>
                <w:rFonts w:ascii="Verdana" w:eastAsia="Times New Roman" w:hAnsi="Verdana" w:cs="Times New Roman"/>
                <w:b/>
                <w:bCs/>
                <w:color w:val="000000"/>
                <w:szCs w:val="24"/>
                <w:lang w:eastAsia="es-CO"/>
              </w:rPr>
            </w:pPr>
            <w:r w:rsidRPr="00A3293E">
              <w:rPr>
                <w:rFonts w:ascii="Verdana" w:eastAsia="Times New Roman" w:hAnsi="Verdana" w:cs="Times New Roman"/>
                <w:b/>
                <w:bCs/>
                <w:color w:val="000000"/>
                <w:szCs w:val="24"/>
                <w:lang w:eastAsia="es-CO"/>
              </w:rPr>
              <w:t>102%</w:t>
            </w:r>
          </w:p>
        </w:tc>
      </w:tr>
      <w:tr w:rsidR="00AB08E1" w:rsidRPr="00A3293E" w:rsidTr="00F33CF6">
        <w:trPr>
          <w:trHeight w:val="1140"/>
        </w:trPr>
        <w:tc>
          <w:tcPr>
            <w:tcW w:w="1090" w:type="pct"/>
            <w:tcBorders>
              <w:top w:val="nil"/>
              <w:left w:val="nil"/>
              <w:bottom w:val="single" w:sz="4" w:space="0" w:color="FFFFFF"/>
              <w:right w:val="single" w:sz="4" w:space="0" w:color="FFFFFF"/>
            </w:tcBorders>
            <w:shd w:val="clear" w:color="DBE5F1" w:fill="DBE5F1"/>
            <w:hideMark/>
          </w:tcPr>
          <w:p w:rsidR="00AB08E1" w:rsidRPr="00A3293E" w:rsidRDefault="00AB08E1" w:rsidP="00F33CF6">
            <w:pPr>
              <w:spacing w:after="0" w:line="240" w:lineRule="auto"/>
              <w:jc w:val="both"/>
              <w:rPr>
                <w:rFonts w:ascii="Verdana" w:eastAsia="Times New Roman" w:hAnsi="Verdana" w:cs="Times New Roman"/>
                <w:color w:val="262626"/>
                <w:lang w:eastAsia="es-CO"/>
              </w:rPr>
            </w:pPr>
            <w:r w:rsidRPr="00A3293E">
              <w:rPr>
                <w:rFonts w:ascii="Verdana" w:eastAsia="Times New Roman" w:hAnsi="Verdana" w:cs="Times New Roman"/>
                <w:color w:val="262626"/>
                <w:lang w:eastAsia="es-CO"/>
              </w:rPr>
              <w:t>Familias beneficiadas por el programa "Familias con bienestar"</w:t>
            </w:r>
          </w:p>
        </w:tc>
        <w:tc>
          <w:tcPr>
            <w:tcW w:w="679" w:type="pct"/>
            <w:tcBorders>
              <w:top w:val="nil"/>
              <w:left w:val="nil"/>
              <w:bottom w:val="single" w:sz="4" w:space="0" w:color="FFFFFF"/>
              <w:right w:val="single" w:sz="4" w:space="0" w:color="FFFFFF"/>
            </w:tcBorders>
            <w:shd w:val="clear" w:color="DBE5F1" w:fill="DBE5F1"/>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266.245</w:t>
            </w:r>
          </w:p>
        </w:tc>
        <w:tc>
          <w:tcPr>
            <w:tcW w:w="704" w:type="pct"/>
            <w:tcBorders>
              <w:top w:val="nil"/>
              <w:left w:val="nil"/>
              <w:bottom w:val="single" w:sz="4" w:space="0" w:color="FFFFFF"/>
              <w:right w:val="single" w:sz="4" w:space="0" w:color="FFFFFF"/>
            </w:tcBorders>
            <w:shd w:val="clear" w:color="DBE5F1" w:fill="DBE5F1"/>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142.885</w:t>
            </w:r>
          </w:p>
        </w:tc>
        <w:tc>
          <w:tcPr>
            <w:tcW w:w="759" w:type="pct"/>
            <w:tcBorders>
              <w:top w:val="nil"/>
              <w:left w:val="nil"/>
              <w:bottom w:val="single" w:sz="4" w:space="0" w:color="FFFFFF"/>
              <w:right w:val="single" w:sz="4" w:space="0" w:color="FFFFFF"/>
            </w:tcBorders>
            <w:shd w:val="clear" w:color="DBE5F1" w:fill="DBE5F1"/>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54%</w:t>
            </w:r>
          </w:p>
        </w:tc>
        <w:tc>
          <w:tcPr>
            <w:tcW w:w="626" w:type="pct"/>
            <w:tcBorders>
              <w:top w:val="nil"/>
              <w:left w:val="nil"/>
              <w:bottom w:val="single" w:sz="4" w:space="0" w:color="FFFFFF"/>
              <w:right w:val="single" w:sz="4" w:space="0" w:color="FFFFFF"/>
            </w:tcBorders>
            <w:shd w:val="clear" w:color="DBE5F1" w:fill="DBE5F1"/>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761.835</w:t>
            </w:r>
          </w:p>
        </w:tc>
        <w:tc>
          <w:tcPr>
            <w:tcW w:w="626" w:type="pct"/>
            <w:tcBorders>
              <w:top w:val="nil"/>
              <w:left w:val="nil"/>
              <w:bottom w:val="single" w:sz="4" w:space="0" w:color="FFFFFF"/>
              <w:right w:val="single" w:sz="4" w:space="0" w:color="FFFFFF"/>
            </w:tcBorders>
            <w:shd w:val="clear" w:color="DBE5F1" w:fill="DBE5F1"/>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541.002</w:t>
            </w:r>
          </w:p>
        </w:tc>
        <w:tc>
          <w:tcPr>
            <w:tcW w:w="516" w:type="pct"/>
            <w:tcBorders>
              <w:top w:val="nil"/>
              <w:left w:val="nil"/>
              <w:bottom w:val="single" w:sz="4" w:space="0" w:color="FFFFFF"/>
              <w:right w:val="nil"/>
            </w:tcBorders>
            <w:shd w:val="clear" w:color="DBE5F1" w:fill="DBE5F1"/>
            <w:hideMark/>
          </w:tcPr>
          <w:p w:rsidR="00AB08E1" w:rsidRPr="00A3293E" w:rsidRDefault="00AB08E1" w:rsidP="00F33CF6">
            <w:pPr>
              <w:spacing w:after="0" w:line="240" w:lineRule="auto"/>
              <w:jc w:val="right"/>
              <w:rPr>
                <w:rFonts w:ascii="Verdana" w:eastAsia="Times New Roman" w:hAnsi="Verdana" w:cs="Times New Roman"/>
                <w:b/>
                <w:bCs/>
                <w:color w:val="000000"/>
                <w:szCs w:val="24"/>
                <w:lang w:eastAsia="es-CO"/>
              </w:rPr>
            </w:pPr>
            <w:r w:rsidRPr="00A3293E">
              <w:rPr>
                <w:rFonts w:ascii="Verdana" w:eastAsia="Times New Roman" w:hAnsi="Verdana" w:cs="Times New Roman"/>
                <w:b/>
                <w:bCs/>
                <w:color w:val="000000"/>
                <w:szCs w:val="24"/>
                <w:lang w:eastAsia="es-CO"/>
              </w:rPr>
              <w:t>71%</w:t>
            </w:r>
          </w:p>
        </w:tc>
      </w:tr>
      <w:tr w:rsidR="00AB08E1" w:rsidRPr="00A3293E" w:rsidTr="00F33CF6">
        <w:trPr>
          <w:trHeight w:val="3135"/>
        </w:trPr>
        <w:tc>
          <w:tcPr>
            <w:tcW w:w="1090"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both"/>
              <w:rPr>
                <w:rFonts w:ascii="Verdana" w:eastAsia="Times New Roman" w:hAnsi="Verdana" w:cs="Times New Roman"/>
                <w:color w:val="262626"/>
                <w:lang w:eastAsia="es-CO"/>
              </w:rPr>
            </w:pPr>
            <w:r w:rsidRPr="00A3293E">
              <w:rPr>
                <w:rFonts w:ascii="Verdana" w:eastAsia="Times New Roman" w:hAnsi="Verdana" w:cs="Times New Roman"/>
                <w:color w:val="262626"/>
                <w:lang w:eastAsia="es-CO"/>
              </w:rPr>
              <w:t>Porcentaje de niños, niñas y adolescentes menores de 18 años en protección con auto de apertura de investigación con situación legal dentro de los 120 días definidos por la ley (Indicador acumulado)</w:t>
            </w:r>
          </w:p>
        </w:tc>
        <w:tc>
          <w:tcPr>
            <w:tcW w:w="679"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100%</w:t>
            </w:r>
          </w:p>
        </w:tc>
        <w:tc>
          <w:tcPr>
            <w:tcW w:w="704"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96%</w:t>
            </w:r>
          </w:p>
        </w:tc>
        <w:tc>
          <w:tcPr>
            <w:tcW w:w="759"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96%</w:t>
            </w:r>
          </w:p>
        </w:tc>
        <w:tc>
          <w:tcPr>
            <w:tcW w:w="626"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100%</w:t>
            </w:r>
          </w:p>
        </w:tc>
        <w:tc>
          <w:tcPr>
            <w:tcW w:w="626"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96%</w:t>
            </w:r>
          </w:p>
        </w:tc>
        <w:tc>
          <w:tcPr>
            <w:tcW w:w="516" w:type="pct"/>
            <w:tcBorders>
              <w:top w:val="nil"/>
              <w:left w:val="nil"/>
              <w:bottom w:val="single" w:sz="4" w:space="0" w:color="FFFFFF"/>
              <w:right w:val="nil"/>
            </w:tcBorders>
            <w:shd w:val="clear" w:color="B8CCE4" w:fill="B8CCE4"/>
            <w:hideMark/>
          </w:tcPr>
          <w:p w:rsidR="00AB08E1" w:rsidRPr="00A3293E" w:rsidRDefault="00AB08E1" w:rsidP="00F33CF6">
            <w:pPr>
              <w:spacing w:after="0" w:line="240" w:lineRule="auto"/>
              <w:jc w:val="right"/>
              <w:rPr>
                <w:rFonts w:ascii="Verdana" w:eastAsia="Times New Roman" w:hAnsi="Verdana" w:cs="Times New Roman"/>
                <w:b/>
                <w:bCs/>
                <w:color w:val="000000"/>
                <w:szCs w:val="24"/>
                <w:lang w:eastAsia="es-CO"/>
              </w:rPr>
            </w:pPr>
            <w:r w:rsidRPr="00A3293E">
              <w:rPr>
                <w:rFonts w:ascii="Verdana" w:eastAsia="Times New Roman" w:hAnsi="Verdana" w:cs="Times New Roman"/>
                <w:b/>
                <w:bCs/>
                <w:color w:val="000000"/>
                <w:szCs w:val="24"/>
                <w:lang w:eastAsia="es-CO"/>
              </w:rPr>
              <w:t>96%</w:t>
            </w:r>
          </w:p>
        </w:tc>
      </w:tr>
      <w:tr w:rsidR="00AB08E1" w:rsidRPr="00A3293E" w:rsidTr="00F33CF6">
        <w:trPr>
          <w:trHeight w:val="3990"/>
        </w:trPr>
        <w:tc>
          <w:tcPr>
            <w:tcW w:w="1090" w:type="pct"/>
            <w:tcBorders>
              <w:top w:val="nil"/>
              <w:left w:val="nil"/>
              <w:bottom w:val="single" w:sz="4" w:space="0" w:color="FFFFFF"/>
              <w:right w:val="single" w:sz="4" w:space="0" w:color="FFFFFF"/>
            </w:tcBorders>
            <w:shd w:val="clear" w:color="DBE5F1" w:fill="DBE5F1"/>
            <w:hideMark/>
          </w:tcPr>
          <w:p w:rsidR="00AB08E1" w:rsidRPr="00A3293E" w:rsidRDefault="00AB08E1" w:rsidP="00F33CF6">
            <w:pPr>
              <w:spacing w:after="0" w:line="240" w:lineRule="auto"/>
              <w:jc w:val="both"/>
              <w:rPr>
                <w:rFonts w:ascii="Verdana" w:eastAsia="Times New Roman" w:hAnsi="Verdana" w:cs="Times New Roman"/>
                <w:color w:val="262626"/>
                <w:lang w:eastAsia="es-CO"/>
              </w:rPr>
            </w:pPr>
            <w:r w:rsidRPr="00A3293E">
              <w:rPr>
                <w:rFonts w:ascii="Verdana" w:eastAsia="Times New Roman" w:hAnsi="Verdana" w:cs="Times New Roman"/>
                <w:color w:val="262626"/>
                <w:lang w:eastAsia="es-CO"/>
              </w:rPr>
              <w:t>Niños, niñas y adolescentes en situación de adoptabilidad en firme,  por consentimiento o por autorización,  SIN características especiales presentados a comité de adopciones, con familia asignada. (Indicador acumulado)</w:t>
            </w:r>
          </w:p>
        </w:tc>
        <w:tc>
          <w:tcPr>
            <w:tcW w:w="679" w:type="pct"/>
            <w:tcBorders>
              <w:top w:val="nil"/>
              <w:left w:val="nil"/>
              <w:bottom w:val="single" w:sz="4" w:space="0" w:color="FFFFFF"/>
              <w:right w:val="single" w:sz="4" w:space="0" w:color="FFFFFF"/>
            </w:tcBorders>
            <w:shd w:val="clear" w:color="DBE5F1" w:fill="DBE5F1"/>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100%</w:t>
            </w:r>
          </w:p>
        </w:tc>
        <w:tc>
          <w:tcPr>
            <w:tcW w:w="704" w:type="pct"/>
            <w:tcBorders>
              <w:top w:val="nil"/>
              <w:left w:val="nil"/>
              <w:bottom w:val="single" w:sz="4" w:space="0" w:color="FFFFFF"/>
              <w:right w:val="single" w:sz="4" w:space="0" w:color="FFFFFF"/>
            </w:tcBorders>
            <w:shd w:val="clear" w:color="DBE5F1" w:fill="DBE5F1"/>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100%</w:t>
            </w:r>
          </w:p>
        </w:tc>
        <w:tc>
          <w:tcPr>
            <w:tcW w:w="759" w:type="pct"/>
            <w:tcBorders>
              <w:top w:val="nil"/>
              <w:left w:val="nil"/>
              <w:bottom w:val="single" w:sz="4" w:space="0" w:color="FFFFFF"/>
              <w:right w:val="single" w:sz="4" w:space="0" w:color="FFFFFF"/>
            </w:tcBorders>
            <w:shd w:val="clear" w:color="DBE5F1" w:fill="DBE5F1"/>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100%</w:t>
            </w:r>
          </w:p>
        </w:tc>
        <w:tc>
          <w:tcPr>
            <w:tcW w:w="626" w:type="pct"/>
            <w:tcBorders>
              <w:top w:val="nil"/>
              <w:left w:val="nil"/>
              <w:bottom w:val="single" w:sz="4" w:space="0" w:color="FFFFFF"/>
              <w:right w:val="single" w:sz="4" w:space="0" w:color="FFFFFF"/>
            </w:tcBorders>
            <w:shd w:val="clear" w:color="DBE5F1" w:fill="DBE5F1"/>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100%</w:t>
            </w:r>
          </w:p>
        </w:tc>
        <w:tc>
          <w:tcPr>
            <w:tcW w:w="626" w:type="pct"/>
            <w:tcBorders>
              <w:top w:val="nil"/>
              <w:left w:val="nil"/>
              <w:bottom w:val="single" w:sz="4" w:space="0" w:color="FFFFFF"/>
              <w:right w:val="single" w:sz="4" w:space="0" w:color="FFFFFF"/>
            </w:tcBorders>
            <w:shd w:val="clear" w:color="DBE5F1" w:fill="DBE5F1"/>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100%</w:t>
            </w:r>
          </w:p>
        </w:tc>
        <w:tc>
          <w:tcPr>
            <w:tcW w:w="516" w:type="pct"/>
            <w:tcBorders>
              <w:top w:val="nil"/>
              <w:left w:val="nil"/>
              <w:bottom w:val="single" w:sz="4" w:space="0" w:color="FFFFFF"/>
              <w:right w:val="nil"/>
            </w:tcBorders>
            <w:shd w:val="clear" w:color="DBE5F1" w:fill="DBE5F1"/>
            <w:hideMark/>
          </w:tcPr>
          <w:p w:rsidR="00AB08E1" w:rsidRPr="00A3293E" w:rsidRDefault="00AB08E1" w:rsidP="00F33CF6">
            <w:pPr>
              <w:spacing w:after="0" w:line="240" w:lineRule="auto"/>
              <w:jc w:val="right"/>
              <w:rPr>
                <w:rFonts w:ascii="Verdana" w:eastAsia="Times New Roman" w:hAnsi="Verdana" w:cs="Times New Roman"/>
                <w:b/>
                <w:bCs/>
                <w:color w:val="000000"/>
                <w:szCs w:val="24"/>
                <w:lang w:eastAsia="es-CO"/>
              </w:rPr>
            </w:pPr>
            <w:r w:rsidRPr="00A3293E">
              <w:rPr>
                <w:rFonts w:ascii="Verdana" w:eastAsia="Times New Roman" w:hAnsi="Verdana" w:cs="Times New Roman"/>
                <w:b/>
                <w:bCs/>
                <w:color w:val="000000"/>
                <w:szCs w:val="24"/>
                <w:lang w:eastAsia="es-CO"/>
              </w:rPr>
              <w:t>100%</w:t>
            </w:r>
          </w:p>
        </w:tc>
      </w:tr>
      <w:tr w:rsidR="00AB08E1" w:rsidRPr="00A3293E" w:rsidTr="00F33CF6">
        <w:trPr>
          <w:trHeight w:val="4845"/>
        </w:trPr>
        <w:tc>
          <w:tcPr>
            <w:tcW w:w="1090"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both"/>
              <w:rPr>
                <w:rFonts w:ascii="Verdana" w:eastAsia="Times New Roman" w:hAnsi="Verdana" w:cs="Times New Roman"/>
                <w:color w:val="262626"/>
                <w:lang w:eastAsia="es-CO"/>
              </w:rPr>
            </w:pPr>
            <w:r w:rsidRPr="00A3293E">
              <w:rPr>
                <w:rFonts w:ascii="Verdana" w:eastAsia="Times New Roman" w:hAnsi="Verdana" w:cs="Times New Roman"/>
                <w:color w:val="262626"/>
                <w:lang w:eastAsia="es-CO"/>
              </w:rPr>
              <w:t>Niños, niñas y adolescentes en situación de adoptabilidad en firme, por consentimiento o por autorización,  CON características y necesidades especiales y posibilidad de adopción presentados a comité de adopciones, con familia asignada (Indicador acumulado)</w:t>
            </w:r>
          </w:p>
        </w:tc>
        <w:tc>
          <w:tcPr>
            <w:tcW w:w="679"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37%</w:t>
            </w:r>
          </w:p>
        </w:tc>
        <w:tc>
          <w:tcPr>
            <w:tcW w:w="704"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65%</w:t>
            </w:r>
          </w:p>
        </w:tc>
        <w:tc>
          <w:tcPr>
            <w:tcW w:w="759"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175%</w:t>
            </w:r>
          </w:p>
        </w:tc>
        <w:tc>
          <w:tcPr>
            <w:tcW w:w="626"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37%</w:t>
            </w:r>
          </w:p>
        </w:tc>
        <w:tc>
          <w:tcPr>
            <w:tcW w:w="626" w:type="pct"/>
            <w:tcBorders>
              <w:top w:val="nil"/>
              <w:left w:val="nil"/>
              <w:bottom w:val="single" w:sz="4" w:space="0" w:color="FFFFFF"/>
              <w:right w:val="single" w:sz="4" w:space="0" w:color="FFFFFF"/>
            </w:tcBorders>
            <w:shd w:val="clear" w:color="B8CCE4" w:fill="B8CCE4"/>
            <w:hideMark/>
          </w:tcPr>
          <w:p w:rsidR="00AB08E1" w:rsidRPr="00A3293E" w:rsidRDefault="00AB08E1" w:rsidP="00F33CF6">
            <w:pPr>
              <w:spacing w:after="0" w:line="240" w:lineRule="auto"/>
              <w:jc w:val="right"/>
              <w:rPr>
                <w:rFonts w:ascii="Verdana" w:eastAsia="Times New Roman" w:hAnsi="Verdana" w:cs="Times New Roman"/>
                <w:color w:val="000000"/>
                <w:szCs w:val="24"/>
                <w:lang w:eastAsia="es-CO"/>
              </w:rPr>
            </w:pPr>
            <w:r w:rsidRPr="00A3293E">
              <w:rPr>
                <w:rFonts w:ascii="Verdana" w:eastAsia="Times New Roman" w:hAnsi="Verdana" w:cs="Times New Roman"/>
                <w:color w:val="000000"/>
                <w:szCs w:val="24"/>
                <w:lang w:eastAsia="es-CO"/>
              </w:rPr>
              <w:t>65%</w:t>
            </w:r>
          </w:p>
        </w:tc>
        <w:tc>
          <w:tcPr>
            <w:tcW w:w="516" w:type="pct"/>
            <w:tcBorders>
              <w:top w:val="nil"/>
              <w:left w:val="nil"/>
              <w:bottom w:val="single" w:sz="4" w:space="0" w:color="FFFFFF"/>
              <w:right w:val="nil"/>
            </w:tcBorders>
            <w:shd w:val="clear" w:color="B8CCE4" w:fill="B8CCE4"/>
            <w:hideMark/>
          </w:tcPr>
          <w:p w:rsidR="00AB08E1" w:rsidRPr="00A3293E" w:rsidRDefault="00AB08E1" w:rsidP="00F33CF6">
            <w:pPr>
              <w:spacing w:after="0" w:line="240" w:lineRule="auto"/>
              <w:jc w:val="right"/>
              <w:rPr>
                <w:rFonts w:ascii="Verdana" w:eastAsia="Times New Roman" w:hAnsi="Verdana" w:cs="Times New Roman"/>
                <w:b/>
                <w:bCs/>
                <w:color w:val="000000"/>
                <w:szCs w:val="24"/>
                <w:lang w:eastAsia="es-CO"/>
              </w:rPr>
            </w:pPr>
            <w:r w:rsidRPr="00A3293E">
              <w:rPr>
                <w:rFonts w:ascii="Verdana" w:eastAsia="Times New Roman" w:hAnsi="Verdana" w:cs="Times New Roman"/>
                <w:b/>
                <w:bCs/>
                <w:color w:val="000000"/>
                <w:szCs w:val="24"/>
                <w:lang w:eastAsia="es-CO"/>
              </w:rPr>
              <w:t>175%</w:t>
            </w:r>
          </w:p>
        </w:tc>
      </w:tr>
    </w:tbl>
    <w:p w:rsidR="00AB08E1" w:rsidRPr="00F36E2D" w:rsidRDefault="00AB08E1" w:rsidP="00AB08E1">
      <w:pPr>
        <w:spacing w:after="0" w:line="240" w:lineRule="auto"/>
        <w:jc w:val="right"/>
        <w:rPr>
          <w:rFonts w:ascii="Verdana" w:hAnsi="Verdana" w:cs="Arial"/>
          <w:sz w:val="18"/>
          <w:szCs w:val="24"/>
        </w:rPr>
      </w:pPr>
      <w:r>
        <w:rPr>
          <w:rFonts w:ascii="Verdana" w:hAnsi="Verdana" w:cs="Arial"/>
          <w:b/>
          <w:sz w:val="18"/>
          <w:szCs w:val="24"/>
        </w:rPr>
        <w:t>F</w:t>
      </w:r>
      <w:r w:rsidRPr="00F36E2D">
        <w:rPr>
          <w:rFonts w:ascii="Verdana" w:hAnsi="Verdana" w:cs="Arial"/>
          <w:b/>
          <w:sz w:val="18"/>
          <w:szCs w:val="24"/>
        </w:rPr>
        <w:t>uente:</w:t>
      </w:r>
      <w:r w:rsidRPr="00F36E2D">
        <w:rPr>
          <w:rFonts w:ascii="Verdana" w:hAnsi="Verdana" w:cs="Arial"/>
          <w:sz w:val="18"/>
          <w:szCs w:val="24"/>
        </w:rPr>
        <w:t xml:space="preserve"> Tablero de Control ICBF – Noviembre de 2014. Subdirección de Monitoreo y Evaluación. Dirección de Planeación y Control de Gestión.</w:t>
      </w:r>
    </w:p>
    <w:p w:rsidR="00AB08E1" w:rsidRDefault="00AB08E1" w:rsidP="00AB08E1">
      <w:pPr>
        <w:spacing w:after="0" w:line="240" w:lineRule="auto"/>
        <w:jc w:val="both"/>
        <w:rPr>
          <w:rFonts w:ascii="Verdana" w:hAnsi="Verdana"/>
          <w:b/>
          <w:color w:val="4F81BD" w:themeColor="accent1"/>
          <w:sz w:val="24"/>
          <w:szCs w:val="24"/>
        </w:rPr>
      </w:pPr>
    </w:p>
    <w:p w:rsidR="00AB08E1" w:rsidRPr="00344E7A" w:rsidRDefault="00AB08E1" w:rsidP="00AB08E1">
      <w:pPr>
        <w:spacing w:after="0" w:line="240" w:lineRule="auto"/>
        <w:jc w:val="both"/>
        <w:rPr>
          <w:rFonts w:ascii="Verdana" w:hAnsi="Verdana"/>
          <w:b/>
          <w:color w:val="4F81BD" w:themeColor="accent1"/>
          <w:sz w:val="28"/>
          <w:szCs w:val="24"/>
        </w:rPr>
      </w:pPr>
      <w:r w:rsidRPr="00344E7A">
        <w:rPr>
          <w:rFonts w:ascii="Verdana" w:hAnsi="Verdana"/>
          <w:b/>
          <w:noProof/>
          <w:color w:val="4F81BD" w:themeColor="accent1"/>
          <w:sz w:val="24"/>
          <w:szCs w:val="24"/>
          <w:lang w:eastAsia="es-CO"/>
        </w:rPr>
        <w:drawing>
          <wp:inline distT="0" distB="0" distL="0" distR="0">
            <wp:extent cx="216024" cy="216024"/>
            <wp:effectExtent l="19050" t="0" r="0" b="0"/>
            <wp:docPr id="495" name="Objeto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7884368" y="2996952"/>
                      <a:chExt cx="216024" cy="216024"/>
                    </a:xfrm>
                  </a:grpSpPr>
                  <a:sp>
                    <a:nvSpPr>
                      <a:cNvPr id="40" name="39 Rectángulo redondeado"/>
                      <a:cNvSpPr/>
                    </a:nvSpPr>
                    <a:spPr>
                      <a:xfrm>
                        <a:off x="7884368" y="2996952"/>
                        <a:ext cx="216024" cy="216024"/>
                      </a:xfrm>
                      <a:prstGeom prst="roundRect">
                        <a:avLst/>
                      </a:prstGeom>
                      <a:solidFill>
                        <a:schemeClr val="tx2">
                          <a:lumMod val="75000"/>
                        </a:schemeClr>
                      </a:soli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hAnsi="Verdana"/>
          <w:b/>
          <w:color w:val="4F81BD" w:themeColor="accent1"/>
          <w:sz w:val="24"/>
          <w:szCs w:val="24"/>
        </w:rPr>
        <w:t xml:space="preserve">  </w:t>
      </w:r>
      <w:r w:rsidRPr="00344E7A">
        <w:rPr>
          <w:rFonts w:ascii="Verdana" w:hAnsi="Verdana"/>
          <w:b/>
          <w:color w:val="4F81BD" w:themeColor="accent1"/>
          <w:sz w:val="28"/>
          <w:szCs w:val="24"/>
        </w:rPr>
        <w:t>GESTIÓN</w:t>
      </w:r>
    </w:p>
    <w:p w:rsidR="00AB08E1" w:rsidRPr="00B16826" w:rsidRDefault="00AB08E1" w:rsidP="00AB08E1">
      <w:pPr>
        <w:spacing w:after="0" w:line="240" w:lineRule="auto"/>
        <w:jc w:val="both"/>
        <w:rPr>
          <w:rFonts w:ascii="Verdana" w:hAnsi="Verdana"/>
          <w:sz w:val="24"/>
          <w:szCs w:val="24"/>
        </w:rPr>
      </w:pPr>
    </w:p>
    <w:p w:rsidR="00AB08E1" w:rsidRPr="00A3293E" w:rsidRDefault="00AB08E1" w:rsidP="00AB08E1">
      <w:pPr>
        <w:pStyle w:val="Prrafodelista"/>
        <w:spacing w:after="0" w:line="240" w:lineRule="auto"/>
        <w:ind w:left="0"/>
        <w:contextualSpacing w:val="0"/>
        <w:jc w:val="both"/>
        <w:rPr>
          <w:rFonts w:ascii="Verdana" w:eastAsia="Times New Roman" w:hAnsi="Verdana" w:cs="Arial"/>
          <w:b/>
          <w:color w:val="4F81BD" w:themeColor="accent1"/>
          <w:sz w:val="24"/>
          <w:szCs w:val="24"/>
          <w:lang w:eastAsia="es-CO"/>
        </w:rPr>
      </w:pPr>
      <w:r w:rsidRPr="00A3293E">
        <w:rPr>
          <w:rFonts w:ascii="Verdana" w:eastAsia="Times New Roman" w:hAnsi="Verdana" w:cs="Arial"/>
          <w:b/>
          <w:color w:val="4F81BD" w:themeColor="accent1"/>
          <w:sz w:val="24"/>
          <w:szCs w:val="24"/>
          <w:lang w:eastAsia="es-CO"/>
        </w:rPr>
        <w:t>Logros 2014</w:t>
      </w:r>
    </w:p>
    <w:p w:rsidR="00AB08E1" w:rsidRPr="00B16826" w:rsidRDefault="00AB08E1" w:rsidP="00AB08E1">
      <w:pPr>
        <w:spacing w:after="0" w:line="240" w:lineRule="auto"/>
        <w:jc w:val="both"/>
        <w:rPr>
          <w:rFonts w:ascii="Verdana" w:hAnsi="Verdana" w:cs="Arial"/>
          <w:sz w:val="24"/>
          <w:szCs w:val="24"/>
        </w:rPr>
      </w:pPr>
    </w:p>
    <w:p w:rsidR="00AB08E1" w:rsidRPr="00802C73" w:rsidRDefault="00AB08E1" w:rsidP="00AB08E1">
      <w:pPr>
        <w:pStyle w:val="Prrafodelista"/>
        <w:numPr>
          <w:ilvl w:val="0"/>
          <w:numId w:val="123"/>
        </w:numPr>
        <w:spacing w:after="0" w:line="240" w:lineRule="auto"/>
        <w:jc w:val="both"/>
        <w:rPr>
          <w:rFonts w:ascii="Verdana" w:hAnsi="Verdana" w:cs="Arial"/>
          <w:i/>
          <w:sz w:val="24"/>
          <w:szCs w:val="24"/>
        </w:rPr>
      </w:pPr>
      <w:r w:rsidRPr="00802C73">
        <w:rPr>
          <w:rFonts w:ascii="Verdana" w:hAnsi="Verdana" w:cs="Arial"/>
          <w:i/>
          <w:sz w:val="24"/>
          <w:szCs w:val="24"/>
        </w:rPr>
        <w:t xml:space="preserve">Se pasó de atender 566.429 niños y niñas menores de 5 años con atención integral a la primera infancia en 2010, a 1.054.857 en 2014, lo que representa un crecimiento </w:t>
      </w:r>
      <w:r w:rsidRPr="00434000">
        <w:rPr>
          <w:rFonts w:ascii="Verdana" w:hAnsi="Verdana" w:cs="Arial"/>
          <w:i/>
          <w:sz w:val="24"/>
          <w:szCs w:val="24"/>
        </w:rPr>
        <w:t>del 87% de</w:t>
      </w:r>
      <w:r w:rsidRPr="00802C73">
        <w:rPr>
          <w:rFonts w:ascii="Verdana" w:hAnsi="Verdana" w:cs="Arial"/>
          <w:i/>
          <w:sz w:val="24"/>
          <w:szCs w:val="24"/>
        </w:rPr>
        <w:t xml:space="preserve"> beneficiarios de la estrategia “De Cero a Siempre”, en 4 años.</w:t>
      </w:r>
    </w:p>
    <w:p w:rsidR="00AB08E1" w:rsidRPr="00802C73" w:rsidRDefault="00AB08E1" w:rsidP="00AB08E1">
      <w:pPr>
        <w:pStyle w:val="Prrafodelista"/>
        <w:spacing w:after="0" w:line="240" w:lineRule="auto"/>
        <w:rPr>
          <w:rFonts w:ascii="Verdana" w:hAnsi="Verdana" w:cs="Arial"/>
          <w:i/>
          <w:sz w:val="24"/>
          <w:szCs w:val="24"/>
        </w:rPr>
      </w:pPr>
    </w:p>
    <w:p w:rsidR="00AB08E1" w:rsidRPr="00802C73" w:rsidRDefault="00AB08E1" w:rsidP="00AB08E1">
      <w:pPr>
        <w:pStyle w:val="Prrafodelista"/>
        <w:numPr>
          <w:ilvl w:val="0"/>
          <w:numId w:val="123"/>
        </w:numPr>
        <w:spacing w:after="0" w:line="240" w:lineRule="auto"/>
        <w:jc w:val="both"/>
        <w:rPr>
          <w:rFonts w:ascii="Verdana" w:hAnsi="Verdana" w:cs="Arial"/>
          <w:i/>
          <w:sz w:val="24"/>
          <w:szCs w:val="24"/>
        </w:rPr>
      </w:pPr>
      <w:r w:rsidRPr="00802C73">
        <w:rPr>
          <w:rFonts w:ascii="Verdana" w:hAnsi="Verdana" w:cs="Arial"/>
          <w:i/>
          <w:sz w:val="24"/>
          <w:szCs w:val="24"/>
        </w:rPr>
        <w:t>Con la construcción, dotación y puesta en funcionamiento de 31 nuevos Centros de Desarrollo Infantil (CDI) en 2014, se alcanzó un total de 78 nuevos CDI en el cuatrienio.</w:t>
      </w:r>
    </w:p>
    <w:p w:rsidR="00AB08E1" w:rsidRPr="00802C73" w:rsidRDefault="00AB08E1" w:rsidP="00AB08E1">
      <w:pPr>
        <w:pStyle w:val="Prrafodelista"/>
        <w:spacing w:after="0" w:line="240" w:lineRule="auto"/>
        <w:rPr>
          <w:rFonts w:ascii="Verdana" w:hAnsi="Verdana" w:cs="Arial"/>
          <w:i/>
          <w:sz w:val="24"/>
          <w:szCs w:val="24"/>
        </w:rPr>
      </w:pPr>
    </w:p>
    <w:p w:rsidR="00AB08E1" w:rsidRPr="00802C73" w:rsidRDefault="00AB08E1" w:rsidP="00AB08E1">
      <w:pPr>
        <w:pStyle w:val="Prrafodelista"/>
        <w:numPr>
          <w:ilvl w:val="0"/>
          <w:numId w:val="123"/>
        </w:numPr>
        <w:spacing w:after="0" w:line="240" w:lineRule="auto"/>
        <w:jc w:val="both"/>
        <w:rPr>
          <w:rFonts w:ascii="Verdana" w:hAnsi="Verdana" w:cs="Arial"/>
          <w:i/>
          <w:sz w:val="24"/>
          <w:szCs w:val="24"/>
        </w:rPr>
      </w:pPr>
      <w:r w:rsidRPr="00802C73">
        <w:rPr>
          <w:rFonts w:ascii="Verdana" w:hAnsi="Verdana" w:cs="Arial"/>
          <w:i/>
          <w:sz w:val="24"/>
          <w:szCs w:val="24"/>
        </w:rPr>
        <w:t>Con la formación de más de 8.100 nuevos agentes educativos en 2014, se alcanzó un total de 49.672 nuevos agentes educativos formados por el ICBF bajo enfoque de atención integral en el cuatrienio, lo que representa el 99% de cumplimiento de la meta de gobierno propuesta.</w:t>
      </w:r>
    </w:p>
    <w:p w:rsidR="00AB08E1" w:rsidRPr="00802C73" w:rsidRDefault="00AB08E1" w:rsidP="00AB08E1">
      <w:pPr>
        <w:pStyle w:val="Prrafodelista"/>
        <w:rPr>
          <w:rFonts w:ascii="Verdana" w:hAnsi="Verdana" w:cs="Arial"/>
          <w:i/>
          <w:sz w:val="24"/>
          <w:szCs w:val="24"/>
        </w:rPr>
      </w:pPr>
    </w:p>
    <w:p w:rsidR="00AB08E1" w:rsidRPr="00802C73" w:rsidRDefault="00AB08E1" w:rsidP="00AB08E1">
      <w:pPr>
        <w:pStyle w:val="Prrafodelista"/>
        <w:numPr>
          <w:ilvl w:val="0"/>
          <w:numId w:val="123"/>
        </w:numPr>
        <w:spacing w:after="0" w:line="240" w:lineRule="auto"/>
        <w:jc w:val="both"/>
        <w:rPr>
          <w:rFonts w:ascii="Verdana" w:hAnsi="Verdana" w:cs="Arial"/>
          <w:i/>
          <w:sz w:val="24"/>
          <w:szCs w:val="24"/>
        </w:rPr>
      </w:pPr>
      <w:r w:rsidRPr="00802C73">
        <w:rPr>
          <w:rFonts w:ascii="Verdana" w:hAnsi="Verdana" w:cs="Arial"/>
          <w:i/>
          <w:sz w:val="24"/>
          <w:szCs w:val="24"/>
        </w:rPr>
        <w:t>Formalización laboral a 61.219 madres comunitarias, garantizando su vinculación mediante un contrato laboral a término fijo, que conlleva todas las garantías legales en el tema de prestaciones sociales. Como parte de la formalización se reconoció el pago retroactivo desde el mes de enero de 2014 y no desde el mes de abril como estaba inicialmente proyectado.</w:t>
      </w:r>
    </w:p>
    <w:p w:rsidR="00AB08E1" w:rsidRPr="00802C73" w:rsidRDefault="00AB08E1" w:rsidP="00AB08E1">
      <w:pPr>
        <w:pStyle w:val="Prrafodelista"/>
        <w:spacing w:after="0" w:line="240" w:lineRule="auto"/>
        <w:ind w:left="284"/>
        <w:jc w:val="both"/>
        <w:rPr>
          <w:rFonts w:ascii="Verdana" w:hAnsi="Verdana" w:cs="Arial"/>
          <w:i/>
          <w:sz w:val="24"/>
          <w:szCs w:val="24"/>
        </w:rPr>
      </w:pPr>
    </w:p>
    <w:p w:rsidR="00AB08E1" w:rsidRPr="00802C73" w:rsidRDefault="00AB08E1" w:rsidP="00AB08E1">
      <w:pPr>
        <w:pStyle w:val="Prrafodelista"/>
        <w:numPr>
          <w:ilvl w:val="0"/>
          <w:numId w:val="123"/>
        </w:numPr>
        <w:spacing w:after="0" w:line="240" w:lineRule="auto"/>
        <w:jc w:val="both"/>
        <w:rPr>
          <w:rFonts w:ascii="Verdana" w:hAnsi="Verdana" w:cs="Arial"/>
          <w:i/>
          <w:sz w:val="24"/>
          <w:szCs w:val="24"/>
        </w:rPr>
      </w:pPr>
      <w:r w:rsidRPr="00802C73">
        <w:rPr>
          <w:rFonts w:ascii="Verdana" w:hAnsi="Verdana" w:cs="Arial"/>
          <w:i/>
          <w:sz w:val="24"/>
          <w:szCs w:val="24"/>
        </w:rPr>
        <w:t>A lo largo del cuatrienio se han beneficiado más de 712.000 niños, niñas y adolescentes con la promoción de la garantía de derechos y prevención de vulneración con el programa Generaciones con Bienestar.</w:t>
      </w:r>
    </w:p>
    <w:p w:rsidR="00AB08E1" w:rsidRPr="00802C73" w:rsidRDefault="00AB08E1" w:rsidP="00AB08E1">
      <w:pPr>
        <w:pStyle w:val="Prrafodelista"/>
        <w:spacing w:after="0" w:line="240" w:lineRule="auto"/>
        <w:rPr>
          <w:rFonts w:ascii="Verdana" w:hAnsi="Verdana" w:cs="Arial"/>
          <w:i/>
          <w:sz w:val="24"/>
          <w:szCs w:val="24"/>
        </w:rPr>
      </w:pPr>
    </w:p>
    <w:p w:rsidR="00AB08E1" w:rsidRPr="00802C73" w:rsidRDefault="00AB08E1" w:rsidP="00AB08E1">
      <w:pPr>
        <w:pStyle w:val="Prrafodelista"/>
        <w:numPr>
          <w:ilvl w:val="0"/>
          <w:numId w:val="123"/>
        </w:numPr>
        <w:spacing w:after="0" w:line="240" w:lineRule="auto"/>
        <w:jc w:val="both"/>
        <w:rPr>
          <w:rFonts w:ascii="Verdana" w:hAnsi="Verdana" w:cs="Arial"/>
          <w:i/>
          <w:sz w:val="24"/>
          <w:szCs w:val="24"/>
        </w:rPr>
      </w:pPr>
      <w:r w:rsidRPr="00802C73">
        <w:rPr>
          <w:rFonts w:ascii="Verdana" w:hAnsi="Verdana" w:cs="Arial"/>
          <w:i/>
          <w:sz w:val="24"/>
          <w:szCs w:val="24"/>
        </w:rPr>
        <w:t>Más de 541.000 familias beneficiadas entre 2011 y 2014 con la estrategia de “Familias con Bienestar” para el desarrollo de sus capacidades, tanto individuales como colectivas, el fortalecimiento de vínculos de cuidado, el ejercicio de derechos y la convivencia armónica. Esto se debió a un crecimiento de más del 35% del número de familias beneficiadas en 2014.</w:t>
      </w:r>
    </w:p>
    <w:p w:rsidR="00AB08E1" w:rsidRPr="00802C73" w:rsidRDefault="00AB08E1" w:rsidP="00AB08E1">
      <w:pPr>
        <w:pStyle w:val="Prrafodelista"/>
        <w:spacing w:after="0" w:line="240" w:lineRule="auto"/>
        <w:rPr>
          <w:rFonts w:ascii="Verdana" w:hAnsi="Verdana" w:cs="Arial"/>
          <w:i/>
          <w:sz w:val="24"/>
          <w:szCs w:val="24"/>
        </w:rPr>
      </w:pPr>
    </w:p>
    <w:p w:rsidR="00AB08E1" w:rsidRPr="00802C73" w:rsidRDefault="00AB08E1" w:rsidP="00AB08E1">
      <w:pPr>
        <w:pStyle w:val="Prrafodelista"/>
        <w:numPr>
          <w:ilvl w:val="0"/>
          <w:numId w:val="123"/>
        </w:numPr>
        <w:spacing w:after="0" w:line="240" w:lineRule="auto"/>
        <w:jc w:val="both"/>
        <w:rPr>
          <w:rFonts w:ascii="Verdana" w:hAnsi="Verdana" w:cs="Arial"/>
          <w:i/>
          <w:color w:val="000000"/>
          <w:sz w:val="24"/>
          <w:szCs w:val="24"/>
          <w:lang w:eastAsia="es-CO"/>
        </w:rPr>
      </w:pPr>
      <w:r w:rsidRPr="00802C73">
        <w:rPr>
          <w:rFonts w:ascii="Verdana" w:hAnsi="Verdana" w:cs="Arial"/>
          <w:i/>
          <w:color w:val="000000"/>
          <w:sz w:val="24"/>
          <w:szCs w:val="24"/>
          <w:lang w:eastAsia="es-CO"/>
        </w:rPr>
        <w:t>Cerca de 39.000 familias pertenecientes a grupos étnicos beneficiadas a través de la implementación y seguimiento de 267 proyectos orientados a su fortalecimiento cultural, socio organizativo y de autosuficiencia alimentaria.</w:t>
      </w:r>
    </w:p>
    <w:p w:rsidR="00AB08E1" w:rsidRPr="00802C73" w:rsidRDefault="00AB08E1" w:rsidP="00AB08E1">
      <w:pPr>
        <w:spacing w:after="0" w:line="240" w:lineRule="auto"/>
        <w:rPr>
          <w:rFonts w:ascii="Verdana" w:hAnsi="Verdana" w:cs="Arial"/>
          <w:i/>
          <w:sz w:val="24"/>
          <w:szCs w:val="24"/>
        </w:rPr>
      </w:pPr>
    </w:p>
    <w:p w:rsidR="00AB08E1" w:rsidRPr="00802C73" w:rsidRDefault="00AB08E1" w:rsidP="00AB08E1">
      <w:pPr>
        <w:pStyle w:val="Prrafodelista"/>
        <w:numPr>
          <w:ilvl w:val="0"/>
          <w:numId w:val="123"/>
        </w:numPr>
        <w:spacing w:after="0" w:line="240" w:lineRule="auto"/>
        <w:jc w:val="both"/>
        <w:rPr>
          <w:rFonts w:ascii="Verdana" w:hAnsi="Verdana" w:cs="Arial"/>
          <w:i/>
          <w:sz w:val="24"/>
          <w:szCs w:val="24"/>
        </w:rPr>
      </w:pPr>
      <w:r w:rsidRPr="00802C73">
        <w:rPr>
          <w:rFonts w:ascii="Verdana" w:hAnsi="Verdana" w:cs="Arial"/>
          <w:i/>
          <w:sz w:val="24"/>
          <w:szCs w:val="24"/>
        </w:rPr>
        <w:t>Se pasó de garantizarle situación de adoptabilidad en firme al 70% de niños sin características especiales presentados a comité de adopciones, con familia asignada en 2011 al 100% en 2014.</w:t>
      </w:r>
    </w:p>
    <w:p w:rsidR="00AB08E1" w:rsidRPr="00802C73" w:rsidRDefault="00AB08E1" w:rsidP="00AB08E1">
      <w:pPr>
        <w:spacing w:after="0" w:line="240" w:lineRule="auto"/>
        <w:rPr>
          <w:rFonts w:ascii="Verdana" w:hAnsi="Verdana" w:cs="Arial"/>
          <w:i/>
          <w:sz w:val="24"/>
          <w:szCs w:val="24"/>
        </w:rPr>
      </w:pPr>
    </w:p>
    <w:p w:rsidR="00AB08E1" w:rsidRPr="00802C73" w:rsidRDefault="00AB08E1" w:rsidP="00AB08E1">
      <w:pPr>
        <w:pStyle w:val="Prrafodelista"/>
        <w:numPr>
          <w:ilvl w:val="0"/>
          <w:numId w:val="123"/>
        </w:numPr>
        <w:spacing w:after="0" w:line="240" w:lineRule="auto"/>
        <w:jc w:val="both"/>
        <w:rPr>
          <w:rFonts w:ascii="Verdana" w:hAnsi="Verdana" w:cs="Arial"/>
          <w:i/>
          <w:sz w:val="24"/>
          <w:szCs w:val="24"/>
        </w:rPr>
      </w:pPr>
      <w:r w:rsidRPr="00802C73">
        <w:rPr>
          <w:rFonts w:ascii="Verdana" w:hAnsi="Verdana" w:cs="Arial"/>
          <w:i/>
          <w:sz w:val="24"/>
          <w:szCs w:val="24"/>
        </w:rPr>
        <w:t>En el marco de la emergencia decretada en el departamento de la Guajira y gracias a la gestión realizada durante el último trimestre de la vigencia, se logró:</w:t>
      </w:r>
    </w:p>
    <w:p w:rsidR="00AB08E1" w:rsidRPr="00A3293E" w:rsidRDefault="00AB08E1" w:rsidP="00AB08E1">
      <w:pPr>
        <w:spacing w:after="0" w:line="240" w:lineRule="auto"/>
        <w:jc w:val="both"/>
        <w:rPr>
          <w:rFonts w:ascii="Verdana" w:hAnsi="Verdana" w:cs="Arial"/>
          <w:sz w:val="24"/>
          <w:szCs w:val="24"/>
        </w:rPr>
      </w:pPr>
    </w:p>
    <w:p w:rsidR="00AB08E1" w:rsidRPr="00434000" w:rsidRDefault="00AB08E1" w:rsidP="00AB08E1">
      <w:pPr>
        <w:pStyle w:val="Prrafodelista"/>
        <w:numPr>
          <w:ilvl w:val="0"/>
          <w:numId w:val="124"/>
        </w:numPr>
        <w:spacing w:after="0" w:line="240" w:lineRule="auto"/>
        <w:jc w:val="both"/>
        <w:rPr>
          <w:rFonts w:ascii="Verdana" w:hAnsi="Verdana" w:cs="Arial"/>
          <w:i/>
          <w:sz w:val="24"/>
          <w:szCs w:val="24"/>
        </w:rPr>
      </w:pPr>
      <w:r w:rsidRPr="00434000">
        <w:rPr>
          <w:rFonts w:ascii="Verdana" w:hAnsi="Verdana" w:cs="Arial"/>
          <w:i/>
          <w:sz w:val="24"/>
          <w:szCs w:val="24"/>
        </w:rPr>
        <w:t>Microfocalización de la población en los municipios de Uribia, Manaure, Maicao y Riohacha, identificando 8.326 familias y 34.270 madres gestantes, niños y niñas.</w:t>
      </w:r>
    </w:p>
    <w:p w:rsidR="00AB08E1" w:rsidRPr="00434000" w:rsidRDefault="00AB08E1" w:rsidP="00AB08E1">
      <w:pPr>
        <w:pStyle w:val="Prrafodelista"/>
        <w:numPr>
          <w:ilvl w:val="0"/>
          <w:numId w:val="124"/>
        </w:numPr>
        <w:spacing w:after="0" w:line="240" w:lineRule="auto"/>
        <w:jc w:val="both"/>
        <w:rPr>
          <w:rFonts w:ascii="Verdana" w:hAnsi="Verdana" w:cs="Arial"/>
          <w:i/>
          <w:sz w:val="24"/>
          <w:szCs w:val="24"/>
        </w:rPr>
      </w:pPr>
      <w:r w:rsidRPr="00434000">
        <w:rPr>
          <w:rFonts w:ascii="Verdana" w:hAnsi="Verdana" w:cs="Arial"/>
          <w:i/>
          <w:sz w:val="24"/>
          <w:szCs w:val="24"/>
        </w:rPr>
        <w:t>18.000 raciones alimentarias entregadas.</w:t>
      </w:r>
    </w:p>
    <w:p w:rsidR="00AB08E1" w:rsidRPr="00434000" w:rsidRDefault="00AB08E1" w:rsidP="00AB08E1">
      <w:pPr>
        <w:pStyle w:val="Prrafodelista"/>
        <w:numPr>
          <w:ilvl w:val="0"/>
          <w:numId w:val="124"/>
        </w:numPr>
        <w:spacing w:after="0" w:line="240" w:lineRule="auto"/>
        <w:jc w:val="both"/>
        <w:rPr>
          <w:rFonts w:ascii="Verdana" w:hAnsi="Verdana" w:cs="Arial"/>
          <w:i/>
          <w:sz w:val="24"/>
          <w:szCs w:val="24"/>
        </w:rPr>
      </w:pPr>
      <w:r w:rsidRPr="00434000">
        <w:rPr>
          <w:rFonts w:ascii="Verdana" w:hAnsi="Verdana" w:cs="Arial"/>
          <w:i/>
          <w:sz w:val="24"/>
          <w:szCs w:val="24"/>
        </w:rPr>
        <w:t>22 minutas concertadas en comunidades étnicas.</w:t>
      </w:r>
    </w:p>
    <w:p w:rsidR="00AB08E1" w:rsidRPr="00434000" w:rsidRDefault="00AB08E1" w:rsidP="00AB08E1">
      <w:pPr>
        <w:pStyle w:val="Prrafodelista"/>
        <w:numPr>
          <w:ilvl w:val="0"/>
          <w:numId w:val="124"/>
        </w:numPr>
        <w:spacing w:after="0" w:line="240" w:lineRule="auto"/>
        <w:jc w:val="both"/>
        <w:rPr>
          <w:rFonts w:ascii="Verdana" w:hAnsi="Verdana" w:cs="Arial"/>
          <w:i/>
          <w:sz w:val="24"/>
          <w:szCs w:val="24"/>
        </w:rPr>
      </w:pPr>
      <w:r w:rsidRPr="00434000">
        <w:rPr>
          <w:rFonts w:ascii="Verdana" w:hAnsi="Verdana" w:cs="Arial"/>
          <w:i/>
          <w:sz w:val="24"/>
          <w:szCs w:val="24"/>
        </w:rPr>
        <w:t>4.213.980 unidades de Bienestarina liquida entregadas.</w:t>
      </w:r>
    </w:p>
    <w:p w:rsidR="00AB08E1" w:rsidRPr="00434000" w:rsidRDefault="00AB08E1" w:rsidP="00AB08E1">
      <w:pPr>
        <w:pStyle w:val="Prrafodelista"/>
        <w:numPr>
          <w:ilvl w:val="0"/>
          <w:numId w:val="124"/>
        </w:numPr>
        <w:spacing w:after="0" w:line="240" w:lineRule="auto"/>
        <w:jc w:val="both"/>
        <w:rPr>
          <w:rFonts w:ascii="Verdana" w:hAnsi="Verdana" w:cs="Arial"/>
          <w:i/>
          <w:sz w:val="24"/>
          <w:szCs w:val="24"/>
        </w:rPr>
      </w:pPr>
      <w:r w:rsidRPr="00434000">
        <w:rPr>
          <w:rFonts w:ascii="Verdana" w:hAnsi="Verdana" w:cs="Arial"/>
          <w:i/>
          <w:sz w:val="24"/>
          <w:szCs w:val="24"/>
        </w:rPr>
        <w:t xml:space="preserve">Ampliación de la cobertura en atención de más de 5.300 niños y niñas menores de 5 años, pasando en cuatro meses de 83.600 beneficiarios a 88.900. </w:t>
      </w:r>
    </w:p>
    <w:p w:rsidR="00AB08E1" w:rsidRPr="00434000" w:rsidRDefault="00AB08E1" w:rsidP="00AB08E1">
      <w:pPr>
        <w:pStyle w:val="Prrafodelista"/>
        <w:numPr>
          <w:ilvl w:val="0"/>
          <w:numId w:val="124"/>
        </w:numPr>
        <w:spacing w:after="0" w:line="240" w:lineRule="auto"/>
        <w:jc w:val="both"/>
        <w:rPr>
          <w:rFonts w:ascii="Verdana" w:hAnsi="Verdana" w:cs="Arial"/>
          <w:i/>
          <w:sz w:val="24"/>
          <w:szCs w:val="24"/>
        </w:rPr>
      </w:pPr>
      <w:r w:rsidRPr="00434000">
        <w:rPr>
          <w:rFonts w:ascii="Verdana" w:hAnsi="Verdana" w:cs="Arial"/>
          <w:i/>
          <w:sz w:val="24"/>
          <w:szCs w:val="24"/>
        </w:rPr>
        <w:t>En coordinación con la Registraduría Nacional: Más de 3.500 registros civiles, 4.900 tarjetas de identidad y 3.500 cédulas de ciudadanía expedidas.</w:t>
      </w:r>
    </w:p>
    <w:p w:rsidR="00AB08E1" w:rsidRPr="00434000" w:rsidRDefault="00AB08E1" w:rsidP="00AB08E1">
      <w:pPr>
        <w:spacing w:after="0" w:line="240" w:lineRule="auto"/>
        <w:jc w:val="both"/>
        <w:rPr>
          <w:rFonts w:ascii="Verdana" w:hAnsi="Verdana" w:cs="Arial"/>
          <w:i/>
          <w:sz w:val="24"/>
          <w:szCs w:val="24"/>
        </w:rPr>
      </w:pPr>
    </w:p>
    <w:p w:rsidR="00AB08E1" w:rsidRPr="00434000" w:rsidRDefault="00AB08E1" w:rsidP="00AB08E1">
      <w:pPr>
        <w:pStyle w:val="Prrafodelista"/>
        <w:numPr>
          <w:ilvl w:val="0"/>
          <w:numId w:val="125"/>
        </w:numPr>
        <w:spacing w:after="0" w:line="240" w:lineRule="auto"/>
        <w:jc w:val="both"/>
        <w:rPr>
          <w:rFonts w:ascii="Verdana" w:hAnsi="Verdana" w:cs="Arial"/>
          <w:i/>
          <w:sz w:val="24"/>
          <w:szCs w:val="24"/>
        </w:rPr>
      </w:pPr>
      <w:r w:rsidRPr="00434000">
        <w:rPr>
          <w:rFonts w:ascii="Verdana" w:hAnsi="Verdana" w:cs="Arial"/>
          <w:i/>
          <w:sz w:val="24"/>
          <w:szCs w:val="24"/>
        </w:rPr>
        <w:t xml:space="preserve">Acompañamiento al 100% de los departamentos colombianos, en la formulación de políticas diferenciales en favor de niños, niñas y adolescentes. Así como se pasó de 8 Consejos Departamentales de Política Social monitoreados en 2011 al total de 32 en 2014. </w:t>
      </w:r>
    </w:p>
    <w:p w:rsidR="00AB08E1" w:rsidRPr="00B16826" w:rsidRDefault="00AB08E1" w:rsidP="00AB08E1">
      <w:pPr>
        <w:spacing w:after="0" w:line="240" w:lineRule="auto"/>
        <w:jc w:val="both"/>
        <w:rPr>
          <w:rFonts w:ascii="Verdana" w:hAnsi="Verdana" w:cs="Arial"/>
          <w:sz w:val="24"/>
          <w:szCs w:val="24"/>
        </w:rPr>
      </w:pPr>
    </w:p>
    <w:p w:rsidR="00AB08E1" w:rsidRPr="00A3293E" w:rsidRDefault="00AB08E1" w:rsidP="00AB08E1">
      <w:pPr>
        <w:spacing w:after="0" w:line="240" w:lineRule="auto"/>
        <w:jc w:val="both"/>
        <w:rPr>
          <w:rFonts w:ascii="Verdana" w:hAnsi="Verdana" w:cs="Arial"/>
          <w:b/>
          <w:color w:val="4F81BD" w:themeColor="accent1"/>
          <w:sz w:val="24"/>
          <w:szCs w:val="24"/>
        </w:rPr>
      </w:pPr>
      <w:r w:rsidRPr="00A3293E">
        <w:rPr>
          <w:rFonts w:ascii="Verdana" w:hAnsi="Verdana" w:cs="Arial"/>
          <w:b/>
          <w:color w:val="4F81BD" w:themeColor="accent1"/>
          <w:sz w:val="24"/>
          <w:szCs w:val="24"/>
        </w:rPr>
        <w:t>Retos 2015</w:t>
      </w:r>
    </w:p>
    <w:p w:rsidR="00AB08E1" w:rsidRPr="00B16826" w:rsidRDefault="00AB08E1" w:rsidP="00AB08E1">
      <w:pPr>
        <w:spacing w:after="0" w:line="240" w:lineRule="auto"/>
        <w:jc w:val="both"/>
        <w:rPr>
          <w:rFonts w:ascii="Verdana" w:hAnsi="Verdana" w:cs="Arial"/>
          <w:sz w:val="24"/>
          <w:szCs w:val="24"/>
        </w:rPr>
      </w:pPr>
    </w:p>
    <w:p w:rsidR="00AB08E1" w:rsidRPr="00802C73" w:rsidRDefault="00AB08E1" w:rsidP="00AB08E1">
      <w:pPr>
        <w:pStyle w:val="Prrafodelista"/>
        <w:numPr>
          <w:ilvl w:val="0"/>
          <w:numId w:val="125"/>
        </w:numPr>
        <w:spacing w:after="0" w:line="240" w:lineRule="auto"/>
        <w:jc w:val="both"/>
        <w:rPr>
          <w:rFonts w:ascii="Verdana" w:eastAsia="MS Mincho" w:hAnsi="Verdana" w:cs="Arial"/>
          <w:i/>
          <w:sz w:val="24"/>
          <w:szCs w:val="24"/>
          <w:lang w:eastAsia="es-ES"/>
        </w:rPr>
      </w:pPr>
      <w:r w:rsidRPr="00802C73">
        <w:rPr>
          <w:rFonts w:ascii="Verdana" w:eastAsia="MS Mincho" w:hAnsi="Verdana" w:cs="Arial"/>
          <w:i/>
          <w:sz w:val="24"/>
          <w:szCs w:val="24"/>
          <w:lang w:eastAsia="es-ES"/>
        </w:rPr>
        <w:t>Continuar con la estrategia de lucha anticorrupción en los diferentes niveles institucionales, operadores y actores del SNBF, bajo el principio que los recursos de los niños, niñas y adolescentes son sagrados y deben protegerse.</w:t>
      </w:r>
    </w:p>
    <w:p w:rsidR="00AB08E1" w:rsidRPr="00802C73" w:rsidRDefault="00AB08E1" w:rsidP="00AB08E1">
      <w:pPr>
        <w:pStyle w:val="Prrafodelista"/>
        <w:spacing w:after="0" w:line="240" w:lineRule="auto"/>
        <w:ind w:left="284"/>
        <w:jc w:val="both"/>
        <w:rPr>
          <w:rFonts w:ascii="Verdana" w:eastAsia="MS Mincho" w:hAnsi="Verdana" w:cs="Arial"/>
          <w:i/>
          <w:sz w:val="24"/>
          <w:szCs w:val="24"/>
          <w:lang w:eastAsia="es-ES"/>
        </w:rPr>
      </w:pPr>
    </w:p>
    <w:p w:rsidR="00AB08E1" w:rsidRPr="00802C73" w:rsidRDefault="00AB08E1" w:rsidP="00AB08E1">
      <w:pPr>
        <w:pStyle w:val="Prrafodelista"/>
        <w:numPr>
          <w:ilvl w:val="0"/>
          <w:numId w:val="125"/>
        </w:numPr>
        <w:spacing w:after="0" w:line="240" w:lineRule="auto"/>
        <w:jc w:val="both"/>
        <w:rPr>
          <w:rFonts w:ascii="Verdana" w:eastAsia="MS Mincho" w:hAnsi="Verdana" w:cs="Arial"/>
          <w:i/>
          <w:sz w:val="24"/>
          <w:szCs w:val="24"/>
          <w:lang w:eastAsia="es-ES"/>
        </w:rPr>
      </w:pPr>
      <w:r w:rsidRPr="00802C73">
        <w:rPr>
          <w:rFonts w:ascii="Verdana" w:eastAsia="MS Mincho" w:hAnsi="Verdana" w:cs="Arial"/>
          <w:i/>
          <w:sz w:val="24"/>
          <w:szCs w:val="24"/>
          <w:lang w:eastAsia="es-ES"/>
        </w:rPr>
        <w:t xml:space="preserve">Consolidar el sistema de supervisión de operadores de los programas de Primera Infancia y Protección para garantizar mejores niveles de calidad en la prestación de los servicios. </w:t>
      </w:r>
    </w:p>
    <w:p w:rsidR="00AB08E1" w:rsidRPr="00802C73" w:rsidRDefault="00AB08E1" w:rsidP="00AB08E1">
      <w:pPr>
        <w:pStyle w:val="Prrafodelista"/>
        <w:spacing w:after="0" w:line="240" w:lineRule="auto"/>
        <w:ind w:left="284"/>
        <w:jc w:val="both"/>
        <w:rPr>
          <w:rFonts w:ascii="Verdana" w:eastAsia="MS Mincho" w:hAnsi="Verdana" w:cs="Arial"/>
          <w:i/>
          <w:sz w:val="24"/>
          <w:szCs w:val="24"/>
          <w:lang w:eastAsia="es-ES"/>
        </w:rPr>
      </w:pPr>
    </w:p>
    <w:p w:rsidR="00AB08E1" w:rsidRPr="00802C73" w:rsidRDefault="00AB08E1" w:rsidP="00AB08E1">
      <w:pPr>
        <w:pStyle w:val="Prrafodelista"/>
        <w:numPr>
          <w:ilvl w:val="0"/>
          <w:numId w:val="125"/>
        </w:numPr>
        <w:spacing w:after="0" w:line="240" w:lineRule="auto"/>
        <w:jc w:val="both"/>
        <w:rPr>
          <w:rFonts w:ascii="Verdana" w:eastAsia="MS Mincho" w:hAnsi="Verdana" w:cs="Arial"/>
          <w:i/>
          <w:sz w:val="24"/>
          <w:szCs w:val="24"/>
          <w:lang w:eastAsia="es-ES"/>
        </w:rPr>
      </w:pPr>
      <w:r w:rsidRPr="00802C73">
        <w:rPr>
          <w:rFonts w:ascii="Verdana" w:eastAsia="MS Mincho" w:hAnsi="Verdana" w:cs="Arial"/>
          <w:i/>
          <w:sz w:val="24"/>
          <w:szCs w:val="24"/>
          <w:lang w:eastAsia="es-ES"/>
        </w:rPr>
        <w:t xml:space="preserve">Ampliar la cobertura con calidad en atención integral a la primera infancia para llegar a 1.400.000 niños, niñas y madres </w:t>
      </w:r>
      <w:r w:rsidRPr="00802C73">
        <w:rPr>
          <w:rFonts w:ascii="Verdana" w:hAnsi="Verdana" w:cs="Arial"/>
          <w:i/>
          <w:iCs/>
          <w:sz w:val="24"/>
          <w:szCs w:val="24"/>
        </w:rPr>
        <w:t>gestantes y lactantes en 2015. Fortaleciendo las acciones de focalización para la atención pertinente de la población más vulnerable.</w:t>
      </w:r>
      <w:r w:rsidRPr="00802C73">
        <w:rPr>
          <w:rFonts w:ascii="Verdana" w:eastAsia="MS Mincho" w:hAnsi="Verdana" w:cs="Arial"/>
          <w:i/>
          <w:sz w:val="24"/>
          <w:szCs w:val="24"/>
          <w:lang w:eastAsia="es-ES"/>
        </w:rPr>
        <w:t xml:space="preserve"> </w:t>
      </w:r>
    </w:p>
    <w:p w:rsidR="00AB08E1" w:rsidRPr="00802C73" w:rsidRDefault="00AB08E1" w:rsidP="00AB08E1">
      <w:pPr>
        <w:spacing w:after="0" w:line="240" w:lineRule="auto"/>
        <w:ind w:left="284"/>
        <w:jc w:val="both"/>
        <w:rPr>
          <w:rFonts w:ascii="Verdana" w:hAnsi="Verdana" w:cs="Arial"/>
          <w:i/>
          <w:iCs/>
          <w:sz w:val="24"/>
          <w:szCs w:val="24"/>
        </w:rPr>
      </w:pPr>
    </w:p>
    <w:p w:rsidR="00AB08E1" w:rsidRPr="00802C73" w:rsidRDefault="00AB08E1" w:rsidP="00AB08E1">
      <w:pPr>
        <w:pStyle w:val="Prrafodelista"/>
        <w:numPr>
          <w:ilvl w:val="0"/>
          <w:numId w:val="125"/>
        </w:numPr>
        <w:spacing w:after="0" w:line="240" w:lineRule="auto"/>
        <w:jc w:val="both"/>
        <w:rPr>
          <w:rFonts w:ascii="Verdana" w:hAnsi="Verdana" w:cs="Arial"/>
          <w:i/>
          <w:iCs/>
          <w:sz w:val="24"/>
          <w:szCs w:val="24"/>
        </w:rPr>
      </w:pPr>
      <w:r w:rsidRPr="00802C73">
        <w:rPr>
          <w:rFonts w:ascii="Verdana" w:hAnsi="Verdana" w:cs="Arial"/>
          <w:i/>
          <w:iCs/>
          <w:sz w:val="24"/>
          <w:szCs w:val="24"/>
        </w:rPr>
        <w:t>Crear la estructura institucional para diseñar e implementar acciones orientadas a la prevención y atención de embarazo en adolescentes.</w:t>
      </w:r>
    </w:p>
    <w:p w:rsidR="00AB08E1" w:rsidRPr="00802C73" w:rsidRDefault="00AB08E1" w:rsidP="00AB08E1">
      <w:pPr>
        <w:spacing w:after="0" w:line="240" w:lineRule="auto"/>
        <w:ind w:left="284"/>
        <w:jc w:val="both"/>
        <w:rPr>
          <w:rFonts w:ascii="Verdana" w:eastAsia="MS Mincho" w:hAnsi="Verdana" w:cs="Arial"/>
          <w:i/>
          <w:sz w:val="24"/>
          <w:szCs w:val="24"/>
          <w:lang w:eastAsia="es-ES"/>
        </w:rPr>
      </w:pPr>
    </w:p>
    <w:p w:rsidR="00AB08E1" w:rsidRPr="00A3293E" w:rsidRDefault="00AB08E1" w:rsidP="00AB08E1">
      <w:pPr>
        <w:pStyle w:val="Prrafodelista"/>
        <w:numPr>
          <w:ilvl w:val="0"/>
          <w:numId w:val="125"/>
        </w:numPr>
        <w:spacing w:after="0" w:line="240" w:lineRule="auto"/>
        <w:jc w:val="both"/>
        <w:rPr>
          <w:rFonts w:ascii="Verdana" w:hAnsi="Verdana" w:cs="Arial"/>
          <w:iCs/>
          <w:sz w:val="24"/>
          <w:szCs w:val="24"/>
        </w:rPr>
      </w:pPr>
      <w:r w:rsidRPr="00802C73">
        <w:rPr>
          <w:rFonts w:ascii="Verdana" w:hAnsi="Verdana" w:cs="Arial"/>
          <w:i/>
          <w:iCs/>
          <w:sz w:val="24"/>
          <w:szCs w:val="24"/>
        </w:rPr>
        <w:t>Atender a las familias pertenecientes al programa de “100.000 viviendas gratis” mediante programas articulados con otras entidades del sector de la inclusión social y la reconciliación, fortaleciendo los lazos y promoviendo la paz en las comunidades</w:t>
      </w:r>
      <w:r w:rsidRPr="00A3293E">
        <w:rPr>
          <w:rFonts w:ascii="Verdana" w:hAnsi="Verdana" w:cs="Arial"/>
          <w:iCs/>
          <w:sz w:val="24"/>
          <w:szCs w:val="24"/>
        </w:rPr>
        <w:t xml:space="preserve">. </w:t>
      </w:r>
    </w:p>
    <w:p w:rsidR="00AB08E1" w:rsidRPr="00A3293E" w:rsidRDefault="00AB08E1" w:rsidP="00AB08E1">
      <w:pPr>
        <w:spacing w:after="0" w:line="240" w:lineRule="auto"/>
        <w:ind w:left="284"/>
        <w:jc w:val="both"/>
        <w:rPr>
          <w:rFonts w:ascii="Verdana" w:hAnsi="Verdana" w:cs="Arial"/>
          <w:iCs/>
          <w:sz w:val="24"/>
          <w:szCs w:val="24"/>
        </w:rPr>
      </w:pPr>
    </w:p>
    <w:p w:rsidR="00AB08E1" w:rsidRPr="00802C73" w:rsidRDefault="00AB08E1" w:rsidP="00AB08E1">
      <w:pPr>
        <w:pStyle w:val="Prrafodelista"/>
        <w:numPr>
          <w:ilvl w:val="0"/>
          <w:numId w:val="125"/>
        </w:numPr>
        <w:spacing w:after="0" w:line="240" w:lineRule="auto"/>
        <w:jc w:val="both"/>
        <w:rPr>
          <w:rFonts w:ascii="Verdana" w:hAnsi="Verdana" w:cs="Arial"/>
          <w:i/>
          <w:iCs/>
          <w:sz w:val="24"/>
          <w:szCs w:val="24"/>
        </w:rPr>
      </w:pPr>
      <w:r w:rsidRPr="00802C73">
        <w:rPr>
          <w:rFonts w:ascii="Verdana" w:hAnsi="Verdana" w:cs="Arial"/>
          <w:i/>
          <w:iCs/>
          <w:sz w:val="24"/>
          <w:szCs w:val="24"/>
        </w:rPr>
        <w:t>Construcción de metodologías de atención para familias rurales vinculando componentes de innovación social, y avanzar en la implementación de Proyectos de innovación comunitaria en los municipios que se encuentran priorizados en el plan de mitigación del riesgo de la desnutrición infantil.</w:t>
      </w:r>
    </w:p>
    <w:p w:rsidR="00AB08E1" w:rsidRPr="00802C73" w:rsidRDefault="00AB08E1" w:rsidP="00AB08E1">
      <w:pPr>
        <w:pStyle w:val="Prrafodelista"/>
        <w:spacing w:after="0" w:line="240" w:lineRule="auto"/>
        <w:ind w:left="284"/>
        <w:rPr>
          <w:rFonts w:ascii="Verdana" w:hAnsi="Verdana" w:cs="Arial"/>
          <w:i/>
          <w:iCs/>
          <w:sz w:val="24"/>
          <w:szCs w:val="24"/>
        </w:rPr>
      </w:pPr>
    </w:p>
    <w:p w:rsidR="00AB08E1" w:rsidRPr="00802C73" w:rsidRDefault="00AB08E1" w:rsidP="00AB08E1">
      <w:pPr>
        <w:pStyle w:val="Prrafodelista"/>
        <w:numPr>
          <w:ilvl w:val="0"/>
          <w:numId w:val="125"/>
        </w:numPr>
        <w:spacing w:after="0" w:line="240" w:lineRule="auto"/>
        <w:jc w:val="both"/>
        <w:rPr>
          <w:rFonts w:ascii="Verdana" w:hAnsi="Verdana" w:cs="Arial"/>
          <w:i/>
          <w:iCs/>
          <w:sz w:val="24"/>
          <w:szCs w:val="24"/>
        </w:rPr>
      </w:pPr>
      <w:r w:rsidRPr="00802C73">
        <w:rPr>
          <w:rFonts w:ascii="Verdana" w:hAnsi="Verdana" w:cs="Arial"/>
          <w:i/>
          <w:iCs/>
          <w:sz w:val="24"/>
          <w:szCs w:val="24"/>
        </w:rPr>
        <w:t xml:space="preserve">Incidir en la disminución de la prevalencia del peso bajo al nacer, que dependan de los factores alimentarios y nutricionales, producto de la intervención de la modalidad de recuperación nutricional con énfasis en los primeros 1.000 días, para las mujeres gestantes y madres en periodo de lactancia. </w:t>
      </w:r>
    </w:p>
    <w:p w:rsidR="00AB08E1" w:rsidRPr="00802C73" w:rsidRDefault="00AB08E1" w:rsidP="00AB08E1">
      <w:pPr>
        <w:pStyle w:val="Prrafodelista"/>
        <w:spacing w:after="0" w:line="240" w:lineRule="auto"/>
        <w:ind w:left="284"/>
        <w:jc w:val="both"/>
        <w:rPr>
          <w:rFonts w:ascii="Verdana" w:hAnsi="Verdana" w:cs="Arial"/>
          <w:i/>
          <w:iCs/>
          <w:sz w:val="24"/>
          <w:szCs w:val="24"/>
        </w:rPr>
      </w:pPr>
    </w:p>
    <w:p w:rsidR="00AB08E1" w:rsidRPr="00802C73" w:rsidRDefault="00AB08E1" w:rsidP="00AB08E1">
      <w:pPr>
        <w:pStyle w:val="Prrafodelista"/>
        <w:numPr>
          <w:ilvl w:val="0"/>
          <w:numId w:val="125"/>
        </w:numPr>
        <w:spacing w:after="0" w:line="240" w:lineRule="auto"/>
        <w:jc w:val="both"/>
        <w:rPr>
          <w:rFonts w:ascii="Verdana" w:hAnsi="Verdana" w:cs="Arial"/>
          <w:i/>
          <w:iCs/>
          <w:sz w:val="24"/>
          <w:szCs w:val="24"/>
        </w:rPr>
      </w:pPr>
      <w:r w:rsidRPr="00802C73">
        <w:rPr>
          <w:rFonts w:ascii="Verdana" w:hAnsi="Verdana" w:cs="Arial"/>
          <w:i/>
          <w:iCs/>
          <w:sz w:val="24"/>
          <w:szCs w:val="24"/>
        </w:rPr>
        <w:t>Fortalecimiento de las defensorías de familia a través de la contratación de equipos psicosociales adicionales en todas las regionales.</w:t>
      </w:r>
    </w:p>
    <w:p w:rsidR="00AB08E1" w:rsidRPr="00802C73" w:rsidRDefault="00AB08E1" w:rsidP="00AB08E1">
      <w:pPr>
        <w:pStyle w:val="Prrafodelista"/>
        <w:spacing w:after="0" w:line="240" w:lineRule="auto"/>
        <w:ind w:left="284"/>
        <w:jc w:val="both"/>
        <w:rPr>
          <w:rFonts w:ascii="Verdana" w:hAnsi="Verdana" w:cs="Arial"/>
          <w:i/>
          <w:iCs/>
          <w:sz w:val="24"/>
          <w:szCs w:val="24"/>
        </w:rPr>
      </w:pPr>
    </w:p>
    <w:p w:rsidR="00AB08E1" w:rsidRPr="00802C73" w:rsidRDefault="00AB08E1" w:rsidP="00AB08E1">
      <w:pPr>
        <w:pStyle w:val="Prrafodelista"/>
        <w:numPr>
          <w:ilvl w:val="0"/>
          <w:numId w:val="125"/>
        </w:numPr>
        <w:spacing w:after="0" w:line="240" w:lineRule="auto"/>
        <w:jc w:val="both"/>
        <w:rPr>
          <w:rFonts w:ascii="Verdana" w:hAnsi="Verdana" w:cs="Arial"/>
          <w:i/>
          <w:iCs/>
          <w:sz w:val="24"/>
          <w:szCs w:val="24"/>
        </w:rPr>
      </w:pPr>
      <w:r w:rsidRPr="00802C73">
        <w:rPr>
          <w:rFonts w:ascii="Verdana" w:hAnsi="Verdana" w:cs="Arial"/>
          <w:i/>
          <w:iCs/>
          <w:sz w:val="24"/>
          <w:szCs w:val="24"/>
        </w:rPr>
        <w:t>Fortalecer la capacidad técnica de los agentes del Sistema Nacional de Bienestar Familiar (SNBF) para la Gestión de Políticas Públicas, de  Primera Infancia, Infancia, Adolescencia y para el fortalecimiento familiar, así como el esquema de operación y la coordinación de las instancias de decisión, operación, desarrollo técnico y participación del SNBF en los ámbitos nacional y territorial.</w:t>
      </w:r>
    </w:p>
    <w:p w:rsidR="00AB08E1" w:rsidRPr="00B16826" w:rsidRDefault="00AB08E1" w:rsidP="00AB08E1">
      <w:pPr>
        <w:spacing w:after="0" w:line="240" w:lineRule="auto"/>
        <w:jc w:val="both"/>
        <w:rPr>
          <w:rFonts w:ascii="Verdana" w:hAnsi="Verdana"/>
          <w:sz w:val="24"/>
          <w:szCs w:val="24"/>
        </w:rPr>
      </w:pPr>
    </w:p>
    <w:p w:rsidR="00AB08E1" w:rsidRDefault="00AB08E1" w:rsidP="00AB08E1">
      <w:pPr>
        <w:spacing w:after="0" w:line="240" w:lineRule="auto"/>
        <w:jc w:val="both"/>
        <w:rPr>
          <w:rFonts w:ascii="Verdana" w:hAnsi="Verdana"/>
          <w:b/>
          <w:color w:val="4F81BD" w:themeColor="accent1"/>
          <w:sz w:val="28"/>
          <w:szCs w:val="24"/>
        </w:rPr>
      </w:pPr>
      <w:r w:rsidRPr="00FD07A0">
        <w:rPr>
          <w:rFonts w:ascii="Verdana" w:hAnsi="Verdana"/>
          <w:b/>
          <w:noProof/>
          <w:color w:val="4F81BD" w:themeColor="accent1"/>
          <w:sz w:val="28"/>
          <w:szCs w:val="24"/>
          <w:lang w:eastAsia="es-CO"/>
        </w:rPr>
        <w:drawing>
          <wp:inline distT="0" distB="0" distL="0" distR="0">
            <wp:extent cx="216024" cy="216024"/>
            <wp:effectExtent l="19050" t="0" r="0" b="0"/>
            <wp:docPr id="496" name="Objeto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4" cy="216024"/>
                      <a:chOff x="7884368" y="2996952"/>
                      <a:chExt cx="216024" cy="216024"/>
                    </a:xfrm>
                  </a:grpSpPr>
                  <a:sp>
                    <a:nvSpPr>
                      <a:cNvPr id="40" name="39 Rectángulo redondeado"/>
                      <a:cNvSpPr/>
                    </a:nvSpPr>
                    <a:spPr>
                      <a:xfrm>
                        <a:off x="7884368" y="2996952"/>
                        <a:ext cx="216024" cy="216024"/>
                      </a:xfrm>
                      <a:prstGeom prst="roundRect">
                        <a:avLst/>
                      </a:prstGeom>
                      <a:solidFill>
                        <a:schemeClr val="tx2">
                          <a:lumMod val="75000"/>
                        </a:schemeClr>
                      </a:soli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ascii="Verdana" w:hAnsi="Verdana"/>
          <w:b/>
          <w:color w:val="4F81BD" w:themeColor="accent1"/>
          <w:sz w:val="28"/>
          <w:szCs w:val="24"/>
        </w:rPr>
        <w:t xml:space="preserve"> </w:t>
      </w:r>
      <w:r w:rsidRPr="00FD07A0">
        <w:rPr>
          <w:rFonts w:ascii="Verdana" w:hAnsi="Verdana"/>
          <w:b/>
          <w:color w:val="4F81BD" w:themeColor="accent1"/>
          <w:sz w:val="28"/>
          <w:szCs w:val="24"/>
        </w:rPr>
        <w:t xml:space="preserve">REPORTE DEL GRADO DE AVANCE DE LAS POLÍTICAS DE </w:t>
      </w:r>
      <w:r>
        <w:rPr>
          <w:rFonts w:ascii="Verdana" w:hAnsi="Verdana"/>
          <w:b/>
          <w:color w:val="4F81BD" w:themeColor="accent1"/>
          <w:sz w:val="28"/>
          <w:szCs w:val="24"/>
        </w:rPr>
        <w:t xml:space="preserve"> </w:t>
      </w:r>
    </w:p>
    <w:p w:rsidR="00AB08E1" w:rsidRDefault="00AB08E1" w:rsidP="00AB08E1">
      <w:pPr>
        <w:spacing w:after="0" w:line="240" w:lineRule="auto"/>
        <w:jc w:val="both"/>
        <w:rPr>
          <w:rFonts w:ascii="Verdana" w:hAnsi="Verdana"/>
          <w:b/>
          <w:color w:val="4F81BD" w:themeColor="accent1"/>
          <w:sz w:val="28"/>
          <w:szCs w:val="24"/>
        </w:rPr>
      </w:pPr>
      <w:r>
        <w:rPr>
          <w:rFonts w:ascii="Verdana" w:hAnsi="Verdana"/>
          <w:b/>
          <w:color w:val="4F81BD" w:themeColor="accent1"/>
          <w:sz w:val="28"/>
          <w:szCs w:val="24"/>
        </w:rPr>
        <w:t xml:space="preserve">     </w:t>
      </w:r>
      <w:r w:rsidRPr="00FD07A0">
        <w:rPr>
          <w:rFonts w:ascii="Verdana" w:hAnsi="Verdana"/>
          <w:b/>
          <w:color w:val="4F81BD" w:themeColor="accent1"/>
          <w:sz w:val="28"/>
          <w:szCs w:val="24"/>
        </w:rPr>
        <w:t xml:space="preserve">DESARROLLO ADMINISTRATIVOS DEL MODELO </w:t>
      </w:r>
    </w:p>
    <w:p w:rsidR="00AB08E1" w:rsidRPr="00FD07A0" w:rsidRDefault="00AB08E1" w:rsidP="00AB08E1">
      <w:pPr>
        <w:spacing w:after="0" w:line="240" w:lineRule="auto"/>
        <w:jc w:val="both"/>
        <w:rPr>
          <w:rFonts w:ascii="Verdana" w:hAnsi="Verdana"/>
          <w:b/>
          <w:color w:val="4F81BD" w:themeColor="accent1"/>
          <w:sz w:val="28"/>
          <w:szCs w:val="24"/>
        </w:rPr>
      </w:pPr>
      <w:r>
        <w:rPr>
          <w:rFonts w:ascii="Verdana" w:hAnsi="Verdana"/>
          <w:b/>
          <w:color w:val="4F81BD" w:themeColor="accent1"/>
          <w:sz w:val="28"/>
          <w:szCs w:val="24"/>
        </w:rPr>
        <w:t xml:space="preserve">     </w:t>
      </w:r>
      <w:r w:rsidRPr="00FD07A0">
        <w:rPr>
          <w:rFonts w:ascii="Verdana" w:hAnsi="Verdana"/>
          <w:b/>
          <w:color w:val="4F81BD" w:themeColor="accent1"/>
          <w:sz w:val="28"/>
          <w:szCs w:val="24"/>
        </w:rPr>
        <w:t>INTEGRADO DE PLANEACIÓN Y GESTIÓN</w:t>
      </w:r>
      <w:r>
        <w:rPr>
          <w:rFonts w:ascii="Verdana" w:hAnsi="Verdana"/>
          <w:b/>
          <w:color w:val="4F81BD" w:themeColor="accent1"/>
          <w:sz w:val="28"/>
          <w:szCs w:val="24"/>
        </w:rPr>
        <w:t>.</w:t>
      </w:r>
    </w:p>
    <w:p w:rsidR="00AB08E1" w:rsidRPr="00FD07A0" w:rsidRDefault="00AB08E1" w:rsidP="00AB08E1">
      <w:pPr>
        <w:spacing w:after="0" w:line="240" w:lineRule="auto"/>
        <w:jc w:val="both"/>
        <w:rPr>
          <w:rFonts w:ascii="Verdana" w:hAnsi="Verdana"/>
          <w:b/>
          <w:color w:val="4F81BD" w:themeColor="accent1"/>
          <w:sz w:val="28"/>
          <w:szCs w:val="24"/>
        </w:rPr>
      </w:pPr>
    </w:p>
    <w:p w:rsidR="00AB08E1" w:rsidRPr="00A3293E" w:rsidRDefault="00AB08E1" w:rsidP="00AB08E1">
      <w:pPr>
        <w:spacing w:after="0" w:line="240" w:lineRule="auto"/>
        <w:jc w:val="both"/>
        <w:rPr>
          <w:rFonts w:ascii="Verdana" w:hAnsi="Verdana" w:cs="Arial"/>
          <w:b/>
          <w:color w:val="4F81BD" w:themeColor="accent1"/>
          <w:sz w:val="24"/>
          <w:szCs w:val="24"/>
        </w:rPr>
      </w:pPr>
      <w:r w:rsidRPr="00A3293E">
        <w:rPr>
          <w:rFonts w:ascii="Verdana" w:hAnsi="Verdana" w:cs="Arial"/>
          <w:b/>
          <w:color w:val="4F81BD" w:themeColor="accent1"/>
          <w:sz w:val="24"/>
          <w:szCs w:val="24"/>
        </w:rPr>
        <w:t>Transparencia, Participación y Servicio al Ciudadano</w:t>
      </w:r>
    </w:p>
    <w:p w:rsidR="00AB08E1" w:rsidRPr="00B16826" w:rsidRDefault="00AB08E1" w:rsidP="00AB08E1">
      <w:pPr>
        <w:pStyle w:val="Prrafodelista"/>
        <w:spacing w:after="0" w:line="240" w:lineRule="auto"/>
        <w:ind w:left="284"/>
        <w:contextualSpacing w:val="0"/>
        <w:jc w:val="both"/>
        <w:rPr>
          <w:rFonts w:ascii="Verdana" w:hAnsi="Verdana" w:cs="Arial"/>
          <w:b/>
          <w:sz w:val="24"/>
          <w:szCs w:val="24"/>
        </w:rPr>
      </w:pPr>
    </w:p>
    <w:p w:rsidR="00AB08E1" w:rsidRPr="00B16826" w:rsidRDefault="00AB08E1" w:rsidP="00AB08E1">
      <w:pPr>
        <w:spacing w:after="0" w:line="240" w:lineRule="auto"/>
        <w:jc w:val="both"/>
        <w:rPr>
          <w:rFonts w:ascii="Verdana" w:hAnsi="Verdana" w:cs="Arial"/>
          <w:sz w:val="24"/>
          <w:szCs w:val="24"/>
        </w:rPr>
      </w:pPr>
      <w:r w:rsidRPr="00B16826">
        <w:rPr>
          <w:rFonts w:ascii="Verdana" w:hAnsi="Verdana" w:cs="Arial"/>
          <w:sz w:val="24"/>
          <w:szCs w:val="24"/>
        </w:rPr>
        <w:t>La línea de política Transparencia, Participación y Servicio al Ciudadano se mide en el ICBF con base en los siguientes indicadores:</w:t>
      </w:r>
    </w:p>
    <w:p w:rsidR="00AB08E1" w:rsidRPr="00B16826" w:rsidRDefault="00AB08E1" w:rsidP="00AB08E1">
      <w:pPr>
        <w:spacing w:after="0" w:line="240" w:lineRule="auto"/>
        <w:jc w:val="both"/>
        <w:rPr>
          <w:rFonts w:ascii="Verdana" w:hAnsi="Verdana" w:cs="Arial"/>
          <w:sz w:val="24"/>
          <w:szCs w:val="24"/>
        </w:rPr>
      </w:pPr>
    </w:p>
    <w:p w:rsidR="00AB08E1" w:rsidRPr="00141D2F" w:rsidRDefault="00AB08E1" w:rsidP="00AB08E1">
      <w:pPr>
        <w:pStyle w:val="Prrafodelista"/>
        <w:spacing w:after="0" w:line="240" w:lineRule="auto"/>
        <w:jc w:val="center"/>
        <w:rPr>
          <w:rFonts w:ascii="Verdana" w:hAnsi="Verdana" w:cs="Arial"/>
          <w:b/>
          <w:color w:val="1F497D" w:themeColor="text2"/>
          <w:sz w:val="20"/>
          <w:szCs w:val="20"/>
        </w:rPr>
      </w:pPr>
      <w:r w:rsidRPr="00141D2F">
        <w:rPr>
          <w:rFonts w:ascii="Verdana" w:hAnsi="Verdana" w:cs="Arial"/>
          <w:b/>
          <w:color w:val="1F497D" w:themeColor="text2"/>
          <w:sz w:val="20"/>
          <w:szCs w:val="20"/>
        </w:rPr>
        <w:t>Indicadores de la política Transparencia, Participación y Servicio al Ciudadano</w:t>
      </w:r>
    </w:p>
    <w:tbl>
      <w:tblPr>
        <w:tblW w:w="5000" w:type="pct"/>
        <w:tblCellMar>
          <w:left w:w="70" w:type="dxa"/>
          <w:right w:w="70" w:type="dxa"/>
        </w:tblCellMar>
        <w:tblLook w:val="04A0"/>
      </w:tblPr>
      <w:tblGrid>
        <w:gridCol w:w="3415"/>
        <w:gridCol w:w="2138"/>
        <w:gridCol w:w="2216"/>
        <w:gridCol w:w="2397"/>
      </w:tblGrid>
      <w:tr w:rsidR="00AB08E1" w:rsidRPr="00141D2F" w:rsidTr="00F33CF6">
        <w:trPr>
          <w:trHeight w:val="300"/>
          <w:tblHeader/>
        </w:trPr>
        <w:tc>
          <w:tcPr>
            <w:tcW w:w="1679" w:type="pct"/>
            <w:tcBorders>
              <w:top w:val="nil"/>
              <w:left w:val="nil"/>
              <w:bottom w:val="single" w:sz="12" w:space="0" w:color="FFFFFF"/>
              <w:right w:val="single" w:sz="4" w:space="0" w:color="FFFFFF"/>
            </w:tcBorders>
            <w:shd w:val="clear" w:color="4F81BD" w:fill="4F81BD"/>
            <w:noWrap/>
            <w:hideMark/>
          </w:tcPr>
          <w:p w:rsidR="00AB08E1" w:rsidRPr="00141D2F" w:rsidRDefault="00AB08E1" w:rsidP="00F33CF6">
            <w:pPr>
              <w:spacing w:after="0" w:line="240" w:lineRule="auto"/>
              <w:jc w:val="center"/>
              <w:rPr>
                <w:rFonts w:ascii="Verdana" w:eastAsia="Times New Roman" w:hAnsi="Verdana" w:cs="Times New Roman"/>
                <w:b/>
                <w:bCs/>
                <w:color w:val="FFFFFF"/>
                <w:sz w:val="20"/>
                <w:szCs w:val="20"/>
                <w:lang w:eastAsia="es-CO"/>
              </w:rPr>
            </w:pPr>
            <w:r w:rsidRPr="00141D2F">
              <w:rPr>
                <w:rFonts w:ascii="Verdana" w:eastAsia="Times New Roman" w:hAnsi="Verdana" w:cs="Times New Roman"/>
                <w:b/>
                <w:bCs/>
                <w:color w:val="FFFFFF"/>
                <w:sz w:val="20"/>
                <w:szCs w:val="20"/>
                <w:lang w:eastAsia="es-CO"/>
              </w:rPr>
              <w:t>Nombre</w:t>
            </w:r>
          </w:p>
        </w:tc>
        <w:tc>
          <w:tcPr>
            <w:tcW w:w="1051" w:type="pct"/>
            <w:tcBorders>
              <w:top w:val="nil"/>
              <w:left w:val="nil"/>
              <w:bottom w:val="single" w:sz="12" w:space="0" w:color="FFFFFF"/>
              <w:right w:val="single" w:sz="4" w:space="0" w:color="FFFFFF"/>
            </w:tcBorders>
            <w:shd w:val="clear" w:color="4F81BD" w:fill="4F81BD"/>
            <w:noWrap/>
            <w:hideMark/>
          </w:tcPr>
          <w:p w:rsidR="00AB08E1" w:rsidRPr="00141D2F" w:rsidRDefault="00AB08E1" w:rsidP="00F33CF6">
            <w:pPr>
              <w:spacing w:after="0" w:line="240" w:lineRule="auto"/>
              <w:jc w:val="center"/>
              <w:rPr>
                <w:rFonts w:ascii="Verdana" w:eastAsia="Times New Roman" w:hAnsi="Verdana" w:cs="Times New Roman"/>
                <w:b/>
                <w:bCs/>
                <w:color w:val="FFFFFF"/>
                <w:sz w:val="20"/>
                <w:szCs w:val="20"/>
                <w:lang w:eastAsia="es-CO"/>
              </w:rPr>
            </w:pPr>
            <w:r w:rsidRPr="00141D2F">
              <w:rPr>
                <w:rFonts w:ascii="Verdana" w:eastAsia="Times New Roman" w:hAnsi="Verdana" w:cs="Times New Roman"/>
                <w:b/>
                <w:bCs/>
                <w:color w:val="FFFFFF"/>
                <w:sz w:val="20"/>
                <w:szCs w:val="20"/>
                <w:lang w:eastAsia="es-CO"/>
              </w:rPr>
              <w:t>Meta 2014</w:t>
            </w:r>
          </w:p>
        </w:tc>
        <w:tc>
          <w:tcPr>
            <w:tcW w:w="1090" w:type="pct"/>
            <w:tcBorders>
              <w:top w:val="nil"/>
              <w:left w:val="nil"/>
              <w:bottom w:val="single" w:sz="12" w:space="0" w:color="FFFFFF"/>
              <w:right w:val="single" w:sz="4" w:space="0" w:color="FFFFFF"/>
            </w:tcBorders>
            <w:shd w:val="clear" w:color="4F81BD" w:fill="4F81BD"/>
            <w:hideMark/>
          </w:tcPr>
          <w:p w:rsidR="00AB08E1" w:rsidRPr="00141D2F" w:rsidRDefault="00AB08E1" w:rsidP="00F33CF6">
            <w:pPr>
              <w:spacing w:after="0" w:line="240" w:lineRule="auto"/>
              <w:jc w:val="center"/>
              <w:rPr>
                <w:rFonts w:ascii="Verdana" w:eastAsia="Times New Roman" w:hAnsi="Verdana" w:cs="Times New Roman"/>
                <w:b/>
                <w:bCs/>
                <w:color w:val="FFFFFF"/>
                <w:sz w:val="20"/>
                <w:szCs w:val="20"/>
                <w:lang w:eastAsia="es-CO"/>
              </w:rPr>
            </w:pPr>
            <w:r w:rsidRPr="00141D2F">
              <w:rPr>
                <w:rFonts w:ascii="Verdana" w:eastAsia="Times New Roman" w:hAnsi="Verdana" w:cs="Times New Roman"/>
                <w:b/>
                <w:bCs/>
                <w:color w:val="FFFFFF"/>
                <w:sz w:val="20"/>
                <w:szCs w:val="20"/>
                <w:lang w:eastAsia="es-CO"/>
              </w:rPr>
              <w:t>% avance</w:t>
            </w:r>
          </w:p>
        </w:tc>
        <w:tc>
          <w:tcPr>
            <w:tcW w:w="1179" w:type="pct"/>
            <w:tcBorders>
              <w:top w:val="nil"/>
              <w:left w:val="nil"/>
              <w:bottom w:val="single" w:sz="12" w:space="0" w:color="FFFFFF"/>
              <w:right w:val="single" w:sz="4" w:space="0" w:color="FFFFFF"/>
            </w:tcBorders>
            <w:shd w:val="clear" w:color="4F81BD" w:fill="4F81BD"/>
            <w:hideMark/>
          </w:tcPr>
          <w:p w:rsidR="00AB08E1" w:rsidRPr="00141D2F" w:rsidRDefault="00AB08E1" w:rsidP="00F33CF6">
            <w:pPr>
              <w:spacing w:after="0" w:line="240" w:lineRule="auto"/>
              <w:jc w:val="center"/>
              <w:rPr>
                <w:rFonts w:ascii="Verdana" w:eastAsia="Times New Roman" w:hAnsi="Verdana" w:cs="Times New Roman"/>
                <w:b/>
                <w:bCs/>
                <w:color w:val="FFFFFF"/>
                <w:sz w:val="20"/>
                <w:szCs w:val="20"/>
                <w:lang w:eastAsia="es-CO"/>
              </w:rPr>
            </w:pPr>
            <w:r w:rsidRPr="00141D2F">
              <w:rPr>
                <w:rFonts w:ascii="Verdana" w:eastAsia="Times New Roman" w:hAnsi="Verdana" w:cs="Times New Roman"/>
                <w:b/>
                <w:bCs/>
                <w:color w:val="FFFFFF"/>
                <w:sz w:val="20"/>
                <w:szCs w:val="20"/>
                <w:lang w:eastAsia="es-CO"/>
              </w:rPr>
              <w:t>rango</w:t>
            </w:r>
          </w:p>
        </w:tc>
      </w:tr>
      <w:tr w:rsidR="00AB08E1" w:rsidRPr="00141D2F" w:rsidTr="00F33CF6">
        <w:trPr>
          <w:trHeight w:val="510"/>
        </w:trPr>
        <w:tc>
          <w:tcPr>
            <w:tcW w:w="1679" w:type="pct"/>
            <w:tcBorders>
              <w:top w:val="nil"/>
              <w:left w:val="nil"/>
              <w:bottom w:val="single" w:sz="4" w:space="0" w:color="FFFFFF"/>
              <w:right w:val="single" w:sz="4" w:space="0" w:color="FFFFFF"/>
            </w:tcBorders>
            <w:shd w:val="clear" w:color="B8CCE4" w:fill="B8CCE4"/>
            <w:hideMark/>
          </w:tcPr>
          <w:p w:rsidR="00AB08E1" w:rsidRPr="00141D2F" w:rsidRDefault="00AB08E1" w:rsidP="00F33CF6">
            <w:pPr>
              <w:spacing w:after="0" w:line="240" w:lineRule="auto"/>
              <w:jc w:val="both"/>
              <w:rPr>
                <w:rFonts w:ascii="Verdana" w:eastAsia="Times New Roman" w:hAnsi="Verdana" w:cs="Times New Roman"/>
                <w:color w:val="000000"/>
                <w:sz w:val="20"/>
                <w:szCs w:val="20"/>
                <w:lang w:eastAsia="es-CO"/>
              </w:rPr>
            </w:pPr>
            <w:r w:rsidRPr="00141D2F">
              <w:rPr>
                <w:rFonts w:ascii="Verdana" w:eastAsia="Times New Roman" w:hAnsi="Verdana" w:cs="Times New Roman"/>
                <w:color w:val="000000"/>
                <w:sz w:val="20"/>
                <w:szCs w:val="20"/>
                <w:lang w:eastAsia="es-CO"/>
              </w:rPr>
              <w:t xml:space="preserve">Nivel de Satisfacción de atención al cliente </w:t>
            </w:r>
          </w:p>
        </w:tc>
        <w:tc>
          <w:tcPr>
            <w:tcW w:w="1051" w:type="pct"/>
            <w:tcBorders>
              <w:top w:val="nil"/>
              <w:left w:val="nil"/>
              <w:bottom w:val="single" w:sz="4" w:space="0" w:color="FFFFFF"/>
              <w:right w:val="single" w:sz="4" w:space="0" w:color="FFFFFF"/>
            </w:tcBorders>
            <w:shd w:val="clear" w:color="B8CCE4" w:fill="B8CCE4"/>
            <w:hideMark/>
          </w:tcPr>
          <w:p w:rsidR="00AB08E1" w:rsidRPr="00141D2F" w:rsidRDefault="00AB08E1" w:rsidP="00F33CF6">
            <w:pPr>
              <w:spacing w:after="0" w:line="240" w:lineRule="auto"/>
              <w:jc w:val="center"/>
              <w:rPr>
                <w:rFonts w:ascii="Verdana" w:eastAsia="Times New Roman" w:hAnsi="Verdana" w:cs="Times New Roman"/>
                <w:color w:val="000000"/>
                <w:sz w:val="20"/>
                <w:szCs w:val="20"/>
                <w:lang w:eastAsia="es-CO"/>
              </w:rPr>
            </w:pPr>
            <w:r w:rsidRPr="00141D2F">
              <w:rPr>
                <w:rFonts w:ascii="Verdana" w:eastAsia="Times New Roman" w:hAnsi="Verdana" w:cs="Times New Roman"/>
                <w:color w:val="000000"/>
                <w:sz w:val="20"/>
                <w:szCs w:val="20"/>
                <w:lang w:eastAsia="es-CO"/>
              </w:rPr>
              <w:t>90%</w:t>
            </w:r>
          </w:p>
        </w:tc>
        <w:tc>
          <w:tcPr>
            <w:tcW w:w="1090" w:type="pct"/>
            <w:tcBorders>
              <w:top w:val="nil"/>
              <w:left w:val="nil"/>
              <w:bottom w:val="single" w:sz="4" w:space="0" w:color="FFFFFF"/>
              <w:right w:val="single" w:sz="4" w:space="0" w:color="FFFFFF"/>
            </w:tcBorders>
            <w:shd w:val="clear" w:color="B8CCE4" w:fill="B8CCE4"/>
            <w:hideMark/>
          </w:tcPr>
          <w:p w:rsidR="00AB08E1" w:rsidRPr="00141D2F" w:rsidRDefault="00AB08E1" w:rsidP="00F33CF6">
            <w:pPr>
              <w:spacing w:after="0" w:line="240" w:lineRule="auto"/>
              <w:jc w:val="center"/>
              <w:rPr>
                <w:rFonts w:ascii="Verdana" w:eastAsia="Times New Roman" w:hAnsi="Verdana" w:cs="Times New Roman"/>
                <w:color w:val="000000"/>
                <w:sz w:val="20"/>
                <w:szCs w:val="20"/>
                <w:lang w:eastAsia="es-CO"/>
              </w:rPr>
            </w:pPr>
            <w:r w:rsidRPr="00141D2F">
              <w:rPr>
                <w:rFonts w:ascii="Verdana" w:eastAsia="Times New Roman" w:hAnsi="Verdana" w:cs="Times New Roman"/>
                <w:color w:val="000000"/>
                <w:sz w:val="20"/>
                <w:szCs w:val="20"/>
                <w:lang w:eastAsia="es-CO"/>
              </w:rPr>
              <w:t>93%</w:t>
            </w:r>
          </w:p>
        </w:tc>
        <w:tc>
          <w:tcPr>
            <w:tcW w:w="1179" w:type="pct"/>
            <w:tcBorders>
              <w:top w:val="nil"/>
              <w:left w:val="nil"/>
              <w:bottom w:val="single" w:sz="4" w:space="0" w:color="FFFFFF"/>
              <w:right w:val="single" w:sz="4" w:space="0" w:color="FFFFFF"/>
            </w:tcBorders>
            <w:shd w:val="clear" w:color="B8CCE4" w:fill="B8CCE4"/>
            <w:hideMark/>
          </w:tcPr>
          <w:p w:rsidR="00AB08E1" w:rsidRPr="00141D2F" w:rsidRDefault="00AB08E1" w:rsidP="00F33CF6">
            <w:pPr>
              <w:spacing w:after="0" w:line="240" w:lineRule="auto"/>
              <w:jc w:val="both"/>
              <w:rPr>
                <w:rFonts w:ascii="Verdana" w:eastAsia="Times New Roman" w:hAnsi="Verdana" w:cs="Times New Roman"/>
                <w:color w:val="000000"/>
                <w:sz w:val="20"/>
                <w:szCs w:val="20"/>
                <w:lang w:eastAsia="es-CO"/>
              </w:rPr>
            </w:pPr>
            <w:r w:rsidRPr="00141D2F">
              <w:rPr>
                <w:rFonts w:ascii="Verdana" w:eastAsia="Times New Roman" w:hAnsi="Verdana" w:cs="Times New Roman"/>
                <w:color w:val="000000"/>
                <w:sz w:val="20"/>
                <w:szCs w:val="20"/>
                <w:lang w:eastAsia="es-CO"/>
              </w:rPr>
              <w:t>Optimo</w:t>
            </w:r>
          </w:p>
        </w:tc>
      </w:tr>
      <w:tr w:rsidR="00AB08E1" w:rsidRPr="00141D2F" w:rsidTr="00F33CF6">
        <w:trPr>
          <w:trHeight w:val="1275"/>
        </w:trPr>
        <w:tc>
          <w:tcPr>
            <w:tcW w:w="1679" w:type="pct"/>
            <w:tcBorders>
              <w:top w:val="nil"/>
              <w:left w:val="nil"/>
              <w:bottom w:val="single" w:sz="4" w:space="0" w:color="FFFFFF"/>
              <w:right w:val="single" w:sz="4" w:space="0" w:color="FFFFFF"/>
            </w:tcBorders>
            <w:shd w:val="clear" w:color="DBE5F1" w:fill="DBE5F1"/>
            <w:hideMark/>
          </w:tcPr>
          <w:p w:rsidR="00AB08E1" w:rsidRPr="00141D2F" w:rsidRDefault="00AB08E1" w:rsidP="00F33CF6">
            <w:pPr>
              <w:spacing w:after="0" w:line="240" w:lineRule="auto"/>
              <w:jc w:val="both"/>
              <w:rPr>
                <w:rFonts w:ascii="Verdana" w:eastAsia="Times New Roman" w:hAnsi="Verdana" w:cs="Times New Roman"/>
                <w:color w:val="000000"/>
                <w:sz w:val="20"/>
                <w:szCs w:val="20"/>
                <w:lang w:eastAsia="es-CO"/>
              </w:rPr>
            </w:pPr>
            <w:r w:rsidRPr="00141D2F">
              <w:rPr>
                <w:rFonts w:ascii="Verdana" w:eastAsia="Times New Roman" w:hAnsi="Verdana" w:cs="Times New Roman"/>
                <w:color w:val="000000"/>
                <w:sz w:val="20"/>
                <w:szCs w:val="20"/>
                <w:lang w:eastAsia="es-CO"/>
              </w:rPr>
              <w:t xml:space="preserve">Regionales operando efectivamente el  sistema tecnológico para otorgar citas de manera automatizadas </w:t>
            </w:r>
          </w:p>
        </w:tc>
        <w:tc>
          <w:tcPr>
            <w:tcW w:w="1051" w:type="pct"/>
            <w:tcBorders>
              <w:top w:val="nil"/>
              <w:left w:val="nil"/>
              <w:bottom w:val="single" w:sz="4" w:space="0" w:color="FFFFFF"/>
              <w:right w:val="single" w:sz="4" w:space="0" w:color="FFFFFF"/>
            </w:tcBorders>
            <w:shd w:val="clear" w:color="DBE5F1" w:fill="DBE5F1"/>
            <w:hideMark/>
          </w:tcPr>
          <w:p w:rsidR="00AB08E1" w:rsidRPr="00141D2F" w:rsidRDefault="00AB08E1" w:rsidP="00F33CF6">
            <w:pPr>
              <w:spacing w:after="0" w:line="240" w:lineRule="auto"/>
              <w:jc w:val="center"/>
              <w:rPr>
                <w:rFonts w:ascii="Verdana" w:eastAsia="Times New Roman" w:hAnsi="Verdana" w:cs="Times New Roman"/>
                <w:color w:val="000000"/>
                <w:sz w:val="20"/>
                <w:szCs w:val="20"/>
                <w:lang w:eastAsia="es-CO"/>
              </w:rPr>
            </w:pPr>
            <w:r w:rsidRPr="00141D2F">
              <w:rPr>
                <w:rFonts w:ascii="Verdana" w:eastAsia="Times New Roman" w:hAnsi="Verdana" w:cs="Times New Roman"/>
                <w:color w:val="000000"/>
                <w:sz w:val="20"/>
                <w:szCs w:val="20"/>
                <w:lang w:eastAsia="es-CO"/>
              </w:rPr>
              <w:t>33</w:t>
            </w:r>
          </w:p>
        </w:tc>
        <w:tc>
          <w:tcPr>
            <w:tcW w:w="1090" w:type="pct"/>
            <w:tcBorders>
              <w:top w:val="nil"/>
              <w:left w:val="nil"/>
              <w:bottom w:val="single" w:sz="4" w:space="0" w:color="FFFFFF"/>
              <w:right w:val="single" w:sz="4" w:space="0" w:color="FFFFFF"/>
            </w:tcBorders>
            <w:shd w:val="clear" w:color="DBE5F1" w:fill="DBE5F1"/>
            <w:hideMark/>
          </w:tcPr>
          <w:p w:rsidR="00AB08E1" w:rsidRPr="00141D2F" w:rsidRDefault="00AB08E1" w:rsidP="00F33CF6">
            <w:pPr>
              <w:spacing w:after="0" w:line="240" w:lineRule="auto"/>
              <w:jc w:val="center"/>
              <w:rPr>
                <w:rFonts w:ascii="Verdana" w:eastAsia="Times New Roman" w:hAnsi="Verdana" w:cs="Times New Roman"/>
                <w:color w:val="000000"/>
                <w:sz w:val="20"/>
                <w:szCs w:val="20"/>
                <w:lang w:eastAsia="es-CO"/>
              </w:rPr>
            </w:pPr>
            <w:r w:rsidRPr="00141D2F">
              <w:rPr>
                <w:rFonts w:ascii="Verdana" w:eastAsia="Times New Roman" w:hAnsi="Verdana" w:cs="Times New Roman"/>
                <w:color w:val="000000"/>
                <w:sz w:val="20"/>
                <w:szCs w:val="20"/>
                <w:lang w:eastAsia="es-CO"/>
              </w:rPr>
              <w:t>100%</w:t>
            </w:r>
          </w:p>
        </w:tc>
        <w:tc>
          <w:tcPr>
            <w:tcW w:w="1179" w:type="pct"/>
            <w:tcBorders>
              <w:top w:val="nil"/>
              <w:left w:val="nil"/>
              <w:bottom w:val="single" w:sz="4" w:space="0" w:color="FFFFFF"/>
              <w:right w:val="single" w:sz="4" w:space="0" w:color="FFFFFF"/>
            </w:tcBorders>
            <w:shd w:val="clear" w:color="DBE5F1" w:fill="DBE5F1"/>
            <w:hideMark/>
          </w:tcPr>
          <w:p w:rsidR="00AB08E1" w:rsidRPr="00141D2F" w:rsidRDefault="00AB08E1" w:rsidP="00F33CF6">
            <w:pPr>
              <w:spacing w:after="0" w:line="240" w:lineRule="auto"/>
              <w:jc w:val="both"/>
              <w:rPr>
                <w:rFonts w:ascii="Verdana" w:eastAsia="Times New Roman" w:hAnsi="Verdana" w:cs="Times New Roman"/>
                <w:color w:val="000000"/>
                <w:sz w:val="20"/>
                <w:szCs w:val="20"/>
                <w:lang w:eastAsia="es-CO"/>
              </w:rPr>
            </w:pPr>
            <w:r w:rsidRPr="00141D2F">
              <w:rPr>
                <w:rFonts w:ascii="Verdana" w:eastAsia="Times New Roman" w:hAnsi="Verdana" w:cs="Times New Roman"/>
                <w:color w:val="000000"/>
                <w:sz w:val="20"/>
                <w:szCs w:val="20"/>
                <w:lang w:eastAsia="es-CO"/>
              </w:rPr>
              <w:t>Optimo</w:t>
            </w:r>
          </w:p>
        </w:tc>
      </w:tr>
      <w:tr w:rsidR="00AB08E1" w:rsidRPr="00141D2F" w:rsidTr="00F33CF6">
        <w:trPr>
          <w:trHeight w:val="765"/>
        </w:trPr>
        <w:tc>
          <w:tcPr>
            <w:tcW w:w="1679" w:type="pct"/>
            <w:tcBorders>
              <w:top w:val="nil"/>
              <w:left w:val="nil"/>
              <w:bottom w:val="single" w:sz="4" w:space="0" w:color="FFFFFF"/>
              <w:right w:val="single" w:sz="4" w:space="0" w:color="FFFFFF"/>
            </w:tcBorders>
            <w:shd w:val="clear" w:color="B8CCE4" w:fill="B8CCE4"/>
            <w:hideMark/>
          </w:tcPr>
          <w:p w:rsidR="00AB08E1" w:rsidRPr="00141D2F" w:rsidRDefault="00AB08E1" w:rsidP="00F33CF6">
            <w:pPr>
              <w:spacing w:after="0" w:line="240" w:lineRule="auto"/>
              <w:jc w:val="both"/>
              <w:rPr>
                <w:rFonts w:ascii="Verdana" w:eastAsia="Times New Roman" w:hAnsi="Verdana" w:cs="Times New Roman"/>
                <w:color w:val="000000"/>
                <w:sz w:val="20"/>
                <w:szCs w:val="20"/>
                <w:lang w:eastAsia="es-CO"/>
              </w:rPr>
            </w:pPr>
            <w:r w:rsidRPr="00141D2F">
              <w:rPr>
                <w:rFonts w:ascii="Verdana" w:eastAsia="Times New Roman" w:hAnsi="Verdana" w:cs="Times New Roman"/>
                <w:color w:val="000000"/>
                <w:sz w:val="20"/>
                <w:szCs w:val="20"/>
                <w:lang w:eastAsia="es-CO"/>
              </w:rPr>
              <w:t>Porcentaje de quejas y reclamos solucionados oportunamente</w:t>
            </w:r>
          </w:p>
        </w:tc>
        <w:tc>
          <w:tcPr>
            <w:tcW w:w="1051" w:type="pct"/>
            <w:tcBorders>
              <w:top w:val="nil"/>
              <w:left w:val="nil"/>
              <w:bottom w:val="single" w:sz="4" w:space="0" w:color="FFFFFF"/>
              <w:right w:val="single" w:sz="4" w:space="0" w:color="FFFFFF"/>
            </w:tcBorders>
            <w:shd w:val="clear" w:color="B8CCE4" w:fill="B8CCE4"/>
            <w:hideMark/>
          </w:tcPr>
          <w:p w:rsidR="00AB08E1" w:rsidRPr="00141D2F" w:rsidRDefault="00AB08E1" w:rsidP="00F33CF6">
            <w:pPr>
              <w:spacing w:after="0" w:line="240" w:lineRule="auto"/>
              <w:jc w:val="center"/>
              <w:rPr>
                <w:rFonts w:ascii="Verdana" w:eastAsia="Times New Roman" w:hAnsi="Verdana" w:cs="Times New Roman"/>
                <w:color w:val="000000"/>
                <w:sz w:val="20"/>
                <w:szCs w:val="20"/>
                <w:lang w:eastAsia="es-CO"/>
              </w:rPr>
            </w:pPr>
            <w:r w:rsidRPr="00141D2F">
              <w:rPr>
                <w:rFonts w:ascii="Verdana" w:eastAsia="Times New Roman" w:hAnsi="Verdana" w:cs="Times New Roman"/>
                <w:color w:val="000000"/>
                <w:sz w:val="20"/>
                <w:szCs w:val="20"/>
                <w:lang w:eastAsia="es-CO"/>
              </w:rPr>
              <w:t>100%</w:t>
            </w:r>
          </w:p>
        </w:tc>
        <w:tc>
          <w:tcPr>
            <w:tcW w:w="1090" w:type="pct"/>
            <w:tcBorders>
              <w:top w:val="nil"/>
              <w:left w:val="nil"/>
              <w:bottom w:val="single" w:sz="4" w:space="0" w:color="FFFFFF"/>
              <w:right w:val="single" w:sz="4" w:space="0" w:color="FFFFFF"/>
            </w:tcBorders>
            <w:shd w:val="clear" w:color="B8CCE4" w:fill="B8CCE4"/>
            <w:hideMark/>
          </w:tcPr>
          <w:p w:rsidR="00AB08E1" w:rsidRPr="00141D2F" w:rsidRDefault="00AB08E1" w:rsidP="00F33CF6">
            <w:pPr>
              <w:spacing w:after="0" w:line="240" w:lineRule="auto"/>
              <w:jc w:val="center"/>
              <w:rPr>
                <w:rFonts w:ascii="Verdana" w:eastAsia="Times New Roman" w:hAnsi="Verdana" w:cs="Times New Roman"/>
                <w:color w:val="000000"/>
                <w:sz w:val="20"/>
                <w:szCs w:val="20"/>
                <w:lang w:eastAsia="es-CO"/>
              </w:rPr>
            </w:pPr>
            <w:r w:rsidRPr="00141D2F">
              <w:rPr>
                <w:rFonts w:ascii="Verdana" w:eastAsia="Times New Roman" w:hAnsi="Verdana" w:cs="Times New Roman"/>
                <w:color w:val="000000"/>
                <w:sz w:val="20"/>
                <w:szCs w:val="20"/>
                <w:lang w:eastAsia="es-CO"/>
              </w:rPr>
              <w:t>88%</w:t>
            </w:r>
          </w:p>
        </w:tc>
        <w:tc>
          <w:tcPr>
            <w:tcW w:w="1179" w:type="pct"/>
            <w:tcBorders>
              <w:top w:val="nil"/>
              <w:left w:val="nil"/>
              <w:bottom w:val="single" w:sz="4" w:space="0" w:color="FFFFFF"/>
              <w:right w:val="single" w:sz="4" w:space="0" w:color="FFFFFF"/>
            </w:tcBorders>
            <w:shd w:val="clear" w:color="B8CCE4" w:fill="B8CCE4"/>
            <w:hideMark/>
          </w:tcPr>
          <w:p w:rsidR="00AB08E1" w:rsidRPr="00141D2F" w:rsidRDefault="00AB08E1" w:rsidP="00F33CF6">
            <w:pPr>
              <w:spacing w:after="0" w:line="240" w:lineRule="auto"/>
              <w:jc w:val="both"/>
              <w:rPr>
                <w:rFonts w:ascii="Verdana" w:eastAsia="Times New Roman" w:hAnsi="Verdana" w:cs="Times New Roman"/>
                <w:color w:val="000000"/>
                <w:sz w:val="20"/>
                <w:szCs w:val="20"/>
                <w:lang w:eastAsia="es-CO"/>
              </w:rPr>
            </w:pPr>
            <w:r w:rsidRPr="00141D2F">
              <w:rPr>
                <w:rFonts w:ascii="Verdana" w:eastAsia="Times New Roman" w:hAnsi="Verdana" w:cs="Times New Roman"/>
                <w:color w:val="000000"/>
                <w:sz w:val="20"/>
                <w:szCs w:val="20"/>
                <w:lang w:eastAsia="es-CO"/>
              </w:rPr>
              <w:t>En Riesgo</w:t>
            </w:r>
          </w:p>
        </w:tc>
      </w:tr>
      <w:tr w:rsidR="00AB08E1" w:rsidRPr="00141D2F" w:rsidTr="00F33CF6">
        <w:trPr>
          <w:trHeight w:val="1635"/>
        </w:trPr>
        <w:tc>
          <w:tcPr>
            <w:tcW w:w="1679" w:type="pct"/>
            <w:tcBorders>
              <w:top w:val="nil"/>
              <w:left w:val="nil"/>
              <w:bottom w:val="single" w:sz="4" w:space="0" w:color="FFFFFF"/>
              <w:right w:val="single" w:sz="4" w:space="0" w:color="FFFFFF"/>
            </w:tcBorders>
            <w:shd w:val="clear" w:color="DBE5F1" w:fill="DBE5F1"/>
            <w:hideMark/>
          </w:tcPr>
          <w:p w:rsidR="00AB08E1" w:rsidRPr="00141D2F" w:rsidRDefault="00AB08E1" w:rsidP="00F33CF6">
            <w:pPr>
              <w:spacing w:after="0" w:line="240" w:lineRule="auto"/>
              <w:jc w:val="both"/>
              <w:rPr>
                <w:rFonts w:ascii="Verdana" w:eastAsia="Times New Roman" w:hAnsi="Verdana" w:cs="Times New Roman"/>
                <w:color w:val="000000"/>
                <w:sz w:val="20"/>
                <w:szCs w:val="20"/>
                <w:lang w:eastAsia="es-CO"/>
              </w:rPr>
            </w:pPr>
            <w:r w:rsidRPr="00141D2F">
              <w:rPr>
                <w:rFonts w:ascii="Verdana" w:eastAsia="Times New Roman" w:hAnsi="Verdana" w:cs="Times New Roman"/>
                <w:color w:val="000000"/>
                <w:sz w:val="20"/>
                <w:szCs w:val="20"/>
                <w:lang w:eastAsia="es-CO"/>
              </w:rPr>
              <w:t>Número de instrumentos diseñados y en funcionamiento  que permitan realizar el seguimiento al cumplimiento progresivo de los derechos de los niños, niñas y adolescentes.</w:t>
            </w:r>
          </w:p>
        </w:tc>
        <w:tc>
          <w:tcPr>
            <w:tcW w:w="1051" w:type="pct"/>
            <w:tcBorders>
              <w:top w:val="nil"/>
              <w:left w:val="nil"/>
              <w:bottom w:val="single" w:sz="4" w:space="0" w:color="FFFFFF"/>
              <w:right w:val="single" w:sz="4" w:space="0" w:color="FFFFFF"/>
            </w:tcBorders>
            <w:shd w:val="clear" w:color="DBE5F1" w:fill="DBE5F1"/>
            <w:hideMark/>
          </w:tcPr>
          <w:p w:rsidR="00AB08E1" w:rsidRPr="00141D2F" w:rsidRDefault="00AB08E1" w:rsidP="00F33CF6">
            <w:pPr>
              <w:spacing w:after="0" w:line="240" w:lineRule="auto"/>
              <w:jc w:val="center"/>
              <w:rPr>
                <w:rFonts w:ascii="Verdana" w:eastAsia="Times New Roman" w:hAnsi="Verdana" w:cs="Times New Roman"/>
                <w:color w:val="000000"/>
                <w:sz w:val="20"/>
                <w:szCs w:val="20"/>
                <w:lang w:eastAsia="es-CO"/>
              </w:rPr>
            </w:pPr>
            <w:r w:rsidRPr="00141D2F">
              <w:rPr>
                <w:rFonts w:ascii="Verdana" w:eastAsia="Times New Roman" w:hAnsi="Verdana" w:cs="Times New Roman"/>
                <w:color w:val="000000"/>
                <w:sz w:val="20"/>
                <w:szCs w:val="20"/>
                <w:lang w:eastAsia="es-CO"/>
              </w:rPr>
              <w:t>3</w:t>
            </w:r>
          </w:p>
        </w:tc>
        <w:tc>
          <w:tcPr>
            <w:tcW w:w="1090" w:type="pct"/>
            <w:tcBorders>
              <w:top w:val="nil"/>
              <w:left w:val="nil"/>
              <w:bottom w:val="single" w:sz="4" w:space="0" w:color="FFFFFF"/>
              <w:right w:val="single" w:sz="4" w:space="0" w:color="FFFFFF"/>
            </w:tcBorders>
            <w:shd w:val="clear" w:color="DBE5F1" w:fill="DBE5F1"/>
            <w:hideMark/>
          </w:tcPr>
          <w:p w:rsidR="00AB08E1" w:rsidRPr="00141D2F" w:rsidRDefault="00AB08E1" w:rsidP="00F33CF6">
            <w:pPr>
              <w:spacing w:after="0" w:line="240" w:lineRule="auto"/>
              <w:jc w:val="center"/>
              <w:rPr>
                <w:rFonts w:ascii="Verdana" w:eastAsia="Times New Roman" w:hAnsi="Verdana" w:cs="Times New Roman"/>
                <w:color w:val="000000"/>
                <w:sz w:val="20"/>
                <w:szCs w:val="20"/>
                <w:lang w:eastAsia="es-CO"/>
              </w:rPr>
            </w:pPr>
            <w:r w:rsidRPr="00141D2F">
              <w:rPr>
                <w:rFonts w:ascii="Verdana" w:eastAsia="Times New Roman" w:hAnsi="Verdana" w:cs="Times New Roman"/>
                <w:color w:val="000000"/>
                <w:sz w:val="20"/>
                <w:szCs w:val="20"/>
                <w:lang w:eastAsia="es-CO"/>
              </w:rPr>
              <w:t>100%</w:t>
            </w:r>
          </w:p>
        </w:tc>
        <w:tc>
          <w:tcPr>
            <w:tcW w:w="1179" w:type="pct"/>
            <w:tcBorders>
              <w:top w:val="nil"/>
              <w:left w:val="nil"/>
              <w:bottom w:val="single" w:sz="4" w:space="0" w:color="FFFFFF"/>
              <w:right w:val="single" w:sz="4" w:space="0" w:color="FFFFFF"/>
            </w:tcBorders>
            <w:shd w:val="clear" w:color="DBE5F1" w:fill="DBE5F1"/>
            <w:hideMark/>
          </w:tcPr>
          <w:p w:rsidR="00AB08E1" w:rsidRPr="00141D2F" w:rsidRDefault="00AB08E1" w:rsidP="00F33CF6">
            <w:pPr>
              <w:spacing w:after="0" w:line="240" w:lineRule="auto"/>
              <w:jc w:val="both"/>
              <w:rPr>
                <w:rFonts w:ascii="Verdana" w:eastAsia="Times New Roman" w:hAnsi="Verdana" w:cs="Times New Roman"/>
                <w:color w:val="000000"/>
                <w:sz w:val="20"/>
                <w:szCs w:val="20"/>
                <w:lang w:eastAsia="es-CO"/>
              </w:rPr>
            </w:pPr>
            <w:r w:rsidRPr="00141D2F">
              <w:rPr>
                <w:rFonts w:ascii="Verdana" w:eastAsia="Times New Roman" w:hAnsi="Verdana" w:cs="Times New Roman"/>
                <w:color w:val="000000"/>
                <w:sz w:val="20"/>
                <w:szCs w:val="20"/>
                <w:lang w:eastAsia="es-CO"/>
              </w:rPr>
              <w:t>Optimo</w:t>
            </w:r>
          </w:p>
        </w:tc>
      </w:tr>
      <w:tr w:rsidR="00AB08E1" w:rsidRPr="00141D2F" w:rsidTr="00F33CF6">
        <w:trPr>
          <w:trHeight w:val="1020"/>
        </w:trPr>
        <w:tc>
          <w:tcPr>
            <w:tcW w:w="1679" w:type="pct"/>
            <w:tcBorders>
              <w:top w:val="nil"/>
              <w:left w:val="nil"/>
              <w:bottom w:val="single" w:sz="4" w:space="0" w:color="FFFFFF"/>
              <w:right w:val="single" w:sz="4" w:space="0" w:color="FFFFFF"/>
            </w:tcBorders>
            <w:shd w:val="clear" w:color="B8CCE4" w:fill="B8CCE4"/>
            <w:hideMark/>
          </w:tcPr>
          <w:p w:rsidR="00AB08E1" w:rsidRPr="00141D2F" w:rsidRDefault="00AB08E1" w:rsidP="00F33CF6">
            <w:pPr>
              <w:spacing w:after="0" w:line="240" w:lineRule="auto"/>
              <w:jc w:val="both"/>
              <w:rPr>
                <w:rFonts w:ascii="Verdana" w:eastAsia="Times New Roman" w:hAnsi="Verdana" w:cs="Times New Roman"/>
                <w:color w:val="000000"/>
                <w:sz w:val="20"/>
                <w:szCs w:val="20"/>
                <w:lang w:eastAsia="es-CO"/>
              </w:rPr>
            </w:pPr>
            <w:r w:rsidRPr="00141D2F">
              <w:rPr>
                <w:rFonts w:ascii="Verdana" w:eastAsia="Times New Roman" w:hAnsi="Verdana" w:cs="Times New Roman"/>
                <w:color w:val="000000"/>
                <w:sz w:val="20"/>
                <w:szCs w:val="20"/>
                <w:lang w:eastAsia="es-CO"/>
              </w:rPr>
              <w:t>Porcentaje de mesas públicas y eventos de rendición de cuentas realizadas</w:t>
            </w:r>
          </w:p>
        </w:tc>
        <w:tc>
          <w:tcPr>
            <w:tcW w:w="1051" w:type="pct"/>
            <w:tcBorders>
              <w:top w:val="nil"/>
              <w:left w:val="nil"/>
              <w:bottom w:val="single" w:sz="4" w:space="0" w:color="FFFFFF"/>
              <w:right w:val="single" w:sz="4" w:space="0" w:color="FFFFFF"/>
            </w:tcBorders>
            <w:shd w:val="clear" w:color="B8CCE4" w:fill="B8CCE4"/>
            <w:hideMark/>
          </w:tcPr>
          <w:p w:rsidR="00AB08E1" w:rsidRPr="00141D2F" w:rsidRDefault="00AB08E1" w:rsidP="00F33CF6">
            <w:pPr>
              <w:spacing w:after="0" w:line="240" w:lineRule="auto"/>
              <w:jc w:val="center"/>
              <w:rPr>
                <w:rFonts w:ascii="Verdana" w:eastAsia="Times New Roman" w:hAnsi="Verdana" w:cs="Times New Roman"/>
                <w:color w:val="000000"/>
                <w:sz w:val="20"/>
                <w:szCs w:val="20"/>
                <w:lang w:eastAsia="es-CO"/>
              </w:rPr>
            </w:pPr>
            <w:r w:rsidRPr="00141D2F">
              <w:rPr>
                <w:rFonts w:ascii="Verdana" w:eastAsia="Times New Roman" w:hAnsi="Verdana" w:cs="Times New Roman"/>
                <w:color w:val="000000"/>
                <w:sz w:val="20"/>
                <w:szCs w:val="20"/>
                <w:lang w:eastAsia="es-CO"/>
              </w:rPr>
              <w:t>100%</w:t>
            </w:r>
          </w:p>
        </w:tc>
        <w:tc>
          <w:tcPr>
            <w:tcW w:w="1090" w:type="pct"/>
            <w:tcBorders>
              <w:top w:val="nil"/>
              <w:left w:val="nil"/>
              <w:bottom w:val="single" w:sz="4" w:space="0" w:color="FFFFFF"/>
              <w:right w:val="single" w:sz="4" w:space="0" w:color="FFFFFF"/>
            </w:tcBorders>
            <w:shd w:val="clear" w:color="B8CCE4" w:fill="B8CCE4"/>
            <w:hideMark/>
          </w:tcPr>
          <w:p w:rsidR="00AB08E1" w:rsidRPr="00141D2F" w:rsidRDefault="00AB08E1" w:rsidP="00F33CF6">
            <w:pPr>
              <w:spacing w:after="0" w:line="240" w:lineRule="auto"/>
              <w:jc w:val="center"/>
              <w:rPr>
                <w:rFonts w:ascii="Verdana" w:eastAsia="Times New Roman" w:hAnsi="Verdana" w:cs="Times New Roman"/>
                <w:color w:val="000000"/>
                <w:sz w:val="20"/>
                <w:szCs w:val="20"/>
                <w:lang w:eastAsia="es-CO"/>
              </w:rPr>
            </w:pPr>
            <w:r w:rsidRPr="00141D2F">
              <w:rPr>
                <w:rFonts w:ascii="Verdana" w:eastAsia="Times New Roman" w:hAnsi="Verdana" w:cs="Times New Roman"/>
                <w:color w:val="000000"/>
                <w:sz w:val="20"/>
                <w:szCs w:val="20"/>
                <w:lang w:eastAsia="es-CO"/>
              </w:rPr>
              <w:t>100%</w:t>
            </w:r>
          </w:p>
        </w:tc>
        <w:tc>
          <w:tcPr>
            <w:tcW w:w="1179" w:type="pct"/>
            <w:tcBorders>
              <w:top w:val="nil"/>
              <w:left w:val="nil"/>
              <w:bottom w:val="single" w:sz="4" w:space="0" w:color="FFFFFF"/>
              <w:right w:val="single" w:sz="4" w:space="0" w:color="FFFFFF"/>
            </w:tcBorders>
            <w:shd w:val="clear" w:color="B8CCE4" w:fill="B8CCE4"/>
            <w:hideMark/>
          </w:tcPr>
          <w:p w:rsidR="00AB08E1" w:rsidRPr="00141D2F" w:rsidRDefault="00AB08E1" w:rsidP="00F33CF6">
            <w:pPr>
              <w:spacing w:after="0" w:line="240" w:lineRule="auto"/>
              <w:jc w:val="both"/>
              <w:rPr>
                <w:rFonts w:ascii="Verdana" w:eastAsia="Times New Roman" w:hAnsi="Verdana" w:cs="Times New Roman"/>
                <w:color w:val="000000"/>
                <w:sz w:val="20"/>
                <w:szCs w:val="20"/>
                <w:lang w:eastAsia="es-CO"/>
              </w:rPr>
            </w:pPr>
            <w:r w:rsidRPr="00141D2F">
              <w:rPr>
                <w:rFonts w:ascii="Verdana" w:eastAsia="Times New Roman" w:hAnsi="Verdana" w:cs="Times New Roman"/>
                <w:color w:val="000000"/>
                <w:sz w:val="20"/>
                <w:szCs w:val="20"/>
                <w:lang w:eastAsia="es-CO"/>
              </w:rPr>
              <w:t>Optimo</w:t>
            </w:r>
          </w:p>
        </w:tc>
      </w:tr>
      <w:tr w:rsidR="00AB08E1" w:rsidRPr="00141D2F" w:rsidTr="00F33CF6">
        <w:trPr>
          <w:trHeight w:val="765"/>
        </w:trPr>
        <w:tc>
          <w:tcPr>
            <w:tcW w:w="1679" w:type="pct"/>
            <w:tcBorders>
              <w:top w:val="nil"/>
              <w:left w:val="nil"/>
              <w:bottom w:val="single" w:sz="4" w:space="0" w:color="FFFFFF"/>
              <w:right w:val="single" w:sz="4" w:space="0" w:color="FFFFFF"/>
            </w:tcBorders>
            <w:shd w:val="clear" w:color="DBE5F1" w:fill="DBE5F1"/>
            <w:hideMark/>
          </w:tcPr>
          <w:p w:rsidR="00AB08E1" w:rsidRPr="00141D2F" w:rsidRDefault="00AB08E1" w:rsidP="00F33CF6">
            <w:pPr>
              <w:spacing w:after="0" w:line="240" w:lineRule="auto"/>
              <w:jc w:val="both"/>
              <w:rPr>
                <w:rFonts w:ascii="Verdana" w:eastAsia="Times New Roman" w:hAnsi="Verdana" w:cs="Times New Roman"/>
                <w:color w:val="000000"/>
                <w:sz w:val="20"/>
                <w:szCs w:val="20"/>
                <w:lang w:eastAsia="es-CO"/>
              </w:rPr>
            </w:pPr>
            <w:r w:rsidRPr="00141D2F">
              <w:rPr>
                <w:rFonts w:ascii="Verdana" w:eastAsia="Times New Roman" w:hAnsi="Verdana" w:cs="Times New Roman"/>
                <w:color w:val="000000"/>
                <w:sz w:val="20"/>
                <w:szCs w:val="20"/>
                <w:lang w:eastAsia="es-CO"/>
              </w:rPr>
              <w:t>Informes y/o reportes de gestión publicados en página web</w:t>
            </w:r>
          </w:p>
        </w:tc>
        <w:tc>
          <w:tcPr>
            <w:tcW w:w="1051" w:type="pct"/>
            <w:tcBorders>
              <w:top w:val="nil"/>
              <w:left w:val="nil"/>
              <w:bottom w:val="single" w:sz="4" w:space="0" w:color="FFFFFF"/>
              <w:right w:val="single" w:sz="4" w:space="0" w:color="FFFFFF"/>
            </w:tcBorders>
            <w:shd w:val="clear" w:color="DBE5F1" w:fill="DBE5F1"/>
            <w:hideMark/>
          </w:tcPr>
          <w:p w:rsidR="00AB08E1" w:rsidRPr="00141D2F" w:rsidRDefault="00AB08E1" w:rsidP="00F33CF6">
            <w:pPr>
              <w:spacing w:after="0" w:line="240" w:lineRule="auto"/>
              <w:jc w:val="center"/>
              <w:rPr>
                <w:rFonts w:ascii="Verdana" w:eastAsia="Times New Roman" w:hAnsi="Verdana" w:cs="Times New Roman"/>
                <w:color w:val="000000"/>
                <w:sz w:val="20"/>
                <w:szCs w:val="20"/>
                <w:lang w:eastAsia="es-CO"/>
              </w:rPr>
            </w:pPr>
            <w:r w:rsidRPr="00141D2F">
              <w:rPr>
                <w:rFonts w:ascii="Verdana" w:eastAsia="Times New Roman" w:hAnsi="Verdana" w:cs="Times New Roman"/>
                <w:color w:val="000000"/>
                <w:sz w:val="20"/>
                <w:szCs w:val="20"/>
                <w:lang w:eastAsia="es-CO"/>
              </w:rPr>
              <w:t>8</w:t>
            </w:r>
          </w:p>
        </w:tc>
        <w:tc>
          <w:tcPr>
            <w:tcW w:w="1090" w:type="pct"/>
            <w:tcBorders>
              <w:top w:val="nil"/>
              <w:left w:val="nil"/>
              <w:bottom w:val="single" w:sz="4" w:space="0" w:color="FFFFFF"/>
              <w:right w:val="single" w:sz="4" w:space="0" w:color="FFFFFF"/>
            </w:tcBorders>
            <w:shd w:val="clear" w:color="DBE5F1" w:fill="DBE5F1"/>
            <w:hideMark/>
          </w:tcPr>
          <w:p w:rsidR="00AB08E1" w:rsidRPr="00141D2F" w:rsidRDefault="00AB08E1" w:rsidP="00F33CF6">
            <w:pPr>
              <w:spacing w:after="0" w:line="240" w:lineRule="auto"/>
              <w:jc w:val="center"/>
              <w:rPr>
                <w:rFonts w:ascii="Verdana" w:eastAsia="Times New Roman" w:hAnsi="Verdana" w:cs="Times New Roman"/>
                <w:color w:val="000000"/>
                <w:sz w:val="20"/>
                <w:szCs w:val="20"/>
                <w:lang w:eastAsia="es-CO"/>
              </w:rPr>
            </w:pPr>
            <w:r w:rsidRPr="00141D2F">
              <w:rPr>
                <w:rFonts w:ascii="Verdana" w:eastAsia="Times New Roman" w:hAnsi="Verdana" w:cs="Times New Roman"/>
                <w:color w:val="000000"/>
                <w:sz w:val="20"/>
                <w:szCs w:val="20"/>
                <w:lang w:eastAsia="es-CO"/>
              </w:rPr>
              <w:t>100%</w:t>
            </w:r>
          </w:p>
        </w:tc>
        <w:tc>
          <w:tcPr>
            <w:tcW w:w="1179" w:type="pct"/>
            <w:tcBorders>
              <w:top w:val="nil"/>
              <w:left w:val="nil"/>
              <w:bottom w:val="single" w:sz="4" w:space="0" w:color="FFFFFF"/>
              <w:right w:val="single" w:sz="4" w:space="0" w:color="FFFFFF"/>
            </w:tcBorders>
            <w:shd w:val="clear" w:color="DBE5F1" w:fill="DBE5F1"/>
            <w:hideMark/>
          </w:tcPr>
          <w:p w:rsidR="00AB08E1" w:rsidRPr="00141D2F" w:rsidRDefault="00AB08E1" w:rsidP="00F33CF6">
            <w:pPr>
              <w:spacing w:after="0" w:line="240" w:lineRule="auto"/>
              <w:jc w:val="both"/>
              <w:rPr>
                <w:rFonts w:ascii="Verdana" w:eastAsia="Times New Roman" w:hAnsi="Verdana" w:cs="Times New Roman"/>
                <w:color w:val="000000"/>
                <w:sz w:val="20"/>
                <w:szCs w:val="20"/>
                <w:lang w:eastAsia="es-CO"/>
              </w:rPr>
            </w:pPr>
            <w:r w:rsidRPr="00141D2F">
              <w:rPr>
                <w:rFonts w:ascii="Verdana" w:eastAsia="Times New Roman" w:hAnsi="Verdana" w:cs="Times New Roman"/>
                <w:color w:val="000000"/>
                <w:sz w:val="20"/>
                <w:szCs w:val="20"/>
                <w:lang w:eastAsia="es-CO"/>
              </w:rPr>
              <w:t>Optimo</w:t>
            </w:r>
          </w:p>
        </w:tc>
      </w:tr>
    </w:tbl>
    <w:p w:rsidR="00AB08E1" w:rsidRDefault="00AB08E1" w:rsidP="00AB08E1">
      <w:pPr>
        <w:spacing w:after="0" w:line="240" w:lineRule="auto"/>
        <w:rPr>
          <w:rFonts w:ascii="Verdana" w:hAnsi="Verdana" w:cs="Arial"/>
          <w:b/>
          <w:sz w:val="16"/>
        </w:rPr>
      </w:pPr>
    </w:p>
    <w:p w:rsidR="00AB08E1" w:rsidRPr="00B16826" w:rsidRDefault="00AB08E1" w:rsidP="00AB08E1">
      <w:pPr>
        <w:spacing w:after="0" w:line="240" w:lineRule="auto"/>
        <w:jc w:val="right"/>
        <w:rPr>
          <w:rFonts w:ascii="Verdana" w:hAnsi="Verdana" w:cs="Arial"/>
          <w:sz w:val="16"/>
        </w:rPr>
      </w:pPr>
      <w:r>
        <w:rPr>
          <w:rFonts w:ascii="Verdana" w:hAnsi="Verdana" w:cs="Arial"/>
          <w:b/>
          <w:sz w:val="16"/>
        </w:rPr>
        <w:t>F</w:t>
      </w:r>
      <w:r w:rsidRPr="00B16826">
        <w:rPr>
          <w:rFonts w:ascii="Verdana" w:hAnsi="Verdana" w:cs="Arial"/>
          <w:b/>
          <w:sz w:val="16"/>
        </w:rPr>
        <w:t>uente:</w:t>
      </w:r>
      <w:r w:rsidRPr="00B16826">
        <w:rPr>
          <w:rFonts w:ascii="Verdana" w:hAnsi="Verdana" w:cs="Arial"/>
          <w:sz w:val="16"/>
        </w:rPr>
        <w:t xml:space="preserve"> Tablero de Control, corte diciembre de 2014. Dirección de Planeación y Control de la Gestión.</w:t>
      </w:r>
    </w:p>
    <w:p w:rsidR="00AB08E1" w:rsidRPr="00B16826" w:rsidRDefault="00AB08E1" w:rsidP="00AB08E1">
      <w:pPr>
        <w:spacing w:after="0" w:line="240" w:lineRule="auto"/>
        <w:jc w:val="center"/>
        <w:rPr>
          <w:rFonts w:ascii="Verdana" w:hAnsi="Verdana" w:cs="Arial"/>
          <w:sz w:val="16"/>
        </w:rPr>
      </w:pPr>
    </w:p>
    <w:p w:rsidR="00AB08E1" w:rsidRPr="00B16826" w:rsidRDefault="00AB08E1" w:rsidP="00AB08E1">
      <w:pPr>
        <w:spacing w:after="0" w:line="240" w:lineRule="auto"/>
        <w:jc w:val="both"/>
        <w:rPr>
          <w:rFonts w:ascii="Verdana" w:hAnsi="Verdana" w:cs="Arial"/>
          <w:sz w:val="24"/>
          <w:szCs w:val="24"/>
        </w:rPr>
      </w:pPr>
    </w:p>
    <w:p w:rsidR="00AB08E1" w:rsidRPr="00141D2F" w:rsidRDefault="00AB08E1" w:rsidP="00AB08E1">
      <w:pPr>
        <w:spacing w:after="0" w:line="240" w:lineRule="auto"/>
        <w:jc w:val="both"/>
        <w:rPr>
          <w:rFonts w:ascii="Verdana" w:hAnsi="Verdana" w:cs="Arial"/>
          <w:b/>
          <w:color w:val="4F81BD" w:themeColor="accent1"/>
          <w:sz w:val="24"/>
          <w:szCs w:val="24"/>
        </w:rPr>
      </w:pPr>
      <w:r w:rsidRPr="00141D2F">
        <w:rPr>
          <w:rFonts w:ascii="Verdana" w:hAnsi="Verdana" w:cs="Arial"/>
          <w:b/>
          <w:color w:val="4F81BD" w:themeColor="accent1"/>
          <w:sz w:val="24"/>
          <w:szCs w:val="24"/>
        </w:rPr>
        <w:t xml:space="preserve">Transparencia y Acceso a la Información Pública </w:t>
      </w:r>
    </w:p>
    <w:p w:rsidR="00AB08E1" w:rsidRPr="00B16826" w:rsidRDefault="00AB08E1" w:rsidP="00AB08E1">
      <w:pPr>
        <w:spacing w:after="0" w:line="240" w:lineRule="auto"/>
        <w:jc w:val="both"/>
        <w:rPr>
          <w:rFonts w:ascii="Verdana" w:hAnsi="Verdana" w:cs="Arial"/>
          <w:b/>
          <w:sz w:val="24"/>
          <w:szCs w:val="24"/>
        </w:rPr>
      </w:pPr>
    </w:p>
    <w:p w:rsidR="00AB08E1" w:rsidRPr="00B16826" w:rsidRDefault="00AB08E1" w:rsidP="00AB08E1">
      <w:pPr>
        <w:spacing w:after="0" w:line="240" w:lineRule="auto"/>
        <w:jc w:val="both"/>
        <w:rPr>
          <w:rFonts w:ascii="Verdana" w:hAnsi="Verdana" w:cs="Arial"/>
          <w:sz w:val="24"/>
          <w:szCs w:val="24"/>
        </w:rPr>
      </w:pPr>
      <w:r w:rsidRPr="00B16826">
        <w:rPr>
          <w:rFonts w:ascii="Verdana" w:hAnsi="Verdana" w:cs="Arial"/>
          <w:sz w:val="24"/>
          <w:szCs w:val="24"/>
        </w:rPr>
        <w:t xml:space="preserve">El derecho de acceso a la información genera la obligación correlativa de divulgar activamente la información pública y responder de buena fe, de manera adecuada, veraz, oportuna y accesible a las solicitudes. Ante dicho postulado, el ICBF a través de la página web </w:t>
      </w:r>
      <w:hyperlink r:id="rId83" w:history="1">
        <w:r w:rsidRPr="00B16826">
          <w:rPr>
            <w:rStyle w:val="Hipervnculo"/>
            <w:rFonts w:ascii="Verdana" w:hAnsi="Verdana" w:cs="Arial"/>
            <w:sz w:val="24"/>
            <w:szCs w:val="24"/>
          </w:rPr>
          <w:t>http://www.icbf.gov.co/portal/page/portal/PortalICBF</w:t>
        </w:r>
      </w:hyperlink>
      <w:r w:rsidRPr="00B16826">
        <w:rPr>
          <w:rFonts w:ascii="Verdana" w:hAnsi="Verdana" w:cs="Arial"/>
          <w:sz w:val="24"/>
          <w:szCs w:val="24"/>
        </w:rPr>
        <w:t>, proporciona información pertinente como informes de gestión institucional, informes trimestrales de resultado de los macro procesos / procesos, resultados de indicadores, plan de acción, plan indicativo, mapa de riesgos de corrupción, los informes de rendición de cuentas, al igual que los lineamientos técnicos administrativos misionales, garantizando al ciudadano un fácil acceso a la información. El cumplimiento de este componente se encuentra articulado y reflejado adicionalmente, a través del desarrollo de la política de Gestión Misional y de Gobierno y de los componentes de la política Eficiencia Administrativa tales como racionalización de trámites, gestión de tecnología de información y gestión documental.</w:t>
      </w:r>
    </w:p>
    <w:p w:rsidR="00AB08E1" w:rsidRPr="00B16826" w:rsidRDefault="00AB08E1" w:rsidP="00AB08E1">
      <w:pPr>
        <w:shd w:val="clear" w:color="auto" w:fill="FFFFFF"/>
        <w:spacing w:after="0" w:line="240" w:lineRule="auto"/>
        <w:jc w:val="both"/>
        <w:rPr>
          <w:rFonts w:ascii="Verdana" w:hAnsi="Verdana" w:cs="Arial"/>
          <w:sz w:val="24"/>
          <w:szCs w:val="24"/>
        </w:rPr>
      </w:pPr>
    </w:p>
    <w:p w:rsidR="00AB08E1" w:rsidRPr="00B16826" w:rsidRDefault="00AB08E1" w:rsidP="00AB08E1">
      <w:pPr>
        <w:shd w:val="clear" w:color="auto" w:fill="FFFFFF"/>
        <w:spacing w:after="0" w:line="240" w:lineRule="auto"/>
        <w:jc w:val="both"/>
        <w:rPr>
          <w:rFonts w:ascii="Verdana" w:hAnsi="Verdana" w:cs="Arial"/>
          <w:sz w:val="24"/>
          <w:szCs w:val="24"/>
        </w:rPr>
      </w:pPr>
      <w:r w:rsidRPr="00B16826">
        <w:rPr>
          <w:rFonts w:ascii="Verdana" w:hAnsi="Verdana" w:cs="Arial"/>
          <w:sz w:val="24"/>
          <w:szCs w:val="24"/>
        </w:rPr>
        <w:t>Con base en los lineamientos y acompañamiento del Departamento Administrativo de la Función Pública y el Ministerio de Tecnologías de la Información y las Comunicaciones (Gobierno en Línea) y, atendiendo a la Ley 1712 de 2014, mediante la cual se crea la ley de transparencia y derecho de acceso a la información pública nacional, se desarrollaron espacios de socialización al interior del ICBF y sus Direcciones reiterando la importancia que tiene para la Entidad el cumplimiento y publicación de la información a la ciudadanía y definiendo la Información mínima a publicar por cada área.</w:t>
      </w:r>
    </w:p>
    <w:p w:rsidR="00AB08E1" w:rsidRPr="00B16826" w:rsidRDefault="00AB08E1" w:rsidP="00AB08E1">
      <w:pPr>
        <w:shd w:val="clear" w:color="auto" w:fill="FFFFFF"/>
        <w:spacing w:after="0" w:line="240" w:lineRule="auto"/>
        <w:jc w:val="both"/>
        <w:rPr>
          <w:rFonts w:ascii="Verdana" w:hAnsi="Verdana" w:cs="Arial"/>
          <w:sz w:val="24"/>
          <w:szCs w:val="24"/>
        </w:rPr>
      </w:pPr>
    </w:p>
    <w:p w:rsidR="00AB08E1" w:rsidRPr="00B16826" w:rsidRDefault="00AB08E1" w:rsidP="00AB08E1">
      <w:pPr>
        <w:shd w:val="clear" w:color="auto" w:fill="FFFFFF"/>
        <w:spacing w:after="0" w:line="240" w:lineRule="auto"/>
        <w:jc w:val="both"/>
        <w:rPr>
          <w:rFonts w:ascii="Verdana" w:hAnsi="Verdana" w:cs="Arial"/>
          <w:sz w:val="24"/>
          <w:szCs w:val="24"/>
        </w:rPr>
      </w:pPr>
      <w:r w:rsidRPr="00B16826">
        <w:rPr>
          <w:rFonts w:ascii="Verdana" w:hAnsi="Verdana" w:cs="Arial"/>
          <w:sz w:val="24"/>
          <w:szCs w:val="24"/>
        </w:rPr>
        <w:t xml:space="preserve">Complementariamente, en Comité de Desarrollo Administrativo </w:t>
      </w:r>
      <w:r w:rsidRPr="00505D3B">
        <w:rPr>
          <w:rFonts w:ascii="Verdana" w:hAnsi="Verdana" w:cs="Arial"/>
          <w:sz w:val="24"/>
          <w:szCs w:val="24"/>
        </w:rPr>
        <w:t>con corte a septiembre de 2014, se presentó la respectiva matriz de seguimiento a la información disponible en la WEB por la entidad, la cual presenta un avance aproximado del 70%. Para 2015 se contará con un nuevo cr</w:t>
      </w:r>
      <w:r w:rsidRPr="00B16826">
        <w:rPr>
          <w:rFonts w:ascii="Verdana" w:hAnsi="Verdana" w:cs="Arial"/>
          <w:sz w:val="24"/>
          <w:szCs w:val="24"/>
        </w:rPr>
        <w:t>onograma que permita establecer los periodos requeridos para el total cumplimiento de la meta de disponibilidad de la información pública.</w:t>
      </w:r>
    </w:p>
    <w:p w:rsidR="00AB08E1" w:rsidRPr="00B16826" w:rsidRDefault="00AB08E1" w:rsidP="00AB08E1">
      <w:pPr>
        <w:spacing w:after="0" w:line="240" w:lineRule="auto"/>
        <w:rPr>
          <w:rFonts w:ascii="Verdana" w:hAnsi="Verdana" w:cs="Arial"/>
          <w:b/>
          <w:sz w:val="24"/>
          <w:szCs w:val="24"/>
        </w:rPr>
      </w:pPr>
    </w:p>
    <w:p w:rsidR="00AB08E1" w:rsidRPr="00141D2F" w:rsidRDefault="00AB08E1" w:rsidP="00AB08E1">
      <w:pPr>
        <w:spacing w:after="0" w:line="240" w:lineRule="auto"/>
        <w:jc w:val="both"/>
        <w:rPr>
          <w:rFonts w:ascii="Verdana" w:hAnsi="Verdana" w:cs="Arial"/>
          <w:b/>
          <w:color w:val="4F81BD" w:themeColor="accent1"/>
          <w:sz w:val="24"/>
          <w:szCs w:val="24"/>
        </w:rPr>
      </w:pPr>
      <w:r w:rsidRPr="00141D2F">
        <w:rPr>
          <w:rFonts w:ascii="Verdana" w:hAnsi="Verdana" w:cs="Arial"/>
          <w:b/>
          <w:color w:val="4F81BD" w:themeColor="accent1"/>
          <w:sz w:val="24"/>
          <w:szCs w:val="24"/>
        </w:rPr>
        <w:t>Participación Ciudadana</w:t>
      </w:r>
    </w:p>
    <w:p w:rsidR="00AB08E1" w:rsidRPr="00B16826" w:rsidRDefault="00AB08E1" w:rsidP="00AB08E1">
      <w:pPr>
        <w:spacing w:after="0" w:line="240" w:lineRule="auto"/>
        <w:rPr>
          <w:rFonts w:ascii="Verdana" w:hAnsi="Verdana" w:cs="Arial"/>
          <w:b/>
          <w:sz w:val="24"/>
          <w:szCs w:val="24"/>
          <w:highlight w:val="magenta"/>
        </w:rPr>
      </w:pPr>
    </w:p>
    <w:p w:rsidR="00AB08E1" w:rsidRPr="00B16826" w:rsidRDefault="00AB08E1" w:rsidP="00AB08E1">
      <w:pPr>
        <w:autoSpaceDE w:val="0"/>
        <w:autoSpaceDN w:val="0"/>
        <w:adjustRightInd w:val="0"/>
        <w:spacing w:after="0" w:line="240" w:lineRule="auto"/>
        <w:jc w:val="both"/>
        <w:rPr>
          <w:rFonts w:ascii="Verdana" w:eastAsia="Times New Roman" w:hAnsi="Verdana" w:cs="Arial"/>
          <w:color w:val="000000"/>
          <w:sz w:val="24"/>
          <w:szCs w:val="24"/>
        </w:rPr>
      </w:pPr>
      <w:r w:rsidRPr="00B16826">
        <w:rPr>
          <w:rFonts w:ascii="Verdana" w:eastAsia="Times New Roman" w:hAnsi="Verdana" w:cs="Arial"/>
          <w:color w:val="000000"/>
          <w:sz w:val="24"/>
          <w:szCs w:val="24"/>
        </w:rPr>
        <w:t>Durante la vigencia 2014 se adelantaron las siguientes acciones:</w:t>
      </w:r>
    </w:p>
    <w:p w:rsidR="00AB08E1" w:rsidRPr="00B16826" w:rsidRDefault="00AB08E1" w:rsidP="00AB08E1">
      <w:pPr>
        <w:autoSpaceDE w:val="0"/>
        <w:autoSpaceDN w:val="0"/>
        <w:adjustRightInd w:val="0"/>
        <w:spacing w:after="0" w:line="240" w:lineRule="auto"/>
        <w:jc w:val="both"/>
        <w:rPr>
          <w:rFonts w:ascii="Verdana" w:eastAsia="Times New Roman" w:hAnsi="Verdana" w:cs="Arial"/>
          <w:color w:val="000000"/>
          <w:sz w:val="24"/>
          <w:szCs w:val="24"/>
        </w:rPr>
      </w:pPr>
    </w:p>
    <w:p w:rsidR="00AB08E1" w:rsidRPr="00141D2F" w:rsidRDefault="00AB08E1" w:rsidP="00AB08E1">
      <w:pPr>
        <w:autoSpaceDE w:val="0"/>
        <w:autoSpaceDN w:val="0"/>
        <w:adjustRightInd w:val="0"/>
        <w:spacing w:after="0" w:line="240" w:lineRule="auto"/>
        <w:jc w:val="both"/>
        <w:rPr>
          <w:rFonts w:ascii="Verdana" w:hAnsi="Verdana" w:cs="Arial"/>
          <w:color w:val="000000"/>
          <w:sz w:val="24"/>
          <w:szCs w:val="24"/>
        </w:rPr>
      </w:pPr>
      <w:r w:rsidRPr="00141D2F">
        <w:rPr>
          <w:rFonts w:ascii="Verdana" w:hAnsi="Verdana" w:cs="Arial"/>
          <w:color w:val="000000"/>
          <w:sz w:val="24"/>
          <w:szCs w:val="24"/>
        </w:rPr>
        <w:t>Desarrollo de la serie</w:t>
      </w:r>
      <w:r w:rsidRPr="00141D2F">
        <w:rPr>
          <w:rFonts w:ascii="Verdana" w:hAnsi="Verdana" w:cs="Arial"/>
          <w:b/>
          <w:i/>
          <w:color w:val="000000"/>
          <w:sz w:val="24"/>
          <w:szCs w:val="24"/>
        </w:rPr>
        <w:t xml:space="preserve"> </w:t>
      </w:r>
      <w:r w:rsidRPr="00141D2F">
        <w:rPr>
          <w:rFonts w:ascii="Verdana" w:hAnsi="Verdana" w:cs="Arial"/>
          <w:i/>
          <w:color w:val="000000"/>
          <w:sz w:val="24"/>
          <w:szCs w:val="24"/>
        </w:rPr>
        <w:t>Herramientas de Participación</w:t>
      </w:r>
      <w:r w:rsidRPr="00141D2F">
        <w:rPr>
          <w:rFonts w:ascii="Verdana" w:hAnsi="Verdana" w:cs="Arial"/>
          <w:b/>
          <w:i/>
          <w:color w:val="000000"/>
          <w:sz w:val="24"/>
          <w:szCs w:val="24"/>
        </w:rPr>
        <w:t>.</w:t>
      </w:r>
      <w:r w:rsidRPr="00141D2F">
        <w:rPr>
          <w:rFonts w:ascii="Verdana" w:hAnsi="Verdana" w:cs="Arial"/>
          <w:color w:val="000000"/>
          <w:sz w:val="24"/>
          <w:szCs w:val="24"/>
        </w:rPr>
        <w:t xml:space="preserve"> </w:t>
      </w:r>
    </w:p>
    <w:p w:rsidR="00AB08E1" w:rsidRPr="00B16826" w:rsidRDefault="00AB08E1" w:rsidP="00AB08E1">
      <w:pPr>
        <w:pStyle w:val="Prrafodelista"/>
        <w:numPr>
          <w:ilvl w:val="0"/>
          <w:numId w:val="118"/>
        </w:numPr>
        <w:autoSpaceDE w:val="0"/>
        <w:autoSpaceDN w:val="0"/>
        <w:adjustRightInd w:val="0"/>
        <w:spacing w:after="0" w:line="240" w:lineRule="auto"/>
        <w:jc w:val="both"/>
        <w:rPr>
          <w:rFonts w:ascii="Verdana" w:hAnsi="Verdana" w:cs="Arial"/>
          <w:sz w:val="24"/>
          <w:szCs w:val="24"/>
        </w:rPr>
      </w:pPr>
      <w:r w:rsidRPr="00B16826">
        <w:rPr>
          <w:rFonts w:ascii="Verdana" w:hAnsi="Verdana" w:cs="Arial"/>
          <w:color w:val="000000"/>
          <w:sz w:val="24"/>
          <w:szCs w:val="24"/>
        </w:rPr>
        <w:t xml:space="preserve">Publicación, distribución y socialización de las guías </w:t>
      </w:r>
      <w:r w:rsidRPr="00B16826">
        <w:rPr>
          <w:rFonts w:ascii="Verdana" w:hAnsi="Verdana" w:cs="Arial"/>
          <w:sz w:val="24"/>
          <w:szCs w:val="24"/>
        </w:rPr>
        <w:t>“Participación de niños, niñas y adolescentes en el Instituto Colombiano de Bienestar Familiar” y “Participación de niños, niñas y adolescentes en la gestión pública territorial”.</w:t>
      </w:r>
    </w:p>
    <w:p w:rsidR="00AB08E1" w:rsidRPr="00B16826" w:rsidRDefault="00AB08E1" w:rsidP="00AB08E1">
      <w:pPr>
        <w:pStyle w:val="Prrafodelista"/>
        <w:numPr>
          <w:ilvl w:val="0"/>
          <w:numId w:val="118"/>
        </w:numPr>
        <w:autoSpaceDE w:val="0"/>
        <w:autoSpaceDN w:val="0"/>
        <w:adjustRightInd w:val="0"/>
        <w:spacing w:after="0" w:line="240" w:lineRule="auto"/>
        <w:jc w:val="both"/>
        <w:rPr>
          <w:rFonts w:ascii="Verdana" w:hAnsi="Verdana" w:cs="Arial"/>
          <w:sz w:val="24"/>
          <w:szCs w:val="24"/>
        </w:rPr>
      </w:pPr>
      <w:r w:rsidRPr="00B16826">
        <w:rPr>
          <w:rFonts w:ascii="Verdana" w:hAnsi="Verdana" w:cs="Arial"/>
          <w:sz w:val="24"/>
          <w:szCs w:val="24"/>
        </w:rPr>
        <w:t>Diseño del documento “Indicadores de participación de niños, niñas y adolescentes” el cual en 2015 será socializado con la Mesa SUIN para su análisis.</w:t>
      </w:r>
    </w:p>
    <w:p w:rsidR="00AB08E1" w:rsidRPr="00B16826" w:rsidRDefault="00AB08E1" w:rsidP="00AB08E1">
      <w:pPr>
        <w:pStyle w:val="Prrafodelista"/>
        <w:numPr>
          <w:ilvl w:val="0"/>
          <w:numId w:val="118"/>
        </w:numPr>
        <w:autoSpaceDE w:val="0"/>
        <w:autoSpaceDN w:val="0"/>
        <w:adjustRightInd w:val="0"/>
        <w:spacing w:after="0" w:line="240" w:lineRule="auto"/>
        <w:jc w:val="both"/>
        <w:rPr>
          <w:rFonts w:ascii="Verdana" w:hAnsi="Verdana" w:cs="Arial"/>
          <w:sz w:val="24"/>
          <w:szCs w:val="24"/>
        </w:rPr>
      </w:pPr>
      <w:r w:rsidRPr="00B16826">
        <w:rPr>
          <w:rFonts w:ascii="Verdana" w:hAnsi="Verdana" w:cs="Arial"/>
          <w:sz w:val="24"/>
          <w:szCs w:val="24"/>
        </w:rPr>
        <w:t>Publicación de “Talleres de participación de niños, niñas y adolescentes en el desarrollo urbano” producto del acuerdo de cooperación entre ICBF y ONU Hábitat elaboradas en el marco del proyecto Ciudades Prósperas. Esta publicación, será distribuida y socializada en 2015 una vez se defina el plan de intervención en proyectos urbanos como “100.000 Viviendas Gratis”.</w:t>
      </w:r>
    </w:p>
    <w:p w:rsidR="00AB08E1" w:rsidRPr="00B16826" w:rsidRDefault="00AB08E1" w:rsidP="00AB08E1">
      <w:pPr>
        <w:autoSpaceDE w:val="0"/>
        <w:autoSpaceDN w:val="0"/>
        <w:adjustRightInd w:val="0"/>
        <w:spacing w:after="0" w:line="240" w:lineRule="auto"/>
        <w:ind w:left="360"/>
        <w:jc w:val="both"/>
        <w:rPr>
          <w:rFonts w:ascii="Verdana" w:hAnsi="Verdana" w:cs="Arial"/>
          <w:b/>
          <w:color w:val="000000"/>
          <w:sz w:val="24"/>
          <w:szCs w:val="24"/>
        </w:rPr>
      </w:pPr>
    </w:p>
    <w:p w:rsidR="00AB08E1" w:rsidRPr="00141D2F" w:rsidRDefault="00AB08E1" w:rsidP="00AB08E1">
      <w:pPr>
        <w:autoSpaceDE w:val="0"/>
        <w:autoSpaceDN w:val="0"/>
        <w:adjustRightInd w:val="0"/>
        <w:spacing w:after="0" w:line="240" w:lineRule="auto"/>
        <w:jc w:val="both"/>
        <w:rPr>
          <w:rFonts w:ascii="Verdana" w:hAnsi="Verdana" w:cs="Arial"/>
          <w:sz w:val="24"/>
          <w:szCs w:val="24"/>
        </w:rPr>
      </w:pPr>
      <w:r w:rsidRPr="00141D2F">
        <w:rPr>
          <w:rFonts w:ascii="Verdana" w:hAnsi="Verdana" w:cs="Arial"/>
          <w:color w:val="000000"/>
          <w:sz w:val="24"/>
          <w:szCs w:val="24"/>
        </w:rPr>
        <w:t>Asistencias técnicas:</w:t>
      </w:r>
    </w:p>
    <w:p w:rsidR="00AB08E1" w:rsidRPr="00B16826" w:rsidRDefault="00AB08E1" w:rsidP="00AB08E1">
      <w:pPr>
        <w:pStyle w:val="Prrafodelista"/>
        <w:autoSpaceDE w:val="0"/>
        <w:autoSpaceDN w:val="0"/>
        <w:adjustRightInd w:val="0"/>
        <w:spacing w:after="0" w:line="240" w:lineRule="auto"/>
        <w:ind w:left="284"/>
        <w:jc w:val="both"/>
        <w:rPr>
          <w:rFonts w:ascii="Verdana" w:hAnsi="Verdana" w:cs="Arial"/>
          <w:sz w:val="24"/>
          <w:szCs w:val="24"/>
        </w:rPr>
      </w:pPr>
    </w:p>
    <w:p w:rsidR="00AB08E1" w:rsidRPr="00B16826" w:rsidRDefault="00AB08E1" w:rsidP="00AB08E1">
      <w:pPr>
        <w:pStyle w:val="Prrafodelista"/>
        <w:numPr>
          <w:ilvl w:val="0"/>
          <w:numId w:val="118"/>
        </w:numPr>
        <w:autoSpaceDE w:val="0"/>
        <w:autoSpaceDN w:val="0"/>
        <w:adjustRightInd w:val="0"/>
        <w:spacing w:after="0" w:line="240" w:lineRule="auto"/>
        <w:ind w:left="709" w:hanging="284"/>
        <w:jc w:val="both"/>
        <w:rPr>
          <w:rFonts w:ascii="Verdana" w:hAnsi="Verdana" w:cs="Arial"/>
          <w:sz w:val="24"/>
          <w:szCs w:val="24"/>
        </w:rPr>
      </w:pPr>
      <w:r w:rsidRPr="00B16826">
        <w:rPr>
          <w:rFonts w:ascii="Verdana" w:hAnsi="Verdana" w:cs="Arial"/>
          <w:color w:val="000000"/>
          <w:sz w:val="24"/>
          <w:szCs w:val="24"/>
        </w:rPr>
        <w:t xml:space="preserve">Se realizaron siete talleres liderados por el SNBF, con las macro regiones, </w:t>
      </w:r>
      <w:r w:rsidRPr="00B16826">
        <w:rPr>
          <w:rFonts w:ascii="Verdana" w:hAnsi="Verdana" w:cs="Arial"/>
          <w:sz w:val="24"/>
          <w:szCs w:val="24"/>
        </w:rPr>
        <w:t>sobre la participación significativa y la conformación y consolidación de Mesas de Participación de Niños, Niñas y Adolescentes en municipios y departamentos.</w:t>
      </w:r>
    </w:p>
    <w:p w:rsidR="00AB08E1" w:rsidRPr="00B16826" w:rsidRDefault="00AB08E1" w:rsidP="00AB08E1">
      <w:pPr>
        <w:pStyle w:val="Prrafodelista"/>
        <w:numPr>
          <w:ilvl w:val="0"/>
          <w:numId w:val="118"/>
        </w:numPr>
        <w:autoSpaceDE w:val="0"/>
        <w:autoSpaceDN w:val="0"/>
        <w:adjustRightInd w:val="0"/>
        <w:spacing w:after="0" w:line="240" w:lineRule="auto"/>
        <w:jc w:val="both"/>
        <w:rPr>
          <w:rFonts w:ascii="Verdana" w:hAnsi="Verdana" w:cs="Arial"/>
          <w:sz w:val="24"/>
          <w:szCs w:val="24"/>
        </w:rPr>
      </w:pPr>
      <w:r w:rsidRPr="00B16826">
        <w:rPr>
          <w:rFonts w:ascii="Verdana" w:hAnsi="Verdana" w:cs="Arial"/>
          <w:sz w:val="24"/>
          <w:szCs w:val="24"/>
        </w:rPr>
        <w:t>Conformación de la Mesa de Participación de Niños, Niñas y Adolescentes en Atrato, Chocó.</w:t>
      </w:r>
    </w:p>
    <w:p w:rsidR="00AB08E1" w:rsidRPr="00B16826" w:rsidRDefault="00AB08E1" w:rsidP="00AB08E1">
      <w:pPr>
        <w:pStyle w:val="Prrafodelista"/>
        <w:numPr>
          <w:ilvl w:val="0"/>
          <w:numId w:val="118"/>
        </w:numPr>
        <w:autoSpaceDE w:val="0"/>
        <w:autoSpaceDN w:val="0"/>
        <w:adjustRightInd w:val="0"/>
        <w:spacing w:after="0" w:line="240" w:lineRule="auto"/>
        <w:jc w:val="both"/>
        <w:rPr>
          <w:rFonts w:ascii="Verdana" w:hAnsi="Verdana" w:cs="Arial"/>
          <w:sz w:val="24"/>
          <w:szCs w:val="24"/>
        </w:rPr>
      </w:pPr>
      <w:r w:rsidRPr="00B16826">
        <w:rPr>
          <w:rFonts w:ascii="Verdana" w:hAnsi="Verdana" w:cs="Arial"/>
          <w:sz w:val="24"/>
          <w:szCs w:val="24"/>
        </w:rPr>
        <w:t>D</w:t>
      </w:r>
      <w:r w:rsidRPr="00B16826">
        <w:rPr>
          <w:rFonts w:ascii="Verdana" w:hAnsi="Verdana" w:cs="Arial"/>
          <w:color w:val="000000"/>
          <w:sz w:val="24"/>
          <w:szCs w:val="24"/>
        </w:rPr>
        <w:t xml:space="preserve">esarrollo del protocolo de participación de niños, niñas y adolescentes víctimas del conflicto armado en convenio con la Unidad de Atención y Reparación Integral a Víctimas (UARIV) y del pilotaje del mismo en San Juan Nepomuceno, Pasto y Riohacha. </w:t>
      </w:r>
    </w:p>
    <w:p w:rsidR="00AB08E1" w:rsidRPr="00B16826" w:rsidRDefault="00AB08E1" w:rsidP="00AB08E1">
      <w:pPr>
        <w:pStyle w:val="Prrafodelista"/>
        <w:autoSpaceDE w:val="0"/>
        <w:autoSpaceDN w:val="0"/>
        <w:adjustRightInd w:val="0"/>
        <w:spacing w:after="0" w:line="240" w:lineRule="auto"/>
        <w:ind w:left="360"/>
        <w:jc w:val="both"/>
        <w:rPr>
          <w:rFonts w:ascii="Verdana" w:hAnsi="Verdana" w:cs="Arial"/>
          <w:sz w:val="24"/>
          <w:szCs w:val="24"/>
        </w:rPr>
      </w:pPr>
    </w:p>
    <w:p w:rsidR="00AB08E1" w:rsidRPr="00141D2F" w:rsidRDefault="00AB08E1" w:rsidP="00AB08E1">
      <w:pPr>
        <w:autoSpaceDE w:val="0"/>
        <w:autoSpaceDN w:val="0"/>
        <w:adjustRightInd w:val="0"/>
        <w:spacing w:after="0" w:line="240" w:lineRule="auto"/>
        <w:jc w:val="both"/>
        <w:rPr>
          <w:rFonts w:ascii="Verdana" w:hAnsi="Verdana" w:cs="Arial"/>
          <w:sz w:val="24"/>
          <w:szCs w:val="24"/>
        </w:rPr>
      </w:pPr>
      <w:r w:rsidRPr="00141D2F">
        <w:rPr>
          <w:rFonts w:ascii="Verdana" w:hAnsi="Verdana" w:cs="Arial"/>
          <w:color w:val="000000"/>
          <w:sz w:val="24"/>
          <w:szCs w:val="24"/>
        </w:rPr>
        <w:t xml:space="preserve">En el marco del desarrollo del plan de acción entre el ICBF y el Programa Presidencial Colombia Joven, y en un trabajo conjunto con otras entidades como la Procuraduría General de la Nación, la Federación Colombiana de Municipios y la Federación Colombiana de Departamentos, se elaboró una guía metodológica de las rendiciones públicas de cuentas territoriales, que se llevarán a cabo en municipios y departamentos en 2015. </w:t>
      </w:r>
      <w:r w:rsidRPr="00141D2F">
        <w:rPr>
          <w:rFonts w:ascii="Verdana" w:hAnsi="Verdana" w:cs="Arial"/>
          <w:sz w:val="24"/>
          <w:szCs w:val="24"/>
        </w:rPr>
        <w:t>Dicha guía incluye los pasos metodológicos para promover la participación de la primera infancia, la infancia, la adolescencia y la juventud en ejercicios de entidades territoriales (32 Departamentos y 1101 Municipios) durante el año 2015, cuando se llevarán a cabo procesos autónomos de Rendición Públicas de Cuentas.</w:t>
      </w:r>
    </w:p>
    <w:p w:rsidR="00AB08E1" w:rsidRPr="00B16826" w:rsidRDefault="00AB08E1" w:rsidP="00AB08E1">
      <w:pPr>
        <w:pStyle w:val="Prrafodelista"/>
        <w:autoSpaceDE w:val="0"/>
        <w:autoSpaceDN w:val="0"/>
        <w:adjustRightInd w:val="0"/>
        <w:spacing w:after="0" w:line="240" w:lineRule="auto"/>
        <w:ind w:left="284"/>
        <w:jc w:val="both"/>
        <w:rPr>
          <w:rFonts w:ascii="Verdana" w:hAnsi="Verdana" w:cs="Arial"/>
          <w:sz w:val="24"/>
          <w:szCs w:val="24"/>
        </w:rPr>
      </w:pPr>
    </w:p>
    <w:p w:rsidR="00AB08E1" w:rsidRPr="00141D2F" w:rsidRDefault="00AB08E1" w:rsidP="00AB08E1">
      <w:pPr>
        <w:autoSpaceDE w:val="0"/>
        <w:autoSpaceDN w:val="0"/>
        <w:adjustRightInd w:val="0"/>
        <w:spacing w:after="0" w:line="240" w:lineRule="auto"/>
        <w:jc w:val="both"/>
        <w:rPr>
          <w:rFonts w:ascii="Verdana" w:hAnsi="Verdana" w:cs="Arial"/>
          <w:b/>
          <w:bCs/>
          <w:sz w:val="24"/>
          <w:szCs w:val="24"/>
        </w:rPr>
      </w:pPr>
      <w:r w:rsidRPr="00141D2F">
        <w:rPr>
          <w:rFonts w:ascii="Verdana" w:hAnsi="Verdana" w:cs="Arial"/>
          <w:color w:val="000000"/>
          <w:sz w:val="24"/>
          <w:szCs w:val="24"/>
        </w:rPr>
        <w:t xml:space="preserve">Actualización del Plan de Acción de la Mesa Nacional de Participación de Niños, Niñas, Adolescentes y Jóvenes. </w:t>
      </w:r>
    </w:p>
    <w:p w:rsidR="00AB08E1" w:rsidRPr="00B16826" w:rsidRDefault="00AB08E1" w:rsidP="00AB08E1">
      <w:pPr>
        <w:spacing w:after="0" w:line="240" w:lineRule="auto"/>
        <w:rPr>
          <w:rFonts w:ascii="Verdana" w:hAnsi="Verdana" w:cs="Arial"/>
          <w:b/>
          <w:bCs/>
          <w:sz w:val="24"/>
          <w:szCs w:val="24"/>
        </w:rPr>
      </w:pPr>
    </w:p>
    <w:p w:rsidR="00AB08E1" w:rsidRPr="00141D2F" w:rsidRDefault="00AB08E1" w:rsidP="00AB08E1">
      <w:pPr>
        <w:autoSpaceDE w:val="0"/>
        <w:autoSpaceDN w:val="0"/>
        <w:adjustRightInd w:val="0"/>
        <w:spacing w:after="0" w:line="240" w:lineRule="auto"/>
        <w:jc w:val="both"/>
        <w:rPr>
          <w:rFonts w:ascii="Verdana" w:hAnsi="Verdana" w:cs="Arial"/>
          <w:b/>
          <w:bCs/>
          <w:sz w:val="24"/>
          <w:szCs w:val="24"/>
        </w:rPr>
      </w:pPr>
      <w:r w:rsidRPr="00141D2F">
        <w:rPr>
          <w:rFonts w:ascii="Verdana" w:hAnsi="Verdana" w:cs="Arial"/>
          <w:sz w:val="24"/>
          <w:szCs w:val="24"/>
        </w:rPr>
        <w:t>Participación de niños, niñas y adolescentes de Colombia en el II Foro Panamericano de Participación realizado en el marco del XXI Congreso Panamericano del niño, la niña y adolescentes en diciembre de 2014 en Brasil.</w:t>
      </w:r>
    </w:p>
    <w:p w:rsidR="00AB08E1" w:rsidRPr="00B16826" w:rsidRDefault="00AB08E1" w:rsidP="00AB08E1">
      <w:pPr>
        <w:pStyle w:val="Prrafodelista"/>
        <w:spacing w:after="0" w:line="240" w:lineRule="auto"/>
        <w:rPr>
          <w:rFonts w:ascii="Verdana" w:hAnsi="Verdana" w:cs="Arial"/>
          <w:b/>
          <w:bCs/>
          <w:sz w:val="24"/>
          <w:szCs w:val="24"/>
        </w:rPr>
      </w:pPr>
    </w:p>
    <w:p w:rsidR="00AB08E1" w:rsidRPr="00141D2F" w:rsidRDefault="00AB08E1" w:rsidP="00AB08E1">
      <w:pPr>
        <w:autoSpaceDE w:val="0"/>
        <w:autoSpaceDN w:val="0"/>
        <w:adjustRightInd w:val="0"/>
        <w:spacing w:after="0" w:line="240" w:lineRule="auto"/>
        <w:jc w:val="both"/>
        <w:rPr>
          <w:rFonts w:ascii="Verdana" w:hAnsi="Verdana" w:cs="Arial"/>
          <w:b/>
          <w:bCs/>
          <w:sz w:val="24"/>
          <w:szCs w:val="24"/>
        </w:rPr>
      </w:pPr>
      <w:r w:rsidRPr="00141D2F">
        <w:rPr>
          <w:rFonts w:ascii="Verdana" w:hAnsi="Verdana" w:cs="Arial"/>
          <w:sz w:val="24"/>
          <w:szCs w:val="24"/>
        </w:rPr>
        <w:t xml:space="preserve">32 ejercicios de Consulta Territorial entre septiembre y noviembre de 2014, para la construcción de insumos sobre primera infancia, infancia, adolescencia y juventud como aporte al documento de Bases del Plan Nacional de Desarrollo 2014-2018, con la participación de más de 1.700 personas de las diferentes regiones del país. </w:t>
      </w:r>
    </w:p>
    <w:p w:rsidR="00AB08E1" w:rsidRPr="00B16826" w:rsidRDefault="00AB08E1" w:rsidP="00AB08E1">
      <w:pPr>
        <w:pStyle w:val="Prrafodelista"/>
        <w:rPr>
          <w:rFonts w:ascii="Verdana" w:hAnsi="Verdana" w:cs="Arial"/>
          <w:b/>
          <w:bCs/>
          <w:sz w:val="24"/>
          <w:szCs w:val="24"/>
        </w:rPr>
      </w:pPr>
    </w:p>
    <w:p w:rsidR="00AB08E1" w:rsidRPr="00141D2F" w:rsidRDefault="00AB08E1" w:rsidP="00AB08E1">
      <w:pPr>
        <w:autoSpaceDE w:val="0"/>
        <w:autoSpaceDN w:val="0"/>
        <w:adjustRightInd w:val="0"/>
        <w:spacing w:after="0" w:line="240" w:lineRule="auto"/>
        <w:jc w:val="both"/>
        <w:rPr>
          <w:rFonts w:ascii="Verdana" w:hAnsi="Verdana" w:cs="Arial"/>
          <w:b/>
          <w:bCs/>
          <w:sz w:val="24"/>
          <w:szCs w:val="24"/>
        </w:rPr>
      </w:pPr>
      <w:r w:rsidRPr="00141D2F">
        <w:rPr>
          <w:rFonts w:ascii="Verdana" w:hAnsi="Verdana" w:cs="Arial"/>
          <w:sz w:val="24"/>
          <w:szCs w:val="24"/>
        </w:rPr>
        <w:t>Durante 2014, en el marco del convenio entre ICBF y la Corporación Somos Más, se adelantó el proyecto “</w:t>
      </w:r>
      <w:r w:rsidRPr="00141D2F">
        <w:rPr>
          <w:rFonts w:ascii="Verdana" w:hAnsi="Verdana" w:cs="Arial"/>
          <w:i/>
          <w:sz w:val="24"/>
          <w:szCs w:val="24"/>
        </w:rPr>
        <w:t>Participación Voces que Construyen”,</w:t>
      </w:r>
      <w:r w:rsidRPr="00141D2F">
        <w:rPr>
          <w:rFonts w:ascii="Verdana" w:hAnsi="Verdana" w:cs="Arial"/>
          <w:sz w:val="24"/>
          <w:szCs w:val="24"/>
        </w:rPr>
        <w:t xml:space="preserve"> el cual desarrolló iniciativas de intervención comunitaria por parte de niños, niñas y adolescentes conjuntamente con adultos de la sociedad civil e instituciones públicas.  </w:t>
      </w:r>
    </w:p>
    <w:p w:rsidR="00AB08E1" w:rsidRPr="00B16826" w:rsidRDefault="00AB08E1" w:rsidP="00AB08E1">
      <w:pPr>
        <w:spacing w:after="0" w:line="240" w:lineRule="auto"/>
        <w:rPr>
          <w:rFonts w:ascii="Verdana" w:hAnsi="Verdana" w:cs="Arial"/>
          <w:sz w:val="24"/>
          <w:szCs w:val="24"/>
        </w:rPr>
      </w:pPr>
    </w:p>
    <w:p w:rsidR="00AB08E1" w:rsidRDefault="00AB08E1" w:rsidP="00AB08E1">
      <w:pPr>
        <w:spacing w:after="0" w:line="240" w:lineRule="auto"/>
        <w:jc w:val="both"/>
        <w:rPr>
          <w:rFonts w:ascii="Verdana" w:hAnsi="Verdana" w:cs="Arial"/>
          <w:b/>
          <w:color w:val="4F81BD" w:themeColor="accent1"/>
          <w:sz w:val="24"/>
          <w:szCs w:val="24"/>
        </w:rPr>
      </w:pPr>
    </w:p>
    <w:p w:rsidR="00AB08E1" w:rsidRPr="00141D2F" w:rsidRDefault="00AB08E1" w:rsidP="00AB08E1">
      <w:pPr>
        <w:spacing w:after="0" w:line="240" w:lineRule="auto"/>
        <w:jc w:val="both"/>
        <w:rPr>
          <w:rFonts w:ascii="Verdana" w:hAnsi="Verdana" w:cs="Arial"/>
          <w:b/>
          <w:color w:val="4F81BD" w:themeColor="accent1"/>
          <w:sz w:val="24"/>
          <w:szCs w:val="24"/>
        </w:rPr>
      </w:pPr>
      <w:r w:rsidRPr="00141D2F">
        <w:rPr>
          <w:rFonts w:ascii="Verdana" w:hAnsi="Verdana" w:cs="Arial"/>
          <w:b/>
          <w:color w:val="4F81BD" w:themeColor="accent1"/>
          <w:sz w:val="24"/>
          <w:szCs w:val="24"/>
        </w:rPr>
        <w:t>Rendición de cuentas</w:t>
      </w:r>
    </w:p>
    <w:p w:rsidR="00AB08E1" w:rsidRPr="00B16826" w:rsidRDefault="00AB08E1" w:rsidP="00AB08E1">
      <w:pPr>
        <w:spacing w:after="0" w:line="240" w:lineRule="auto"/>
        <w:rPr>
          <w:rFonts w:ascii="Verdana" w:hAnsi="Verdana" w:cs="Arial"/>
          <w:sz w:val="24"/>
          <w:szCs w:val="24"/>
        </w:rPr>
      </w:pPr>
    </w:p>
    <w:p w:rsidR="00AB08E1" w:rsidRPr="00B16826" w:rsidRDefault="00AB08E1" w:rsidP="00AB08E1">
      <w:pPr>
        <w:spacing w:after="0" w:line="240" w:lineRule="auto"/>
        <w:jc w:val="both"/>
        <w:rPr>
          <w:rFonts w:ascii="Verdana" w:hAnsi="Verdana" w:cs="Arial"/>
          <w:sz w:val="24"/>
          <w:szCs w:val="24"/>
        </w:rPr>
      </w:pPr>
      <w:r w:rsidRPr="00B16826">
        <w:rPr>
          <w:rFonts w:ascii="Verdana" w:hAnsi="Verdana" w:cs="Arial"/>
          <w:sz w:val="24"/>
          <w:szCs w:val="24"/>
        </w:rPr>
        <w:t>La política de rendición de cuentas y su implementación en el ICBF se desarrolló durante el año 2014, con base en los resultados, avances y dificultades identificadas en el año 2013 y se fortaleció con las recomendaciones hechas por el Departamento Administrativo de la Función Pública y el Departamento Nacional de Planeación, entregadas en enero del 2014 a los Directores Regionales y Coordinadores de Planeación y Asistencia Técnica de la entidad. Como resultado de lo anterior, se destacan entre otras las siguientes acciones realizadas:</w:t>
      </w:r>
    </w:p>
    <w:p w:rsidR="00AB08E1" w:rsidRPr="00B16826" w:rsidRDefault="00AB08E1" w:rsidP="00AB08E1">
      <w:pPr>
        <w:spacing w:after="0" w:line="240" w:lineRule="auto"/>
        <w:jc w:val="both"/>
        <w:rPr>
          <w:rFonts w:ascii="Verdana" w:hAnsi="Verdana" w:cs="Arial"/>
          <w:sz w:val="24"/>
          <w:szCs w:val="24"/>
        </w:rPr>
      </w:pPr>
    </w:p>
    <w:p w:rsidR="00AB08E1" w:rsidRPr="00B16826" w:rsidRDefault="00AB08E1" w:rsidP="00AB08E1">
      <w:pPr>
        <w:pStyle w:val="Prrafodelista"/>
        <w:numPr>
          <w:ilvl w:val="0"/>
          <w:numId w:val="115"/>
        </w:numPr>
        <w:spacing w:after="0" w:line="240" w:lineRule="auto"/>
        <w:ind w:left="284" w:hanging="284"/>
        <w:contextualSpacing w:val="0"/>
        <w:jc w:val="both"/>
        <w:rPr>
          <w:rFonts w:ascii="Verdana" w:hAnsi="Verdana" w:cs="Arial"/>
          <w:sz w:val="24"/>
          <w:szCs w:val="24"/>
        </w:rPr>
      </w:pPr>
      <w:r w:rsidRPr="00B16826">
        <w:rPr>
          <w:rFonts w:ascii="Verdana" w:hAnsi="Verdana" w:cs="Arial"/>
          <w:sz w:val="24"/>
          <w:szCs w:val="24"/>
        </w:rPr>
        <w:t>Se diseñaron estrategias orientadas a fortalecer el proceso de rendición de cuentas y mesas públicas, sus procedimientos y actividades, apoyándose en un sistema de monitoreo, evaluación e información orientado sobre el diálogo, la información oportuna y las respuestas a los requerimientos de la comunidad.</w:t>
      </w:r>
    </w:p>
    <w:p w:rsidR="00AB08E1" w:rsidRPr="00B16826" w:rsidRDefault="00AB08E1" w:rsidP="00AB08E1">
      <w:pPr>
        <w:pStyle w:val="Prrafodelista"/>
        <w:numPr>
          <w:ilvl w:val="0"/>
          <w:numId w:val="115"/>
        </w:numPr>
        <w:spacing w:after="0" w:line="240" w:lineRule="auto"/>
        <w:ind w:left="284" w:hanging="284"/>
        <w:contextualSpacing w:val="0"/>
        <w:jc w:val="both"/>
        <w:rPr>
          <w:rFonts w:ascii="Verdana" w:hAnsi="Verdana" w:cs="Arial"/>
          <w:sz w:val="24"/>
          <w:szCs w:val="24"/>
        </w:rPr>
      </w:pPr>
      <w:r w:rsidRPr="00B16826">
        <w:rPr>
          <w:rFonts w:ascii="Verdana" w:hAnsi="Verdana" w:cs="Arial"/>
          <w:sz w:val="24"/>
          <w:szCs w:val="24"/>
        </w:rPr>
        <w:t xml:space="preserve">Se puso en marcha el plan integral de rendición de cuentas y se cumplió con la meta al 100% de realización de 457 mesas públicas en los 201 centros zonales y 35 espacios de rendición de cuentas entre las regionales y la Sede Nacional; sumando entre todos los actores la participación de más de 4.100  actores que representan a las organizaciones de gobierno, cerca de 9.000 actores que representan las organizaciones no gubernamentales y 8.600 personas que representaron a los organismos de control, veedurías y comunidad usuaria de los servicios. </w:t>
      </w:r>
    </w:p>
    <w:p w:rsidR="00AB08E1" w:rsidRPr="00B16826" w:rsidRDefault="00AB08E1" w:rsidP="00AB08E1">
      <w:pPr>
        <w:pStyle w:val="Prrafodelista"/>
        <w:numPr>
          <w:ilvl w:val="0"/>
          <w:numId w:val="115"/>
        </w:numPr>
        <w:spacing w:after="0" w:line="240" w:lineRule="auto"/>
        <w:ind w:left="284" w:hanging="284"/>
        <w:contextualSpacing w:val="0"/>
        <w:jc w:val="both"/>
        <w:rPr>
          <w:rFonts w:ascii="Verdana" w:hAnsi="Verdana" w:cs="Arial"/>
          <w:sz w:val="24"/>
          <w:szCs w:val="24"/>
        </w:rPr>
      </w:pPr>
      <w:r w:rsidRPr="00B16826">
        <w:rPr>
          <w:rFonts w:ascii="Verdana" w:hAnsi="Verdana" w:cs="Arial"/>
          <w:sz w:val="24"/>
          <w:szCs w:val="24"/>
        </w:rPr>
        <w:t>Como parte del Sector de la Inclusión Social y la Reconciliación, el ICBF participó en el mes de febrero de 2014 en la rendición de cuentas sobre la gestión institucional, en coordinación con el Departamento para la Prosperidad Social (DPS)</w:t>
      </w:r>
    </w:p>
    <w:p w:rsidR="00AB08E1" w:rsidRPr="00B16826" w:rsidRDefault="00AB08E1" w:rsidP="00AB08E1">
      <w:pPr>
        <w:pStyle w:val="Prrafodelista"/>
        <w:spacing w:after="0" w:line="240" w:lineRule="auto"/>
        <w:ind w:left="284"/>
        <w:contextualSpacing w:val="0"/>
        <w:jc w:val="both"/>
        <w:rPr>
          <w:rFonts w:ascii="Verdana" w:hAnsi="Verdana" w:cs="Arial"/>
          <w:b/>
          <w:color w:val="FF0000"/>
          <w:sz w:val="24"/>
          <w:szCs w:val="24"/>
        </w:rPr>
      </w:pPr>
    </w:p>
    <w:p w:rsidR="00AB08E1" w:rsidRPr="00141D2F" w:rsidRDefault="00AB08E1" w:rsidP="00AB08E1">
      <w:pPr>
        <w:spacing w:after="0" w:line="240" w:lineRule="auto"/>
        <w:jc w:val="both"/>
        <w:rPr>
          <w:rFonts w:ascii="Verdana" w:hAnsi="Verdana" w:cs="Arial"/>
          <w:b/>
          <w:color w:val="4F81BD" w:themeColor="accent1"/>
          <w:sz w:val="24"/>
          <w:szCs w:val="24"/>
        </w:rPr>
      </w:pPr>
      <w:r w:rsidRPr="00141D2F">
        <w:rPr>
          <w:rFonts w:ascii="Verdana" w:hAnsi="Verdana" w:cs="Arial"/>
          <w:b/>
          <w:color w:val="4F81BD" w:themeColor="accent1"/>
          <w:sz w:val="24"/>
          <w:szCs w:val="24"/>
        </w:rPr>
        <w:t>Atención al Ciudadano</w:t>
      </w:r>
    </w:p>
    <w:p w:rsidR="00AB08E1" w:rsidRPr="00B16826" w:rsidRDefault="00AB08E1" w:rsidP="00AB08E1">
      <w:pPr>
        <w:spacing w:after="0" w:line="240" w:lineRule="auto"/>
        <w:rPr>
          <w:rFonts w:ascii="Verdana" w:hAnsi="Verdana" w:cs="Arial"/>
          <w:b/>
          <w:sz w:val="24"/>
          <w:szCs w:val="24"/>
        </w:rPr>
      </w:pPr>
    </w:p>
    <w:p w:rsidR="00AB08E1" w:rsidRPr="00B16826" w:rsidRDefault="00AB08E1" w:rsidP="00AB08E1">
      <w:pPr>
        <w:spacing w:after="0" w:line="240" w:lineRule="auto"/>
        <w:jc w:val="both"/>
        <w:rPr>
          <w:rFonts w:ascii="Verdana" w:hAnsi="Verdana" w:cs="Arial"/>
          <w:sz w:val="24"/>
          <w:szCs w:val="24"/>
        </w:rPr>
      </w:pPr>
      <w:r w:rsidRPr="00B16826">
        <w:rPr>
          <w:rFonts w:ascii="Verdana" w:hAnsi="Verdana" w:cs="Arial"/>
          <w:sz w:val="24"/>
          <w:szCs w:val="24"/>
        </w:rPr>
        <w:t>El Instituto Colombiano de Bienestar Familiar cuenta con procedimientos implementados respecto a: Atención de Denuncias, Atención de Peticiones y Atención Quejas y Reclamos. Durante el año 2014 fue medida la satisfacción de los ciudadanos atendidos mediante la aplicación de más de 11.300 encuestas a nivel nacional, orientadas a los siguientes grupos poblacionales: Niños niñas y adolescentes (NNA); padres de niños de primera infancia; usuarios de centro zonal y familias y comunidades, logrando un nivel de satisfacción total de los usuarios del ICBF del 84,01%.</w:t>
      </w:r>
    </w:p>
    <w:p w:rsidR="00AB08E1" w:rsidRPr="00B16826" w:rsidRDefault="00AB08E1" w:rsidP="00AB08E1">
      <w:pPr>
        <w:pStyle w:val="Prrafodelista"/>
        <w:spacing w:after="0" w:line="240" w:lineRule="auto"/>
        <w:rPr>
          <w:rFonts w:ascii="Verdana" w:hAnsi="Verdana" w:cs="Arial"/>
          <w:b/>
          <w:sz w:val="24"/>
          <w:szCs w:val="24"/>
        </w:rPr>
      </w:pPr>
    </w:p>
    <w:p w:rsidR="00AB08E1" w:rsidRPr="00141D2F" w:rsidRDefault="00AB08E1" w:rsidP="00AB08E1">
      <w:pPr>
        <w:pStyle w:val="Prrafodelista"/>
        <w:spacing w:after="0" w:line="240" w:lineRule="auto"/>
        <w:ind w:left="142"/>
        <w:jc w:val="both"/>
        <w:rPr>
          <w:rFonts w:ascii="Verdana" w:hAnsi="Verdana" w:cs="Arial"/>
          <w:b/>
          <w:color w:val="1F497D" w:themeColor="text2"/>
        </w:rPr>
      </w:pPr>
      <w:r w:rsidRPr="00141D2F">
        <w:rPr>
          <w:rFonts w:ascii="Verdana" w:hAnsi="Verdana" w:cs="Arial"/>
          <w:b/>
          <w:color w:val="1F497D" w:themeColor="text2"/>
        </w:rPr>
        <w:t xml:space="preserve">                 Nivel de satisfacción por grupo poblacional</w:t>
      </w:r>
    </w:p>
    <w:p w:rsidR="00AB08E1" w:rsidRDefault="00AB08E1" w:rsidP="00AB08E1">
      <w:pPr>
        <w:spacing w:after="0" w:line="240" w:lineRule="auto"/>
        <w:jc w:val="center"/>
        <w:rPr>
          <w:rFonts w:ascii="Verdana" w:hAnsi="Verdana" w:cs="Arial"/>
          <w:sz w:val="16"/>
        </w:rPr>
      </w:pPr>
    </w:p>
    <w:tbl>
      <w:tblPr>
        <w:tblW w:w="5000" w:type="pct"/>
        <w:tblCellMar>
          <w:left w:w="70" w:type="dxa"/>
          <w:right w:w="70" w:type="dxa"/>
        </w:tblCellMar>
        <w:tblLook w:val="04A0"/>
      </w:tblPr>
      <w:tblGrid>
        <w:gridCol w:w="6252"/>
        <w:gridCol w:w="3914"/>
      </w:tblGrid>
      <w:tr w:rsidR="00AB08E1" w:rsidRPr="00141D2F" w:rsidTr="00F33CF6">
        <w:trPr>
          <w:trHeight w:val="300"/>
        </w:trPr>
        <w:tc>
          <w:tcPr>
            <w:tcW w:w="3075" w:type="pct"/>
            <w:tcBorders>
              <w:top w:val="nil"/>
              <w:left w:val="nil"/>
              <w:bottom w:val="single" w:sz="12" w:space="0" w:color="FFFFFF"/>
              <w:right w:val="single" w:sz="4" w:space="0" w:color="FFFFFF"/>
            </w:tcBorders>
            <w:shd w:val="clear" w:color="4F81BD" w:fill="4F81BD"/>
            <w:noWrap/>
            <w:hideMark/>
          </w:tcPr>
          <w:p w:rsidR="00AB08E1" w:rsidRPr="00141D2F" w:rsidRDefault="00AB08E1" w:rsidP="00F33CF6">
            <w:pPr>
              <w:spacing w:after="0" w:line="240" w:lineRule="auto"/>
              <w:jc w:val="center"/>
              <w:rPr>
                <w:rFonts w:ascii="Verdana" w:eastAsia="Times New Roman" w:hAnsi="Verdana" w:cs="Times New Roman"/>
                <w:b/>
                <w:bCs/>
                <w:color w:val="FFFFFF"/>
                <w:sz w:val="20"/>
                <w:szCs w:val="20"/>
                <w:lang w:eastAsia="es-CO"/>
              </w:rPr>
            </w:pPr>
            <w:r w:rsidRPr="00141D2F">
              <w:rPr>
                <w:rFonts w:ascii="Verdana" w:eastAsia="Times New Roman" w:hAnsi="Verdana" w:cs="Times New Roman"/>
                <w:b/>
                <w:bCs/>
                <w:color w:val="FFFFFF"/>
                <w:sz w:val="20"/>
                <w:szCs w:val="20"/>
                <w:lang w:eastAsia="es-CO"/>
              </w:rPr>
              <w:t>Población</w:t>
            </w:r>
          </w:p>
        </w:tc>
        <w:tc>
          <w:tcPr>
            <w:tcW w:w="1925" w:type="pct"/>
            <w:tcBorders>
              <w:top w:val="nil"/>
              <w:left w:val="nil"/>
              <w:bottom w:val="single" w:sz="12" w:space="0" w:color="FFFFFF"/>
              <w:right w:val="single" w:sz="4" w:space="0" w:color="FFFFFF"/>
            </w:tcBorders>
            <w:shd w:val="clear" w:color="4F81BD" w:fill="4F81BD"/>
            <w:noWrap/>
            <w:hideMark/>
          </w:tcPr>
          <w:p w:rsidR="00AB08E1" w:rsidRPr="00141D2F" w:rsidRDefault="00AB08E1" w:rsidP="00F33CF6">
            <w:pPr>
              <w:spacing w:after="0" w:line="240" w:lineRule="auto"/>
              <w:jc w:val="center"/>
              <w:rPr>
                <w:rFonts w:ascii="Verdana" w:eastAsia="Times New Roman" w:hAnsi="Verdana" w:cs="Times New Roman"/>
                <w:b/>
                <w:bCs/>
                <w:color w:val="FFFFFF"/>
                <w:sz w:val="20"/>
                <w:szCs w:val="20"/>
                <w:lang w:eastAsia="es-CO"/>
              </w:rPr>
            </w:pPr>
            <w:r w:rsidRPr="00141D2F">
              <w:rPr>
                <w:rFonts w:ascii="Verdana" w:eastAsia="Times New Roman" w:hAnsi="Verdana" w:cs="Times New Roman"/>
                <w:b/>
                <w:bCs/>
                <w:color w:val="FFFFFF"/>
                <w:sz w:val="20"/>
                <w:szCs w:val="20"/>
                <w:lang w:eastAsia="es-CO"/>
              </w:rPr>
              <w:t>2014</w:t>
            </w:r>
          </w:p>
        </w:tc>
      </w:tr>
      <w:tr w:rsidR="00AB08E1" w:rsidRPr="00141D2F" w:rsidTr="00F33CF6">
        <w:trPr>
          <w:trHeight w:val="300"/>
        </w:trPr>
        <w:tc>
          <w:tcPr>
            <w:tcW w:w="3075" w:type="pct"/>
            <w:tcBorders>
              <w:top w:val="nil"/>
              <w:left w:val="nil"/>
              <w:bottom w:val="single" w:sz="4" w:space="0" w:color="FFFFFF"/>
              <w:right w:val="single" w:sz="4" w:space="0" w:color="FFFFFF"/>
            </w:tcBorders>
            <w:shd w:val="clear" w:color="B8CCE4" w:fill="B8CCE4"/>
            <w:noWrap/>
            <w:hideMark/>
          </w:tcPr>
          <w:p w:rsidR="00AB08E1" w:rsidRPr="00141D2F" w:rsidRDefault="00AB08E1" w:rsidP="00F33CF6">
            <w:pPr>
              <w:spacing w:after="0" w:line="240" w:lineRule="auto"/>
              <w:rPr>
                <w:rFonts w:ascii="Verdana" w:eastAsia="Times New Roman" w:hAnsi="Verdana" w:cs="Times New Roman"/>
                <w:color w:val="000000"/>
                <w:sz w:val="20"/>
                <w:szCs w:val="20"/>
                <w:lang w:eastAsia="es-CO"/>
              </w:rPr>
            </w:pPr>
            <w:r w:rsidRPr="00141D2F">
              <w:rPr>
                <w:rFonts w:ascii="Verdana" w:eastAsia="Times New Roman" w:hAnsi="Verdana" w:cs="Times New Roman"/>
                <w:color w:val="000000"/>
                <w:sz w:val="20"/>
                <w:szCs w:val="20"/>
                <w:lang w:eastAsia="es-CO"/>
              </w:rPr>
              <w:t>Centro zonal</w:t>
            </w:r>
          </w:p>
        </w:tc>
        <w:tc>
          <w:tcPr>
            <w:tcW w:w="1925" w:type="pct"/>
            <w:tcBorders>
              <w:top w:val="nil"/>
              <w:left w:val="nil"/>
              <w:bottom w:val="single" w:sz="4" w:space="0" w:color="FFFFFF"/>
              <w:right w:val="single" w:sz="4" w:space="0" w:color="FFFFFF"/>
            </w:tcBorders>
            <w:shd w:val="clear" w:color="B8CCE4" w:fill="B8CCE4"/>
            <w:noWrap/>
            <w:hideMark/>
          </w:tcPr>
          <w:p w:rsidR="00AB08E1" w:rsidRPr="00141D2F" w:rsidRDefault="00AB08E1" w:rsidP="00F33CF6">
            <w:pPr>
              <w:spacing w:after="0" w:line="240" w:lineRule="auto"/>
              <w:jc w:val="center"/>
              <w:rPr>
                <w:rFonts w:ascii="Verdana" w:eastAsia="Times New Roman" w:hAnsi="Verdana" w:cs="Times New Roman"/>
                <w:color w:val="000000"/>
                <w:sz w:val="20"/>
                <w:szCs w:val="20"/>
                <w:lang w:eastAsia="es-CO"/>
              </w:rPr>
            </w:pPr>
            <w:r w:rsidRPr="00141D2F">
              <w:rPr>
                <w:rFonts w:ascii="Verdana" w:eastAsia="Times New Roman" w:hAnsi="Verdana" w:cs="Times New Roman"/>
                <w:color w:val="000000"/>
                <w:sz w:val="20"/>
                <w:szCs w:val="20"/>
                <w:lang w:eastAsia="es-CO"/>
              </w:rPr>
              <w:t>78,60%</w:t>
            </w:r>
          </w:p>
        </w:tc>
      </w:tr>
      <w:tr w:rsidR="00AB08E1" w:rsidRPr="00141D2F" w:rsidTr="00F33CF6">
        <w:trPr>
          <w:trHeight w:val="300"/>
        </w:trPr>
        <w:tc>
          <w:tcPr>
            <w:tcW w:w="3075" w:type="pct"/>
            <w:tcBorders>
              <w:top w:val="nil"/>
              <w:left w:val="nil"/>
              <w:bottom w:val="single" w:sz="4" w:space="0" w:color="FFFFFF"/>
              <w:right w:val="single" w:sz="4" w:space="0" w:color="FFFFFF"/>
            </w:tcBorders>
            <w:shd w:val="clear" w:color="DBE5F1" w:fill="DBE5F1"/>
            <w:noWrap/>
            <w:hideMark/>
          </w:tcPr>
          <w:p w:rsidR="00AB08E1" w:rsidRPr="00141D2F" w:rsidRDefault="00AB08E1" w:rsidP="00F33CF6">
            <w:pPr>
              <w:spacing w:after="0" w:line="240" w:lineRule="auto"/>
              <w:rPr>
                <w:rFonts w:ascii="Verdana" w:eastAsia="Times New Roman" w:hAnsi="Verdana" w:cs="Times New Roman"/>
                <w:color w:val="000000"/>
                <w:sz w:val="20"/>
                <w:szCs w:val="20"/>
                <w:lang w:eastAsia="es-CO"/>
              </w:rPr>
            </w:pPr>
            <w:r w:rsidRPr="00141D2F">
              <w:rPr>
                <w:rFonts w:ascii="Verdana" w:eastAsia="Times New Roman" w:hAnsi="Verdana" w:cs="Times New Roman"/>
                <w:color w:val="000000"/>
                <w:sz w:val="20"/>
                <w:szCs w:val="20"/>
                <w:lang w:eastAsia="es-CO"/>
              </w:rPr>
              <w:t>NNA</w:t>
            </w:r>
          </w:p>
        </w:tc>
        <w:tc>
          <w:tcPr>
            <w:tcW w:w="1925" w:type="pct"/>
            <w:tcBorders>
              <w:top w:val="nil"/>
              <w:left w:val="nil"/>
              <w:bottom w:val="single" w:sz="4" w:space="0" w:color="FFFFFF"/>
              <w:right w:val="single" w:sz="4" w:space="0" w:color="FFFFFF"/>
            </w:tcBorders>
            <w:shd w:val="clear" w:color="DBE5F1" w:fill="DBE5F1"/>
            <w:noWrap/>
            <w:hideMark/>
          </w:tcPr>
          <w:p w:rsidR="00AB08E1" w:rsidRPr="00141D2F" w:rsidRDefault="00AB08E1" w:rsidP="00F33CF6">
            <w:pPr>
              <w:spacing w:after="0" w:line="240" w:lineRule="auto"/>
              <w:jc w:val="center"/>
              <w:rPr>
                <w:rFonts w:ascii="Verdana" w:eastAsia="Times New Roman" w:hAnsi="Verdana" w:cs="Times New Roman"/>
                <w:color w:val="000000"/>
                <w:sz w:val="20"/>
                <w:szCs w:val="20"/>
                <w:lang w:eastAsia="es-CO"/>
              </w:rPr>
            </w:pPr>
            <w:r w:rsidRPr="00141D2F">
              <w:rPr>
                <w:rFonts w:ascii="Verdana" w:eastAsia="Times New Roman" w:hAnsi="Verdana" w:cs="Times New Roman"/>
                <w:color w:val="000000"/>
                <w:sz w:val="20"/>
                <w:szCs w:val="20"/>
                <w:lang w:eastAsia="es-CO"/>
              </w:rPr>
              <w:t>91,40%</w:t>
            </w:r>
          </w:p>
        </w:tc>
      </w:tr>
      <w:tr w:rsidR="00AB08E1" w:rsidRPr="00141D2F" w:rsidTr="00F33CF6">
        <w:trPr>
          <w:trHeight w:val="300"/>
        </w:trPr>
        <w:tc>
          <w:tcPr>
            <w:tcW w:w="3075" w:type="pct"/>
            <w:tcBorders>
              <w:top w:val="nil"/>
              <w:left w:val="nil"/>
              <w:bottom w:val="single" w:sz="4" w:space="0" w:color="FFFFFF"/>
              <w:right w:val="single" w:sz="4" w:space="0" w:color="FFFFFF"/>
            </w:tcBorders>
            <w:shd w:val="clear" w:color="B8CCE4" w:fill="B8CCE4"/>
            <w:noWrap/>
            <w:hideMark/>
          </w:tcPr>
          <w:p w:rsidR="00AB08E1" w:rsidRPr="00141D2F" w:rsidRDefault="00AB08E1" w:rsidP="00F33CF6">
            <w:pPr>
              <w:spacing w:after="0" w:line="240" w:lineRule="auto"/>
              <w:rPr>
                <w:rFonts w:ascii="Verdana" w:eastAsia="Times New Roman" w:hAnsi="Verdana" w:cs="Times New Roman"/>
                <w:color w:val="000000"/>
                <w:sz w:val="20"/>
                <w:szCs w:val="20"/>
                <w:lang w:eastAsia="es-CO"/>
              </w:rPr>
            </w:pPr>
            <w:r w:rsidRPr="00141D2F">
              <w:rPr>
                <w:rFonts w:ascii="Verdana" w:eastAsia="Times New Roman" w:hAnsi="Verdana" w:cs="Times New Roman"/>
                <w:color w:val="000000"/>
                <w:sz w:val="20"/>
                <w:szCs w:val="20"/>
                <w:lang w:eastAsia="es-CO"/>
              </w:rPr>
              <w:t>Primera infancia</w:t>
            </w:r>
          </w:p>
        </w:tc>
        <w:tc>
          <w:tcPr>
            <w:tcW w:w="1925" w:type="pct"/>
            <w:tcBorders>
              <w:top w:val="nil"/>
              <w:left w:val="nil"/>
              <w:bottom w:val="single" w:sz="4" w:space="0" w:color="FFFFFF"/>
              <w:right w:val="single" w:sz="4" w:space="0" w:color="FFFFFF"/>
            </w:tcBorders>
            <w:shd w:val="clear" w:color="B8CCE4" w:fill="B8CCE4"/>
            <w:noWrap/>
            <w:hideMark/>
          </w:tcPr>
          <w:p w:rsidR="00AB08E1" w:rsidRPr="00141D2F" w:rsidRDefault="00AB08E1" w:rsidP="00F33CF6">
            <w:pPr>
              <w:spacing w:after="0" w:line="240" w:lineRule="auto"/>
              <w:jc w:val="center"/>
              <w:rPr>
                <w:rFonts w:ascii="Verdana" w:eastAsia="Times New Roman" w:hAnsi="Verdana" w:cs="Times New Roman"/>
                <w:color w:val="000000"/>
                <w:sz w:val="20"/>
                <w:szCs w:val="20"/>
                <w:lang w:eastAsia="es-CO"/>
              </w:rPr>
            </w:pPr>
            <w:r w:rsidRPr="00141D2F">
              <w:rPr>
                <w:rFonts w:ascii="Verdana" w:eastAsia="Times New Roman" w:hAnsi="Verdana" w:cs="Times New Roman"/>
                <w:color w:val="000000"/>
                <w:sz w:val="20"/>
                <w:szCs w:val="20"/>
                <w:lang w:eastAsia="es-CO"/>
              </w:rPr>
              <w:t>84,70%</w:t>
            </w:r>
          </w:p>
        </w:tc>
      </w:tr>
      <w:tr w:rsidR="00AB08E1" w:rsidRPr="00141D2F" w:rsidTr="00F33CF6">
        <w:trPr>
          <w:trHeight w:val="300"/>
        </w:trPr>
        <w:tc>
          <w:tcPr>
            <w:tcW w:w="3075" w:type="pct"/>
            <w:tcBorders>
              <w:top w:val="nil"/>
              <w:left w:val="nil"/>
              <w:bottom w:val="single" w:sz="4" w:space="0" w:color="FFFFFF"/>
              <w:right w:val="single" w:sz="4" w:space="0" w:color="FFFFFF"/>
            </w:tcBorders>
            <w:shd w:val="clear" w:color="DBE5F1" w:fill="DBE5F1"/>
            <w:noWrap/>
            <w:hideMark/>
          </w:tcPr>
          <w:p w:rsidR="00AB08E1" w:rsidRPr="00141D2F" w:rsidRDefault="00AB08E1" w:rsidP="00F33CF6">
            <w:pPr>
              <w:spacing w:after="0" w:line="240" w:lineRule="auto"/>
              <w:rPr>
                <w:rFonts w:ascii="Verdana" w:eastAsia="Times New Roman" w:hAnsi="Verdana" w:cs="Times New Roman"/>
                <w:color w:val="000000"/>
                <w:sz w:val="20"/>
                <w:szCs w:val="20"/>
                <w:lang w:eastAsia="es-CO"/>
              </w:rPr>
            </w:pPr>
            <w:r w:rsidRPr="00141D2F">
              <w:rPr>
                <w:rFonts w:ascii="Verdana" w:eastAsia="Times New Roman" w:hAnsi="Verdana" w:cs="Times New Roman"/>
                <w:color w:val="000000"/>
                <w:sz w:val="20"/>
                <w:szCs w:val="20"/>
                <w:lang w:eastAsia="es-CO"/>
              </w:rPr>
              <w:t>Familias y comunidades</w:t>
            </w:r>
          </w:p>
        </w:tc>
        <w:tc>
          <w:tcPr>
            <w:tcW w:w="1925" w:type="pct"/>
            <w:tcBorders>
              <w:top w:val="nil"/>
              <w:left w:val="nil"/>
              <w:bottom w:val="single" w:sz="4" w:space="0" w:color="FFFFFF"/>
              <w:right w:val="single" w:sz="4" w:space="0" w:color="FFFFFF"/>
            </w:tcBorders>
            <w:shd w:val="clear" w:color="DBE5F1" w:fill="DBE5F1"/>
            <w:noWrap/>
            <w:hideMark/>
          </w:tcPr>
          <w:p w:rsidR="00AB08E1" w:rsidRPr="00141D2F" w:rsidRDefault="00AB08E1" w:rsidP="00F33CF6">
            <w:pPr>
              <w:spacing w:after="0" w:line="240" w:lineRule="auto"/>
              <w:jc w:val="center"/>
              <w:rPr>
                <w:rFonts w:ascii="Verdana" w:eastAsia="Times New Roman" w:hAnsi="Verdana" w:cs="Times New Roman"/>
                <w:color w:val="000000"/>
                <w:sz w:val="20"/>
                <w:szCs w:val="20"/>
                <w:lang w:eastAsia="es-CO"/>
              </w:rPr>
            </w:pPr>
            <w:r w:rsidRPr="00141D2F">
              <w:rPr>
                <w:rFonts w:ascii="Verdana" w:eastAsia="Times New Roman" w:hAnsi="Verdana" w:cs="Times New Roman"/>
                <w:color w:val="000000"/>
                <w:sz w:val="20"/>
                <w:szCs w:val="20"/>
                <w:lang w:eastAsia="es-CO"/>
              </w:rPr>
              <w:t>79,10%</w:t>
            </w:r>
          </w:p>
        </w:tc>
      </w:tr>
    </w:tbl>
    <w:p w:rsidR="00AB08E1" w:rsidRPr="00B16826" w:rsidRDefault="00AB08E1" w:rsidP="00AB08E1">
      <w:pPr>
        <w:spacing w:after="0" w:line="240" w:lineRule="auto"/>
        <w:jc w:val="right"/>
        <w:rPr>
          <w:rFonts w:ascii="Verdana" w:hAnsi="Verdana" w:cs="Arial"/>
          <w:sz w:val="16"/>
        </w:rPr>
      </w:pPr>
      <w:r w:rsidRPr="00B16826">
        <w:rPr>
          <w:rFonts w:ascii="Verdana" w:hAnsi="Verdana" w:cs="Arial"/>
          <w:b/>
          <w:sz w:val="16"/>
        </w:rPr>
        <w:t>Fuente:</w:t>
      </w:r>
      <w:r w:rsidRPr="00B16826">
        <w:rPr>
          <w:rFonts w:ascii="Verdana" w:hAnsi="Verdana" w:cs="Arial"/>
          <w:sz w:val="16"/>
        </w:rPr>
        <w:t xml:space="preserve"> Dirección de Servicios y Atención. ICBF Sede Dirección General. Enero 2015</w:t>
      </w:r>
    </w:p>
    <w:p w:rsidR="00AB08E1" w:rsidRPr="00B16826" w:rsidRDefault="00AB08E1" w:rsidP="00AB08E1">
      <w:pPr>
        <w:spacing w:after="0" w:line="240" w:lineRule="auto"/>
        <w:jc w:val="both"/>
        <w:rPr>
          <w:rFonts w:ascii="Verdana" w:hAnsi="Verdana" w:cs="Arial"/>
          <w:sz w:val="24"/>
          <w:szCs w:val="24"/>
        </w:rPr>
      </w:pPr>
    </w:p>
    <w:p w:rsidR="00AB08E1" w:rsidRPr="00B16826" w:rsidRDefault="00AB08E1" w:rsidP="00AB08E1">
      <w:pPr>
        <w:spacing w:after="0" w:line="240" w:lineRule="auto"/>
        <w:jc w:val="both"/>
        <w:rPr>
          <w:rFonts w:ascii="Verdana" w:hAnsi="Verdana" w:cs="Arial"/>
          <w:sz w:val="24"/>
          <w:szCs w:val="24"/>
        </w:rPr>
      </w:pPr>
      <w:r w:rsidRPr="00B16826">
        <w:rPr>
          <w:rFonts w:ascii="Verdana" w:hAnsi="Verdana" w:cs="Arial"/>
          <w:sz w:val="24"/>
          <w:szCs w:val="24"/>
        </w:rPr>
        <w:t>Entre otras gestiones se encuentran:</w:t>
      </w:r>
    </w:p>
    <w:p w:rsidR="00AB08E1" w:rsidRPr="00B16826" w:rsidRDefault="00AB08E1" w:rsidP="00AB08E1">
      <w:pPr>
        <w:spacing w:after="0" w:line="240" w:lineRule="auto"/>
        <w:jc w:val="both"/>
        <w:rPr>
          <w:rFonts w:ascii="Verdana" w:hAnsi="Verdana" w:cs="Arial"/>
          <w:sz w:val="24"/>
          <w:szCs w:val="24"/>
        </w:rPr>
      </w:pPr>
    </w:p>
    <w:p w:rsidR="00AB08E1" w:rsidRPr="00B16826" w:rsidRDefault="00AB08E1" w:rsidP="00AB08E1">
      <w:pPr>
        <w:pStyle w:val="Prrafodelista"/>
        <w:numPr>
          <w:ilvl w:val="0"/>
          <w:numId w:val="116"/>
        </w:numPr>
        <w:spacing w:after="0" w:line="240" w:lineRule="auto"/>
        <w:ind w:left="284"/>
        <w:jc w:val="both"/>
        <w:rPr>
          <w:rFonts w:ascii="Verdana" w:hAnsi="Verdana" w:cs="Arial"/>
          <w:sz w:val="24"/>
          <w:szCs w:val="24"/>
        </w:rPr>
      </w:pPr>
      <w:r w:rsidRPr="00B16826">
        <w:rPr>
          <w:rFonts w:ascii="Verdana" w:hAnsi="Verdana" w:cs="Arial"/>
          <w:sz w:val="24"/>
          <w:szCs w:val="24"/>
        </w:rPr>
        <w:t>Actualización de plegables informativos dirigidos al ciudadano con los siguientes trámites: Solicitud de Permiso de Salida del País para un niño, niña o adolescente, Solicitud de Impedimento de Salida del País para un niño, niña, o adolescente, Solicitud de reconocimiento de Paternidad, Solicitud de Investigación de Paternidad o Filiación, Solicitud de Impugnación de la Paternidad, Solicitud de Remoción de Guardas o Tutores, Solicitud de Privación o Suspensión de la Patria Potestad, Solicitud de Rehabilitación de la Patria Potestad, Solicitud de Nombramiento de Guardas o Tutores, Solicitud de Revisión de Visitas; Solicitud de Fijación de Custodia, Solicitud de Revisión de Custodia, Solicitud de Fijación de Visitas, Solicitud de Proceso Ejecutivo de Alimentos, Solicitud de Conciliación para la Fijación de Cuota de Alimentos, Solicitud de Revisión de Cuota de Alimentos, Solicitud de Ofrecimiento de Alimentos;  los cuales fueron entregados a todas las 33 Regionales,  208 Centros Zonales y 14 Unidades Locales, en busca de garantizar al ciudadano la socialización de los requisitos, a donde deben dirigirse y documentos que deben presentar al momento de adelantar los trámites enunciados.</w:t>
      </w:r>
    </w:p>
    <w:p w:rsidR="00AB08E1" w:rsidRPr="00B16826" w:rsidRDefault="00AB08E1" w:rsidP="00AB08E1">
      <w:pPr>
        <w:pStyle w:val="Prrafodelista"/>
        <w:spacing w:after="0" w:line="240" w:lineRule="auto"/>
        <w:ind w:left="284"/>
        <w:jc w:val="both"/>
        <w:rPr>
          <w:rFonts w:ascii="Verdana" w:hAnsi="Verdana" w:cs="Arial"/>
          <w:sz w:val="24"/>
          <w:szCs w:val="24"/>
        </w:rPr>
      </w:pPr>
    </w:p>
    <w:p w:rsidR="00AB08E1" w:rsidRPr="00B16826" w:rsidRDefault="00AB08E1" w:rsidP="00AB08E1">
      <w:pPr>
        <w:pStyle w:val="Prrafodelista"/>
        <w:numPr>
          <w:ilvl w:val="0"/>
          <w:numId w:val="116"/>
        </w:numPr>
        <w:spacing w:after="0" w:line="240" w:lineRule="auto"/>
        <w:ind w:left="284"/>
        <w:jc w:val="both"/>
        <w:rPr>
          <w:rFonts w:ascii="Verdana" w:hAnsi="Verdana" w:cs="Arial"/>
          <w:sz w:val="24"/>
          <w:szCs w:val="24"/>
        </w:rPr>
      </w:pPr>
      <w:r w:rsidRPr="00B16826">
        <w:rPr>
          <w:rFonts w:ascii="Verdana" w:hAnsi="Verdana" w:cs="Arial"/>
          <w:sz w:val="24"/>
          <w:szCs w:val="24"/>
        </w:rPr>
        <w:t xml:space="preserve">En la página Web de la Entidad fueron publicados conforme con los parámetros de Gobierno en Línea los horarios y puntos de atención de la entidad, en el siguiente enlace: </w:t>
      </w:r>
      <w:hyperlink r:id="rId84" w:history="1">
        <w:r w:rsidRPr="00B16826">
          <w:rPr>
            <w:rStyle w:val="Hipervnculo"/>
            <w:rFonts w:ascii="Verdana" w:hAnsi="Verdana" w:cs="Arial"/>
            <w:sz w:val="24"/>
            <w:szCs w:val="24"/>
          </w:rPr>
          <w:t>http://www.icbf.gov.co/portal/page/portal/PortalICBF/Servicios</w:t>
        </w:r>
      </w:hyperlink>
      <w:r w:rsidRPr="00B16826">
        <w:rPr>
          <w:rFonts w:ascii="Verdana" w:hAnsi="Verdana" w:cs="Arial"/>
          <w:sz w:val="24"/>
          <w:szCs w:val="24"/>
        </w:rPr>
        <w:t xml:space="preserve"> </w:t>
      </w:r>
    </w:p>
    <w:p w:rsidR="00AB08E1" w:rsidRPr="00B16826" w:rsidRDefault="00AB08E1" w:rsidP="00AB08E1">
      <w:pPr>
        <w:pStyle w:val="Prrafodelista"/>
        <w:spacing w:after="0" w:line="240" w:lineRule="auto"/>
        <w:ind w:left="284"/>
        <w:rPr>
          <w:rFonts w:ascii="Verdana" w:hAnsi="Verdana" w:cs="Arial"/>
          <w:sz w:val="24"/>
          <w:szCs w:val="24"/>
        </w:rPr>
      </w:pPr>
    </w:p>
    <w:p w:rsidR="00AB08E1" w:rsidRPr="00B16826" w:rsidRDefault="00AB08E1" w:rsidP="00AB08E1">
      <w:pPr>
        <w:pStyle w:val="Prrafodelista"/>
        <w:numPr>
          <w:ilvl w:val="0"/>
          <w:numId w:val="116"/>
        </w:numPr>
        <w:spacing w:after="0" w:line="240" w:lineRule="auto"/>
        <w:ind w:left="284"/>
        <w:jc w:val="both"/>
        <w:rPr>
          <w:rFonts w:ascii="Verdana" w:hAnsi="Verdana" w:cs="Arial"/>
          <w:sz w:val="24"/>
          <w:szCs w:val="24"/>
        </w:rPr>
      </w:pPr>
      <w:r w:rsidRPr="00B16826">
        <w:rPr>
          <w:rFonts w:ascii="Verdana" w:hAnsi="Verdana" w:cs="Arial"/>
          <w:sz w:val="24"/>
          <w:szCs w:val="24"/>
        </w:rPr>
        <w:t>Se diseñó un formulario que permite el registro en línea de las peticiones que ingresan a la entidad, el mismo se encuentra disponible en la página web en la sección de Servicios de Información a la Ciudadanía:</w:t>
      </w:r>
    </w:p>
    <w:p w:rsidR="00AB08E1" w:rsidRPr="00B16826" w:rsidRDefault="001F35BA" w:rsidP="00AB08E1">
      <w:pPr>
        <w:spacing w:after="0" w:line="240" w:lineRule="auto"/>
        <w:ind w:left="284"/>
        <w:jc w:val="both"/>
        <w:rPr>
          <w:rFonts w:ascii="Verdana" w:hAnsi="Verdana" w:cs="Arial"/>
          <w:sz w:val="24"/>
          <w:szCs w:val="24"/>
        </w:rPr>
      </w:pPr>
      <w:hyperlink r:id="rId85" w:history="1">
        <w:r w:rsidR="00AB08E1" w:rsidRPr="00B16826">
          <w:rPr>
            <w:rStyle w:val="Hipervnculo"/>
            <w:rFonts w:ascii="Verdana" w:hAnsi="Verdana" w:cs="Arial"/>
            <w:sz w:val="24"/>
            <w:szCs w:val="24"/>
          </w:rPr>
          <w:t>http://www.icbf.gov.co/portal/page/portal/PortalICBF/Servicios/PQRFormulario</w:t>
        </w:r>
      </w:hyperlink>
      <w:r w:rsidR="00AB08E1" w:rsidRPr="00B16826">
        <w:rPr>
          <w:rFonts w:ascii="Verdana" w:hAnsi="Verdana" w:cs="Arial"/>
          <w:sz w:val="24"/>
          <w:szCs w:val="24"/>
        </w:rPr>
        <w:t>.</w:t>
      </w:r>
    </w:p>
    <w:p w:rsidR="00AB08E1" w:rsidRPr="00B16826" w:rsidRDefault="00AB08E1" w:rsidP="00AB08E1">
      <w:pPr>
        <w:spacing w:after="0" w:line="240" w:lineRule="auto"/>
        <w:ind w:left="284" w:firstLine="708"/>
        <w:jc w:val="both"/>
        <w:rPr>
          <w:rFonts w:ascii="Verdana" w:hAnsi="Verdana" w:cs="Arial"/>
          <w:sz w:val="24"/>
          <w:szCs w:val="24"/>
        </w:rPr>
      </w:pPr>
    </w:p>
    <w:p w:rsidR="00AB08E1" w:rsidRPr="00B16826" w:rsidRDefault="00AB08E1" w:rsidP="00AB08E1">
      <w:pPr>
        <w:pStyle w:val="Prrafodelista"/>
        <w:numPr>
          <w:ilvl w:val="0"/>
          <w:numId w:val="119"/>
        </w:numPr>
        <w:spacing w:after="0" w:line="240" w:lineRule="auto"/>
        <w:ind w:left="284"/>
        <w:contextualSpacing w:val="0"/>
        <w:jc w:val="both"/>
        <w:rPr>
          <w:rFonts w:ascii="Verdana" w:hAnsi="Verdana" w:cs="Arial"/>
          <w:sz w:val="24"/>
          <w:szCs w:val="24"/>
        </w:rPr>
      </w:pPr>
      <w:r w:rsidRPr="00B16826">
        <w:rPr>
          <w:rFonts w:ascii="Verdana" w:hAnsi="Verdana" w:cs="Arial"/>
          <w:sz w:val="24"/>
          <w:szCs w:val="24"/>
        </w:rPr>
        <w:t>Se participó activamente en las Ferias Nacionales del Servicio lideradas por el Programa Nacional del Servicio al Ciudadano del Departamento Nacional de Planeación, llevadas a cabo en Malambo, Tumaco, Yopal, Caucasia, Cartago y Riohacha.</w:t>
      </w:r>
    </w:p>
    <w:p w:rsidR="00AB08E1" w:rsidRPr="00B16826" w:rsidRDefault="00AB08E1" w:rsidP="00AB08E1">
      <w:pPr>
        <w:spacing w:after="0" w:line="240" w:lineRule="auto"/>
        <w:jc w:val="both"/>
        <w:rPr>
          <w:rFonts w:ascii="Verdana" w:hAnsi="Verdana" w:cs="Arial"/>
          <w:sz w:val="24"/>
          <w:szCs w:val="24"/>
        </w:rPr>
      </w:pPr>
    </w:p>
    <w:p w:rsidR="00AB08E1" w:rsidRPr="00B16826" w:rsidRDefault="00AB08E1" w:rsidP="00AB08E1">
      <w:pPr>
        <w:spacing w:after="0" w:line="240" w:lineRule="auto"/>
        <w:jc w:val="both"/>
        <w:rPr>
          <w:rFonts w:ascii="Verdana" w:hAnsi="Verdana" w:cs="Arial"/>
          <w:vanish/>
          <w:sz w:val="24"/>
          <w:szCs w:val="24"/>
          <w:specVanish/>
        </w:rPr>
      </w:pPr>
      <w:r w:rsidRPr="00B16826">
        <w:rPr>
          <w:rFonts w:ascii="Verdana" w:hAnsi="Verdana" w:cs="Arial"/>
          <w:sz w:val="24"/>
          <w:szCs w:val="24"/>
        </w:rPr>
        <w:t>En relación con la Gestión del Centro de Contacto en la vigencia 2014 se lograron avances significativos en términos de atención y oportunidad de la respuesta al ciudadano, gracias a acciones como la contratación de agentes bilingües y de lenguaje de señas, y la adquisición de una herramienta de “inteligencia de negocios” que permite prospectar las estacionalidades y posibles crecimientos de peticiones en ciertos meses del año, entre otras. Lo anterior se ha reflejado positivamente en la encuesta voluntaria aplicada a las llamadas de entrada la cual arroja resultados de más del 90% de satisfacción.</w:t>
      </w:r>
    </w:p>
    <w:p w:rsidR="00AB08E1" w:rsidRPr="00B16826" w:rsidRDefault="00AB08E1" w:rsidP="00AB08E1">
      <w:pPr>
        <w:spacing w:after="0" w:line="240" w:lineRule="auto"/>
        <w:jc w:val="both"/>
        <w:rPr>
          <w:rFonts w:ascii="Verdana" w:hAnsi="Verdana" w:cs="Arial"/>
          <w:sz w:val="24"/>
          <w:szCs w:val="24"/>
          <w:lang w:val="es-ES_tradnl"/>
        </w:rPr>
      </w:pPr>
    </w:p>
    <w:p w:rsidR="00AB08E1" w:rsidRPr="00B16826" w:rsidRDefault="00AB08E1" w:rsidP="00AB08E1">
      <w:pPr>
        <w:spacing w:after="0" w:line="240" w:lineRule="auto"/>
        <w:jc w:val="both"/>
        <w:rPr>
          <w:rFonts w:ascii="Verdana" w:hAnsi="Verdana" w:cs="Arial"/>
          <w:sz w:val="24"/>
          <w:szCs w:val="24"/>
          <w:lang w:val="es-ES_tradnl"/>
        </w:rPr>
      </w:pPr>
    </w:p>
    <w:p w:rsidR="00AB08E1" w:rsidRPr="00B16826" w:rsidRDefault="00AB08E1" w:rsidP="00AB08E1">
      <w:pPr>
        <w:pStyle w:val="Sinespaciado"/>
        <w:jc w:val="both"/>
        <w:rPr>
          <w:rFonts w:ascii="Verdana" w:hAnsi="Verdana" w:cs="Arial"/>
        </w:rPr>
      </w:pPr>
      <w:r w:rsidRPr="00B16826">
        <w:rPr>
          <w:rFonts w:ascii="Verdana" w:hAnsi="Verdana" w:cs="Arial"/>
        </w:rPr>
        <w:t>En busca de garantizar la atención de conformidad con la demanda y de contar con espacios totalmente disponibles para la defensa de los derechos de los niños, niñas, adolescentes y familias colombianas, el ICBF cuenta con la contratación del centro de contacto dispuesto durante las 24 horas del día, de lunes a domingo incluido los días festivos.</w:t>
      </w:r>
    </w:p>
    <w:p w:rsidR="00AB08E1" w:rsidRPr="00B16826" w:rsidRDefault="00AB08E1" w:rsidP="00AB08E1">
      <w:pPr>
        <w:pStyle w:val="Sinespaciado"/>
        <w:jc w:val="both"/>
        <w:rPr>
          <w:rFonts w:ascii="Verdana" w:hAnsi="Verdana" w:cs="Arial"/>
        </w:rPr>
      </w:pPr>
    </w:p>
    <w:p w:rsidR="00AB08E1" w:rsidRPr="00B16826" w:rsidRDefault="00AB08E1" w:rsidP="00AB08E1">
      <w:pPr>
        <w:overflowPunct w:val="0"/>
        <w:autoSpaceDE w:val="0"/>
        <w:autoSpaceDN w:val="0"/>
        <w:spacing w:after="0" w:line="240" w:lineRule="auto"/>
        <w:jc w:val="both"/>
        <w:rPr>
          <w:rFonts w:ascii="Verdana" w:hAnsi="Verdana" w:cs="Arial"/>
          <w:color w:val="000000"/>
          <w:sz w:val="24"/>
          <w:szCs w:val="24"/>
          <w:lang w:eastAsia="es-CO"/>
        </w:rPr>
      </w:pPr>
      <w:r w:rsidRPr="00B16826">
        <w:rPr>
          <w:rFonts w:ascii="Verdana" w:hAnsi="Verdana" w:cs="Arial"/>
          <w:color w:val="000000"/>
          <w:sz w:val="24"/>
          <w:szCs w:val="24"/>
          <w:lang w:eastAsia="es-CO"/>
        </w:rPr>
        <w:t>El Centro de Contacto presta el servicio a través de cuatro (4) líneas t</w:t>
      </w:r>
      <w:r w:rsidRPr="00B16826">
        <w:rPr>
          <w:rFonts w:ascii="Verdana" w:hAnsi="Verdana" w:cs="Arial"/>
          <w:sz w:val="24"/>
          <w:szCs w:val="24"/>
        </w:rPr>
        <w:t xml:space="preserve">elefónicas </w:t>
      </w:r>
      <w:r w:rsidRPr="00B16826">
        <w:rPr>
          <w:rFonts w:ascii="Verdana" w:hAnsi="Verdana" w:cs="Arial"/>
          <w:color w:val="000000"/>
          <w:sz w:val="24"/>
          <w:szCs w:val="24"/>
          <w:lang w:eastAsia="es-CO"/>
        </w:rPr>
        <w:t>gratuitas de atención:</w:t>
      </w:r>
    </w:p>
    <w:p w:rsidR="00AB08E1" w:rsidRPr="00B16826" w:rsidRDefault="00AB08E1" w:rsidP="00AB08E1">
      <w:pPr>
        <w:overflowPunct w:val="0"/>
        <w:autoSpaceDE w:val="0"/>
        <w:autoSpaceDN w:val="0"/>
        <w:spacing w:after="0" w:line="240" w:lineRule="auto"/>
        <w:jc w:val="both"/>
        <w:rPr>
          <w:rFonts w:ascii="Verdana" w:hAnsi="Verdana" w:cs="Arial"/>
          <w:b/>
          <w:bCs/>
          <w:sz w:val="24"/>
          <w:szCs w:val="24"/>
        </w:rPr>
      </w:pPr>
    </w:p>
    <w:p w:rsidR="00AB08E1" w:rsidRPr="00B16826" w:rsidRDefault="00AB08E1" w:rsidP="00AB08E1">
      <w:pPr>
        <w:numPr>
          <w:ilvl w:val="0"/>
          <w:numId w:val="117"/>
        </w:numPr>
        <w:autoSpaceDE w:val="0"/>
        <w:autoSpaceDN w:val="0"/>
        <w:spacing w:after="0" w:line="240" w:lineRule="auto"/>
        <w:jc w:val="both"/>
        <w:rPr>
          <w:rFonts w:ascii="Verdana" w:eastAsia="Times New Roman" w:hAnsi="Verdana" w:cs="Arial"/>
          <w:sz w:val="24"/>
          <w:szCs w:val="24"/>
          <w:lang w:eastAsia="es-ES"/>
        </w:rPr>
      </w:pPr>
      <w:r w:rsidRPr="00B16826">
        <w:rPr>
          <w:rFonts w:ascii="Verdana" w:eastAsia="Times New Roman" w:hAnsi="Verdana" w:cs="Arial"/>
          <w:sz w:val="24"/>
          <w:szCs w:val="24"/>
          <w:lang w:eastAsia="es-ES"/>
        </w:rPr>
        <w:t>Línea Nacional Gratuita de Bienestar Familiar 018000908080</w:t>
      </w:r>
    </w:p>
    <w:p w:rsidR="00AB08E1" w:rsidRPr="00B16826" w:rsidRDefault="00AB08E1" w:rsidP="00AB08E1">
      <w:pPr>
        <w:numPr>
          <w:ilvl w:val="0"/>
          <w:numId w:val="117"/>
        </w:numPr>
        <w:autoSpaceDE w:val="0"/>
        <w:autoSpaceDN w:val="0"/>
        <w:spacing w:after="0" w:line="240" w:lineRule="auto"/>
        <w:jc w:val="both"/>
        <w:rPr>
          <w:rFonts w:ascii="Verdana" w:eastAsia="Times New Roman" w:hAnsi="Verdana" w:cs="Arial"/>
          <w:sz w:val="24"/>
          <w:szCs w:val="24"/>
          <w:lang w:eastAsia="es-ES"/>
        </w:rPr>
      </w:pPr>
      <w:r w:rsidRPr="00B16826">
        <w:rPr>
          <w:rFonts w:ascii="Verdana" w:eastAsia="Times New Roman" w:hAnsi="Verdana" w:cs="Arial"/>
          <w:sz w:val="24"/>
          <w:szCs w:val="24"/>
          <w:lang w:eastAsia="es-ES"/>
        </w:rPr>
        <w:t xml:space="preserve">Línea Nacional para la Prevención del Abuso Sexual 018000112440. </w:t>
      </w:r>
    </w:p>
    <w:p w:rsidR="00AB08E1" w:rsidRPr="00B16826" w:rsidRDefault="00AB08E1" w:rsidP="00AB08E1">
      <w:pPr>
        <w:numPr>
          <w:ilvl w:val="0"/>
          <w:numId w:val="117"/>
        </w:numPr>
        <w:autoSpaceDE w:val="0"/>
        <w:autoSpaceDN w:val="0"/>
        <w:spacing w:after="0" w:line="240" w:lineRule="auto"/>
        <w:jc w:val="both"/>
        <w:rPr>
          <w:rFonts w:ascii="Verdana" w:eastAsia="Times New Roman" w:hAnsi="Verdana" w:cs="Arial"/>
          <w:sz w:val="24"/>
          <w:szCs w:val="24"/>
          <w:lang w:eastAsia="es-ES"/>
        </w:rPr>
      </w:pPr>
      <w:r w:rsidRPr="00B16826">
        <w:rPr>
          <w:rFonts w:ascii="Verdana" w:eastAsia="Times New Roman" w:hAnsi="Verdana" w:cs="Arial"/>
          <w:sz w:val="24"/>
          <w:szCs w:val="24"/>
          <w:lang w:eastAsia="es-ES"/>
        </w:rPr>
        <w:t>Línea asistencia a Aplicativos ICBF (antes registro único de beneficiarios – RUB) 0180091112880</w:t>
      </w:r>
    </w:p>
    <w:p w:rsidR="00AB08E1" w:rsidRPr="00B16826" w:rsidRDefault="00AB08E1" w:rsidP="00AB08E1">
      <w:pPr>
        <w:numPr>
          <w:ilvl w:val="0"/>
          <w:numId w:val="117"/>
        </w:numPr>
        <w:autoSpaceDE w:val="0"/>
        <w:autoSpaceDN w:val="0"/>
        <w:spacing w:after="0" w:line="240" w:lineRule="auto"/>
        <w:jc w:val="both"/>
        <w:rPr>
          <w:rFonts w:ascii="Verdana" w:eastAsia="Times New Roman" w:hAnsi="Verdana" w:cs="Arial"/>
          <w:sz w:val="24"/>
          <w:szCs w:val="24"/>
        </w:rPr>
      </w:pPr>
      <w:r w:rsidRPr="00B16826">
        <w:rPr>
          <w:rFonts w:ascii="Verdana" w:eastAsia="Times New Roman" w:hAnsi="Verdana" w:cs="Arial"/>
          <w:sz w:val="24"/>
          <w:szCs w:val="24"/>
          <w:lang w:eastAsia="es-ES"/>
        </w:rPr>
        <w:t>Línea 106 Línea de Emergencia - Denuncia el Maltrato Infantil</w:t>
      </w:r>
    </w:p>
    <w:p w:rsidR="00AB08E1" w:rsidRPr="00B16826" w:rsidRDefault="00AB08E1" w:rsidP="00AB08E1">
      <w:pPr>
        <w:spacing w:after="0" w:line="240" w:lineRule="auto"/>
        <w:jc w:val="center"/>
        <w:rPr>
          <w:rFonts w:ascii="Verdana" w:hAnsi="Verdana" w:cs="Arial"/>
          <w:b/>
          <w:bCs/>
          <w:sz w:val="24"/>
          <w:szCs w:val="24"/>
        </w:rPr>
      </w:pPr>
    </w:p>
    <w:p w:rsidR="00AB08E1" w:rsidRPr="00B16826" w:rsidRDefault="00AB08E1" w:rsidP="00AB08E1">
      <w:pPr>
        <w:spacing w:after="0" w:line="240" w:lineRule="auto"/>
        <w:jc w:val="both"/>
        <w:rPr>
          <w:rFonts w:ascii="Verdana" w:hAnsi="Verdana" w:cs="Arial"/>
          <w:sz w:val="24"/>
          <w:szCs w:val="24"/>
        </w:rPr>
      </w:pPr>
      <w:r w:rsidRPr="00B16826">
        <w:rPr>
          <w:rFonts w:ascii="Verdana" w:hAnsi="Verdana" w:cs="Arial"/>
          <w:bCs/>
          <w:sz w:val="24"/>
          <w:szCs w:val="24"/>
        </w:rPr>
        <w:t xml:space="preserve">En relación con los canales de atención habilitados </w:t>
      </w:r>
      <w:r w:rsidRPr="00B16826">
        <w:rPr>
          <w:rFonts w:ascii="Verdana" w:hAnsi="Verdana" w:cs="Arial"/>
          <w:sz w:val="24"/>
          <w:szCs w:val="24"/>
        </w:rPr>
        <w:t>(Escrito, Presencial, Telefónico y Virtual), el más utilizado es el Telefónico, con un porcentaje de participación del 96,8% y más de 3.700.000 llamadas registradas en 2014; en segundo lugar se destaca el Chat con un total de 257.500 interacciones.</w:t>
      </w:r>
    </w:p>
    <w:p w:rsidR="00AB08E1" w:rsidRPr="00B16826" w:rsidRDefault="00AB08E1" w:rsidP="00AB08E1">
      <w:pPr>
        <w:spacing w:after="0" w:line="240" w:lineRule="auto"/>
        <w:jc w:val="both"/>
        <w:rPr>
          <w:rFonts w:ascii="Verdana" w:hAnsi="Verdana" w:cs="Arial"/>
          <w:sz w:val="24"/>
          <w:szCs w:val="24"/>
        </w:rPr>
      </w:pPr>
    </w:p>
    <w:p w:rsidR="00AB08E1" w:rsidRPr="00141D2F" w:rsidRDefault="00AB08E1" w:rsidP="00AB08E1">
      <w:pPr>
        <w:spacing w:after="0" w:line="240" w:lineRule="auto"/>
        <w:jc w:val="both"/>
        <w:rPr>
          <w:rFonts w:ascii="Verdana" w:hAnsi="Verdana" w:cs="Arial"/>
          <w:b/>
          <w:color w:val="4F81BD" w:themeColor="accent1"/>
          <w:sz w:val="24"/>
          <w:szCs w:val="24"/>
        </w:rPr>
      </w:pPr>
      <w:r w:rsidRPr="00141D2F">
        <w:rPr>
          <w:rFonts w:ascii="Verdana" w:hAnsi="Verdana" w:cs="Arial"/>
          <w:b/>
          <w:color w:val="4F81BD" w:themeColor="accent1"/>
          <w:sz w:val="24"/>
          <w:szCs w:val="24"/>
        </w:rPr>
        <w:t>Gestión del Talento Humano</w:t>
      </w:r>
    </w:p>
    <w:p w:rsidR="00AB08E1" w:rsidRPr="00B16826" w:rsidRDefault="00AB08E1" w:rsidP="00AB08E1">
      <w:pPr>
        <w:spacing w:after="0" w:line="240" w:lineRule="auto"/>
        <w:jc w:val="both"/>
        <w:rPr>
          <w:rFonts w:ascii="Verdana" w:hAnsi="Verdana" w:cs="Arial"/>
          <w:b/>
          <w:sz w:val="24"/>
          <w:szCs w:val="24"/>
        </w:rPr>
      </w:pPr>
    </w:p>
    <w:p w:rsidR="00AB08E1" w:rsidRPr="00B16826" w:rsidRDefault="00AB08E1" w:rsidP="00AB08E1">
      <w:pPr>
        <w:spacing w:after="0" w:line="240" w:lineRule="auto"/>
        <w:jc w:val="both"/>
        <w:rPr>
          <w:rFonts w:ascii="Verdana" w:hAnsi="Verdana" w:cs="Arial"/>
          <w:sz w:val="24"/>
          <w:szCs w:val="24"/>
        </w:rPr>
      </w:pPr>
      <w:r w:rsidRPr="00B16826">
        <w:rPr>
          <w:rFonts w:ascii="Verdana" w:hAnsi="Verdana" w:cs="Arial"/>
          <w:sz w:val="24"/>
          <w:szCs w:val="24"/>
        </w:rPr>
        <w:t>Los principales resultados en cuanto a las acciones orientadas al bienestar, desarrollo y cualificación de los servidores de la entidad, son los siguientes.</w:t>
      </w:r>
    </w:p>
    <w:p w:rsidR="00AB08E1" w:rsidRPr="00B16826" w:rsidRDefault="00AB08E1" w:rsidP="00AB08E1">
      <w:pPr>
        <w:spacing w:after="0" w:line="240" w:lineRule="auto"/>
        <w:jc w:val="both"/>
        <w:rPr>
          <w:rFonts w:ascii="Verdana" w:hAnsi="Verdana" w:cs="Arial"/>
          <w:b/>
          <w:sz w:val="24"/>
          <w:szCs w:val="24"/>
        </w:rPr>
      </w:pPr>
    </w:p>
    <w:p w:rsidR="00AB08E1" w:rsidRPr="00141D2F" w:rsidRDefault="00AB08E1" w:rsidP="00AB08E1">
      <w:pPr>
        <w:spacing w:after="0" w:line="240" w:lineRule="auto"/>
        <w:jc w:val="both"/>
        <w:rPr>
          <w:rFonts w:ascii="Verdana" w:hAnsi="Verdana" w:cs="Arial"/>
          <w:b/>
          <w:color w:val="1F497D" w:themeColor="text2"/>
          <w:sz w:val="24"/>
          <w:szCs w:val="24"/>
        </w:rPr>
      </w:pPr>
      <w:r w:rsidRPr="00141D2F">
        <w:rPr>
          <w:rFonts w:ascii="Verdana" w:hAnsi="Verdana" w:cs="Arial"/>
          <w:b/>
          <w:color w:val="1F497D" w:themeColor="text2"/>
          <w:sz w:val="24"/>
          <w:szCs w:val="24"/>
        </w:rPr>
        <w:t>Plan Institucional</w:t>
      </w:r>
      <w:r w:rsidRPr="00141D2F">
        <w:rPr>
          <w:rFonts w:ascii="Verdana" w:hAnsi="Verdana"/>
          <w:b/>
          <w:noProof/>
          <w:color w:val="1F497D" w:themeColor="text2"/>
          <w:sz w:val="24"/>
          <w:szCs w:val="24"/>
          <w:lang w:eastAsia="es-CO"/>
        </w:rPr>
        <w:t xml:space="preserve"> </w:t>
      </w:r>
      <w:r w:rsidRPr="00141D2F">
        <w:rPr>
          <w:rFonts w:ascii="Verdana" w:hAnsi="Verdana" w:cs="Arial"/>
          <w:b/>
          <w:color w:val="1F497D" w:themeColor="text2"/>
          <w:sz w:val="24"/>
          <w:szCs w:val="24"/>
        </w:rPr>
        <w:t>de Capacitación.</w:t>
      </w:r>
    </w:p>
    <w:p w:rsidR="00AB08E1" w:rsidRPr="00B16826" w:rsidRDefault="00AB08E1" w:rsidP="00AB08E1">
      <w:pPr>
        <w:spacing w:after="0" w:line="240" w:lineRule="auto"/>
        <w:jc w:val="both"/>
        <w:rPr>
          <w:rFonts w:ascii="Verdana" w:hAnsi="Verdana" w:cs="Arial"/>
          <w:b/>
          <w:sz w:val="24"/>
          <w:szCs w:val="24"/>
        </w:rPr>
      </w:pPr>
    </w:p>
    <w:p w:rsidR="00AB08E1" w:rsidRPr="00B16826" w:rsidRDefault="00AB08E1" w:rsidP="00AB08E1">
      <w:pPr>
        <w:spacing w:after="0" w:line="240" w:lineRule="auto"/>
        <w:jc w:val="both"/>
        <w:rPr>
          <w:rFonts w:ascii="Verdana" w:hAnsi="Verdana" w:cs="Arial"/>
          <w:sz w:val="24"/>
          <w:szCs w:val="24"/>
        </w:rPr>
      </w:pPr>
      <w:r w:rsidRPr="00B16826">
        <w:rPr>
          <w:rFonts w:ascii="Verdana" w:hAnsi="Verdana" w:cs="Arial"/>
          <w:sz w:val="24"/>
          <w:szCs w:val="24"/>
        </w:rPr>
        <w:t xml:space="preserve">El Plan Institucional de Capacitación formulado para la vigencia 2014 alcanzó una ejecución del 96.4%, logrando que más de 4.700 funcionarios de planta, tanto de la Sede Nacional como de las Direcciones Regionales, emplearan 33.641 cupos de los 34.875 programados en eventos presenciales y de la Escuela ICBF </w:t>
      </w:r>
      <w:r w:rsidRPr="00B16826">
        <w:rPr>
          <w:rFonts w:ascii="Verdana" w:hAnsi="Verdana" w:cs="Arial"/>
          <w:color w:val="000000"/>
          <w:sz w:val="24"/>
          <w:szCs w:val="24"/>
          <w:lang w:eastAsia="es-CO"/>
        </w:rPr>
        <w:t>modalidad virtual.</w:t>
      </w:r>
    </w:p>
    <w:p w:rsidR="00AB08E1" w:rsidRPr="00B16826" w:rsidRDefault="00AB08E1" w:rsidP="00AB08E1">
      <w:pPr>
        <w:spacing w:after="0" w:line="240" w:lineRule="auto"/>
        <w:jc w:val="both"/>
        <w:rPr>
          <w:rFonts w:ascii="Verdana" w:hAnsi="Verdana" w:cs="Arial"/>
          <w:sz w:val="24"/>
          <w:szCs w:val="24"/>
        </w:rPr>
      </w:pPr>
      <w:r w:rsidRPr="00B16826">
        <w:rPr>
          <w:rFonts w:ascii="Verdana" w:hAnsi="Verdana" w:cs="Arial"/>
          <w:sz w:val="24"/>
          <w:szCs w:val="24"/>
        </w:rPr>
        <w:t xml:space="preserve"> </w:t>
      </w:r>
    </w:p>
    <w:p w:rsidR="00AB08E1" w:rsidRPr="00B16826" w:rsidRDefault="00AB08E1" w:rsidP="00AB08E1">
      <w:pPr>
        <w:spacing w:after="0" w:line="240" w:lineRule="auto"/>
        <w:jc w:val="both"/>
        <w:rPr>
          <w:rFonts w:ascii="Verdana" w:hAnsi="Verdana" w:cs="Arial"/>
          <w:color w:val="000000"/>
          <w:sz w:val="24"/>
          <w:szCs w:val="24"/>
          <w:lang w:eastAsia="es-CO"/>
        </w:rPr>
      </w:pPr>
      <w:r w:rsidRPr="00B16826">
        <w:rPr>
          <w:rFonts w:ascii="Verdana" w:hAnsi="Verdana" w:cs="Arial"/>
          <w:color w:val="000000"/>
          <w:sz w:val="24"/>
          <w:szCs w:val="24"/>
          <w:lang w:eastAsia="es-CO"/>
        </w:rPr>
        <w:t>Dentro de los temas de capacitación desarrollados se resaltan:</w:t>
      </w:r>
    </w:p>
    <w:p w:rsidR="00AB08E1" w:rsidRPr="00B16826" w:rsidRDefault="00AB08E1" w:rsidP="00AB08E1">
      <w:pPr>
        <w:spacing w:after="0" w:line="240" w:lineRule="auto"/>
        <w:jc w:val="both"/>
        <w:rPr>
          <w:rFonts w:ascii="Verdana" w:hAnsi="Verdana" w:cs="Arial"/>
          <w:color w:val="000000"/>
          <w:sz w:val="24"/>
          <w:szCs w:val="24"/>
          <w:lang w:eastAsia="es-CO"/>
        </w:rPr>
      </w:pPr>
    </w:p>
    <w:p w:rsidR="00AB08E1" w:rsidRPr="00B16826" w:rsidRDefault="00AB08E1" w:rsidP="00AB08E1">
      <w:pPr>
        <w:numPr>
          <w:ilvl w:val="0"/>
          <w:numId w:val="113"/>
        </w:numPr>
        <w:spacing w:after="0" w:line="240" w:lineRule="auto"/>
        <w:jc w:val="both"/>
        <w:rPr>
          <w:rFonts w:ascii="Verdana" w:eastAsia="Times New Roman" w:hAnsi="Verdana" w:cs="Arial"/>
          <w:color w:val="000000"/>
          <w:sz w:val="24"/>
          <w:szCs w:val="24"/>
          <w:lang w:eastAsia="es-CO"/>
        </w:rPr>
      </w:pPr>
      <w:r w:rsidRPr="00B16826">
        <w:rPr>
          <w:rFonts w:ascii="Verdana" w:eastAsia="Times New Roman" w:hAnsi="Verdana" w:cs="Arial"/>
          <w:color w:val="000000"/>
          <w:sz w:val="24"/>
          <w:szCs w:val="24"/>
          <w:lang w:eastAsia="es-CO"/>
        </w:rPr>
        <w:t>Capacitación en dictámenes periciales</w:t>
      </w:r>
    </w:p>
    <w:p w:rsidR="00AB08E1" w:rsidRPr="00B16826" w:rsidRDefault="00AB08E1" w:rsidP="00AB08E1">
      <w:pPr>
        <w:numPr>
          <w:ilvl w:val="0"/>
          <w:numId w:val="113"/>
        </w:numPr>
        <w:spacing w:after="0" w:line="240" w:lineRule="auto"/>
        <w:jc w:val="both"/>
        <w:rPr>
          <w:rFonts w:ascii="Verdana" w:eastAsia="Times New Roman" w:hAnsi="Verdana" w:cs="Arial"/>
          <w:color w:val="000000"/>
          <w:sz w:val="24"/>
          <w:szCs w:val="24"/>
          <w:lang w:eastAsia="es-CO"/>
        </w:rPr>
      </w:pPr>
      <w:r w:rsidRPr="00B16826">
        <w:rPr>
          <w:rFonts w:ascii="Verdana" w:eastAsia="Times New Roman" w:hAnsi="Verdana" w:cs="Arial"/>
          <w:color w:val="000000"/>
          <w:sz w:val="24"/>
          <w:szCs w:val="24"/>
          <w:lang w:eastAsia="es-CO"/>
        </w:rPr>
        <w:t>Capacitación  manejo nutricional de niños con discapacidad.</w:t>
      </w:r>
    </w:p>
    <w:p w:rsidR="00AB08E1" w:rsidRPr="00B16826" w:rsidRDefault="00AB08E1" w:rsidP="00AB08E1">
      <w:pPr>
        <w:numPr>
          <w:ilvl w:val="0"/>
          <w:numId w:val="113"/>
        </w:numPr>
        <w:spacing w:after="0" w:line="240" w:lineRule="auto"/>
        <w:jc w:val="both"/>
        <w:rPr>
          <w:rFonts w:ascii="Verdana" w:eastAsia="Times New Roman" w:hAnsi="Verdana" w:cs="Arial"/>
          <w:color w:val="000000"/>
          <w:sz w:val="24"/>
          <w:szCs w:val="24"/>
          <w:lang w:eastAsia="es-CO"/>
        </w:rPr>
      </w:pPr>
      <w:r w:rsidRPr="00B16826">
        <w:rPr>
          <w:rFonts w:ascii="Verdana" w:eastAsia="Times New Roman" w:hAnsi="Verdana" w:cs="Arial"/>
          <w:color w:val="000000"/>
          <w:sz w:val="24"/>
          <w:szCs w:val="24"/>
          <w:lang w:eastAsia="es-CO"/>
        </w:rPr>
        <w:t>Intervención en el consumo de sustancias psicoactivas</w:t>
      </w:r>
    </w:p>
    <w:p w:rsidR="00AB08E1" w:rsidRPr="00B16826" w:rsidRDefault="00AB08E1" w:rsidP="00AB08E1">
      <w:pPr>
        <w:numPr>
          <w:ilvl w:val="0"/>
          <w:numId w:val="113"/>
        </w:numPr>
        <w:spacing w:after="0" w:line="240" w:lineRule="auto"/>
        <w:jc w:val="both"/>
        <w:rPr>
          <w:rFonts w:ascii="Verdana" w:eastAsia="Times New Roman" w:hAnsi="Verdana" w:cs="Arial"/>
          <w:color w:val="000000"/>
          <w:sz w:val="24"/>
          <w:szCs w:val="24"/>
          <w:lang w:eastAsia="es-CO"/>
        </w:rPr>
      </w:pPr>
      <w:r w:rsidRPr="00B16826">
        <w:rPr>
          <w:rFonts w:ascii="Verdana" w:eastAsia="Times New Roman" w:hAnsi="Verdana" w:cs="Arial"/>
          <w:color w:val="000000"/>
          <w:sz w:val="24"/>
          <w:szCs w:val="24"/>
          <w:lang w:eastAsia="es-CO"/>
        </w:rPr>
        <w:t xml:space="preserve">Salud y nutrición en primera infancia </w:t>
      </w:r>
    </w:p>
    <w:p w:rsidR="00AB08E1" w:rsidRPr="00B16826" w:rsidRDefault="00AB08E1" w:rsidP="00AB08E1">
      <w:pPr>
        <w:numPr>
          <w:ilvl w:val="0"/>
          <w:numId w:val="113"/>
        </w:numPr>
        <w:spacing w:after="0" w:line="240" w:lineRule="auto"/>
        <w:jc w:val="both"/>
        <w:rPr>
          <w:rFonts w:ascii="Verdana" w:eastAsia="Times New Roman" w:hAnsi="Verdana" w:cs="Arial"/>
          <w:color w:val="000000"/>
          <w:sz w:val="24"/>
          <w:szCs w:val="24"/>
          <w:lang w:eastAsia="es-CO"/>
        </w:rPr>
      </w:pPr>
      <w:r w:rsidRPr="00B16826">
        <w:rPr>
          <w:rFonts w:ascii="Verdana" w:eastAsia="Times New Roman" w:hAnsi="Verdana" w:cs="Arial"/>
          <w:color w:val="000000"/>
          <w:sz w:val="24"/>
          <w:szCs w:val="24"/>
          <w:lang w:eastAsia="es-CO"/>
        </w:rPr>
        <w:t xml:space="preserve">Esquema monitoreo a consejos de política social </w:t>
      </w:r>
    </w:p>
    <w:p w:rsidR="00AB08E1" w:rsidRPr="00B16826" w:rsidRDefault="00AB08E1" w:rsidP="00AB08E1">
      <w:pPr>
        <w:numPr>
          <w:ilvl w:val="0"/>
          <w:numId w:val="113"/>
        </w:numPr>
        <w:spacing w:after="0" w:line="240" w:lineRule="auto"/>
        <w:jc w:val="both"/>
        <w:rPr>
          <w:rFonts w:ascii="Verdana" w:eastAsia="Times New Roman" w:hAnsi="Verdana" w:cs="Arial"/>
          <w:color w:val="000000"/>
          <w:sz w:val="24"/>
          <w:szCs w:val="24"/>
          <w:lang w:eastAsia="es-CO"/>
        </w:rPr>
      </w:pPr>
      <w:r w:rsidRPr="00B16826">
        <w:rPr>
          <w:rFonts w:ascii="Verdana" w:eastAsia="Times New Roman" w:hAnsi="Verdana" w:cs="Arial"/>
          <w:color w:val="000000"/>
          <w:sz w:val="24"/>
          <w:szCs w:val="24"/>
          <w:lang w:eastAsia="es-CO"/>
        </w:rPr>
        <w:t>Nutrición afectiva-capacitación</w:t>
      </w:r>
    </w:p>
    <w:p w:rsidR="00AB08E1" w:rsidRPr="00B16826" w:rsidRDefault="00AB08E1" w:rsidP="00AB08E1">
      <w:pPr>
        <w:numPr>
          <w:ilvl w:val="0"/>
          <w:numId w:val="113"/>
        </w:numPr>
        <w:spacing w:after="0" w:line="240" w:lineRule="auto"/>
        <w:jc w:val="both"/>
        <w:rPr>
          <w:rFonts w:ascii="Verdana" w:eastAsia="Times New Roman" w:hAnsi="Verdana" w:cs="Arial"/>
          <w:color w:val="000000"/>
          <w:sz w:val="24"/>
          <w:szCs w:val="24"/>
          <w:lang w:eastAsia="es-CO"/>
        </w:rPr>
      </w:pPr>
      <w:r w:rsidRPr="00B16826">
        <w:rPr>
          <w:rFonts w:ascii="Verdana" w:eastAsia="Times New Roman" w:hAnsi="Verdana" w:cs="Arial"/>
          <w:color w:val="000000"/>
          <w:sz w:val="24"/>
          <w:szCs w:val="24"/>
          <w:lang w:eastAsia="es-CO"/>
        </w:rPr>
        <w:t>Procedimientos administrativos y judiciales</w:t>
      </w:r>
    </w:p>
    <w:p w:rsidR="00AB08E1" w:rsidRPr="00B16826" w:rsidRDefault="00AB08E1" w:rsidP="00AB08E1">
      <w:pPr>
        <w:numPr>
          <w:ilvl w:val="0"/>
          <w:numId w:val="113"/>
        </w:numPr>
        <w:spacing w:after="0" w:line="240" w:lineRule="auto"/>
        <w:jc w:val="both"/>
        <w:rPr>
          <w:rFonts w:ascii="Verdana" w:hAnsi="Verdana" w:cs="Arial"/>
          <w:color w:val="000000"/>
          <w:sz w:val="24"/>
          <w:szCs w:val="24"/>
          <w:lang w:eastAsia="es-CO"/>
        </w:rPr>
      </w:pPr>
      <w:r w:rsidRPr="00B16826">
        <w:rPr>
          <w:rFonts w:ascii="Verdana" w:hAnsi="Verdana" w:cs="Arial"/>
          <w:color w:val="000000"/>
          <w:sz w:val="24"/>
          <w:szCs w:val="24"/>
          <w:lang w:eastAsia="es-CO"/>
        </w:rPr>
        <w:t>Actualización en el nuevo código general  del proceso</w:t>
      </w:r>
    </w:p>
    <w:p w:rsidR="00AB08E1" w:rsidRPr="00B16826" w:rsidRDefault="00AB08E1" w:rsidP="00AB08E1">
      <w:pPr>
        <w:numPr>
          <w:ilvl w:val="0"/>
          <w:numId w:val="113"/>
        </w:numPr>
        <w:spacing w:after="0" w:line="240" w:lineRule="auto"/>
        <w:jc w:val="both"/>
        <w:rPr>
          <w:rFonts w:ascii="Verdana" w:hAnsi="Verdana" w:cs="Arial"/>
          <w:color w:val="000000"/>
          <w:sz w:val="24"/>
          <w:szCs w:val="24"/>
          <w:lang w:eastAsia="es-CO"/>
        </w:rPr>
      </w:pPr>
      <w:r w:rsidRPr="00B16826">
        <w:rPr>
          <w:rFonts w:ascii="Verdana" w:hAnsi="Verdana" w:cs="Arial"/>
          <w:color w:val="000000"/>
          <w:sz w:val="24"/>
          <w:szCs w:val="24"/>
          <w:lang w:eastAsia="es-CO"/>
        </w:rPr>
        <w:t>Código general del proceso, oralidad y argumentación jurídica para defensores de familia</w:t>
      </w:r>
    </w:p>
    <w:p w:rsidR="00AB08E1" w:rsidRPr="00B16826" w:rsidRDefault="00AB08E1" w:rsidP="00AB08E1">
      <w:pPr>
        <w:numPr>
          <w:ilvl w:val="0"/>
          <w:numId w:val="113"/>
        </w:numPr>
        <w:spacing w:after="0" w:line="240" w:lineRule="auto"/>
        <w:jc w:val="both"/>
        <w:rPr>
          <w:rFonts w:ascii="Verdana" w:hAnsi="Verdana" w:cs="Arial"/>
          <w:color w:val="000000"/>
          <w:sz w:val="24"/>
          <w:szCs w:val="24"/>
          <w:lang w:eastAsia="es-CO"/>
        </w:rPr>
      </w:pPr>
      <w:r w:rsidRPr="00B16826">
        <w:rPr>
          <w:rFonts w:ascii="Verdana" w:hAnsi="Verdana" w:cs="Arial"/>
          <w:color w:val="000000"/>
          <w:sz w:val="24"/>
          <w:szCs w:val="24"/>
          <w:lang w:eastAsia="es-CO"/>
        </w:rPr>
        <w:t>Taller de fortalecimiento de habilidades de liderazgo para coordinadores centros zonales</w:t>
      </w:r>
    </w:p>
    <w:p w:rsidR="00AB08E1" w:rsidRPr="00B16826" w:rsidRDefault="00AB08E1" w:rsidP="00AB08E1">
      <w:pPr>
        <w:spacing w:after="0" w:line="240" w:lineRule="auto"/>
        <w:jc w:val="both"/>
        <w:rPr>
          <w:rFonts w:ascii="Verdana" w:hAnsi="Verdana" w:cs="Arial"/>
          <w:b/>
          <w:sz w:val="24"/>
          <w:szCs w:val="24"/>
        </w:rPr>
      </w:pPr>
    </w:p>
    <w:p w:rsidR="00AB08E1" w:rsidRPr="00B16826" w:rsidRDefault="00AB08E1" w:rsidP="00AB08E1">
      <w:pPr>
        <w:spacing w:after="0" w:line="240" w:lineRule="auto"/>
        <w:jc w:val="both"/>
        <w:rPr>
          <w:rFonts w:ascii="Verdana" w:hAnsi="Verdana" w:cs="Arial"/>
          <w:color w:val="000000"/>
          <w:sz w:val="24"/>
          <w:szCs w:val="24"/>
          <w:lang w:eastAsia="es-CO"/>
        </w:rPr>
      </w:pPr>
      <w:r w:rsidRPr="00B16826">
        <w:rPr>
          <w:rFonts w:ascii="Verdana" w:hAnsi="Verdana" w:cs="Arial"/>
          <w:color w:val="000000"/>
          <w:sz w:val="24"/>
          <w:szCs w:val="24"/>
          <w:lang w:eastAsia="es-CO"/>
        </w:rPr>
        <w:t>En los temas virtuales se destacan:</w:t>
      </w:r>
    </w:p>
    <w:p w:rsidR="00AB08E1" w:rsidRPr="00B16826" w:rsidRDefault="00AB08E1" w:rsidP="00AB08E1">
      <w:pPr>
        <w:spacing w:after="0" w:line="240" w:lineRule="auto"/>
        <w:jc w:val="both"/>
        <w:rPr>
          <w:rFonts w:ascii="Verdana" w:hAnsi="Verdana" w:cs="Arial"/>
          <w:color w:val="000000"/>
          <w:sz w:val="24"/>
          <w:szCs w:val="24"/>
          <w:lang w:eastAsia="es-CO"/>
        </w:rPr>
      </w:pPr>
    </w:p>
    <w:p w:rsidR="00AB08E1" w:rsidRPr="00B16826" w:rsidRDefault="00AB08E1" w:rsidP="00AB08E1">
      <w:pPr>
        <w:numPr>
          <w:ilvl w:val="0"/>
          <w:numId w:val="114"/>
        </w:numPr>
        <w:spacing w:after="0" w:line="240" w:lineRule="auto"/>
        <w:jc w:val="both"/>
        <w:rPr>
          <w:rFonts w:ascii="Verdana" w:hAnsi="Verdana" w:cs="Arial"/>
          <w:color w:val="000000"/>
          <w:sz w:val="24"/>
          <w:szCs w:val="24"/>
          <w:lang w:eastAsia="es-CO"/>
        </w:rPr>
      </w:pPr>
      <w:r w:rsidRPr="00B16826">
        <w:rPr>
          <w:rFonts w:ascii="Verdana" w:hAnsi="Verdana" w:cs="Arial"/>
          <w:color w:val="000000"/>
          <w:sz w:val="24"/>
          <w:szCs w:val="24"/>
          <w:lang w:eastAsia="es-CO"/>
        </w:rPr>
        <w:t>Diplomado José Antonio Carballo Cabrera</w:t>
      </w:r>
    </w:p>
    <w:p w:rsidR="00AB08E1" w:rsidRPr="00B16826" w:rsidRDefault="00AB08E1" w:rsidP="00AB08E1">
      <w:pPr>
        <w:numPr>
          <w:ilvl w:val="0"/>
          <w:numId w:val="114"/>
        </w:numPr>
        <w:spacing w:after="0" w:line="240" w:lineRule="auto"/>
        <w:jc w:val="both"/>
        <w:rPr>
          <w:rFonts w:ascii="Verdana" w:hAnsi="Verdana" w:cs="Arial"/>
          <w:color w:val="000000"/>
          <w:sz w:val="24"/>
          <w:szCs w:val="24"/>
          <w:lang w:eastAsia="es-CO"/>
        </w:rPr>
      </w:pPr>
      <w:r w:rsidRPr="00B16826">
        <w:rPr>
          <w:rFonts w:ascii="Verdana" w:hAnsi="Verdana" w:cs="Arial"/>
          <w:color w:val="000000"/>
          <w:sz w:val="24"/>
          <w:szCs w:val="24"/>
          <w:lang w:eastAsia="es-CO"/>
        </w:rPr>
        <w:t>Curso Derechos Humanos</w:t>
      </w:r>
    </w:p>
    <w:p w:rsidR="00AB08E1" w:rsidRPr="00B16826" w:rsidRDefault="00AB08E1" w:rsidP="00AB08E1">
      <w:pPr>
        <w:numPr>
          <w:ilvl w:val="0"/>
          <w:numId w:val="114"/>
        </w:numPr>
        <w:spacing w:after="0" w:line="240" w:lineRule="auto"/>
        <w:jc w:val="both"/>
        <w:rPr>
          <w:rFonts w:ascii="Verdana" w:hAnsi="Verdana" w:cs="Arial"/>
          <w:color w:val="000000"/>
          <w:sz w:val="24"/>
          <w:szCs w:val="24"/>
          <w:lang w:eastAsia="es-CO"/>
        </w:rPr>
      </w:pPr>
      <w:r w:rsidRPr="00B16826">
        <w:rPr>
          <w:rFonts w:ascii="Verdana" w:hAnsi="Verdana" w:cs="Arial"/>
          <w:color w:val="000000"/>
          <w:sz w:val="24"/>
          <w:szCs w:val="24"/>
          <w:lang w:eastAsia="es-CO"/>
        </w:rPr>
        <w:t>Curso Ley de Infancia y Adolescencia</w:t>
      </w:r>
    </w:p>
    <w:p w:rsidR="00AB08E1" w:rsidRPr="00B16826" w:rsidRDefault="00AB08E1" w:rsidP="00AB08E1">
      <w:pPr>
        <w:numPr>
          <w:ilvl w:val="0"/>
          <w:numId w:val="114"/>
        </w:numPr>
        <w:spacing w:after="0" w:line="240" w:lineRule="auto"/>
        <w:jc w:val="both"/>
        <w:rPr>
          <w:rFonts w:ascii="Verdana" w:hAnsi="Verdana" w:cs="Arial"/>
          <w:color w:val="000000"/>
          <w:sz w:val="24"/>
          <w:szCs w:val="24"/>
          <w:lang w:eastAsia="es-CO"/>
        </w:rPr>
      </w:pPr>
      <w:r w:rsidRPr="00B16826">
        <w:rPr>
          <w:rFonts w:ascii="Verdana" w:hAnsi="Verdana" w:cs="Arial"/>
          <w:color w:val="000000"/>
          <w:sz w:val="24"/>
          <w:szCs w:val="24"/>
          <w:lang w:eastAsia="es-CO"/>
        </w:rPr>
        <w:t>Diplomado Resiliencia</w:t>
      </w:r>
    </w:p>
    <w:p w:rsidR="00AB08E1" w:rsidRPr="00B16826" w:rsidRDefault="00AB08E1" w:rsidP="00AB08E1">
      <w:pPr>
        <w:numPr>
          <w:ilvl w:val="0"/>
          <w:numId w:val="114"/>
        </w:numPr>
        <w:spacing w:after="0" w:line="240" w:lineRule="auto"/>
        <w:jc w:val="both"/>
        <w:rPr>
          <w:rFonts w:ascii="Verdana" w:hAnsi="Verdana" w:cs="Arial"/>
          <w:color w:val="000000"/>
          <w:sz w:val="24"/>
          <w:szCs w:val="24"/>
          <w:lang w:eastAsia="es-CO"/>
        </w:rPr>
      </w:pPr>
      <w:r w:rsidRPr="00B16826">
        <w:rPr>
          <w:rFonts w:ascii="Verdana" w:hAnsi="Verdana" w:cs="Arial"/>
          <w:color w:val="000000"/>
          <w:sz w:val="24"/>
          <w:szCs w:val="24"/>
          <w:lang w:eastAsia="es-CO"/>
        </w:rPr>
        <w:t>Diplomado: Cuerpos, Géneros y Diversidad</w:t>
      </w:r>
    </w:p>
    <w:p w:rsidR="00AB08E1" w:rsidRPr="00B16826" w:rsidRDefault="00AB08E1" w:rsidP="00AB08E1">
      <w:pPr>
        <w:numPr>
          <w:ilvl w:val="0"/>
          <w:numId w:val="114"/>
        </w:numPr>
        <w:spacing w:after="0" w:line="240" w:lineRule="auto"/>
        <w:jc w:val="both"/>
        <w:rPr>
          <w:rFonts w:ascii="Verdana" w:hAnsi="Verdana" w:cs="Arial"/>
          <w:color w:val="000000"/>
          <w:sz w:val="24"/>
          <w:szCs w:val="24"/>
          <w:lang w:eastAsia="es-CO"/>
        </w:rPr>
      </w:pPr>
      <w:r w:rsidRPr="00B16826">
        <w:rPr>
          <w:rFonts w:ascii="Verdana" w:hAnsi="Verdana" w:cs="Arial"/>
          <w:color w:val="000000"/>
          <w:sz w:val="24"/>
          <w:szCs w:val="24"/>
          <w:lang w:eastAsia="es-CO"/>
        </w:rPr>
        <w:t>Curso virtual Sistema Nacional de Bienestar</w:t>
      </w:r>
    </w:p>
    <w:p w:rsidR="00AB08E1" w:rsidRPr="00B16826" w:rsidRDefault="00AB08E1" w:rsidP="00AB08E1">
      <w:pPr>
        <w:spacing w:after="0" w:line="240" w:lineRule="auto"/>
        <w:jc w:val="both"/>
        <w:rPr>
          <w:rFonts w:ascii="Verdana" w:hAnsi="Verdana" w:cs="Arial"/>
          <w:color w:val="000000"/>
          <w:sz w:val="24"/>
          <w:szCs w:val="24"/>
          <w:lang w:eastAsia="es-CO"/>
        </w:rPr>
      </w:pPr>
    </w:p>
    <w:p w:rsidR="00AB08E1" w:rsidRPr="00B16826" w:rsidRDefault="00AB08E1" w:rsidP="00AB08E1">
      <w:pPr>
        <w:spacing w:after="0" w:line="240" w:lineRule="auto"/>
        <w:jc w:val="both"/>
        <w:rPr>
          <w:rFonts w:ascii="Verdana" w:hAnsi="Verdana" w:cs="Arial"/>
          <w:color w:val="000000"/>
          <w:sz w:val="24"/>
          <w:szCs w:val="24"/>
          <w:lang w:eastAsia="es-CO"/>
        </w:rPr>
      </w:pPr>
      <w:r w:rsidRPr="00B16826">
        <w:rPr>
          <w:rFonts w:ascii="Verdana" w:hAnsi="Verdana" w:cs="Arial"/>
          <w:color w:val="000000"/>
          <w:sz w:val="24"/>
          <w:szCs w:val="24"/>
          <w:lang w:eastAsia="es-CO"/>
        </w:rPr>
        <w:t xml:space="preserve">La oferta académica de la Escuela ICBF se desarrolló con 54 cursos y 6 diplomados virtuales con un total de 4.108 certificados en plataforma. </w:t>
      </w:r>
    </w:p>
    <w:p w:rsidR="00AB08E1" w:rsidRPr="00B16826" w:rsidRDefault="00AB08E1" w:rsidP="00AB08E1">
      <w:pPr>
        <w:spacing w:after="0" w:line="240" w:lineRule="auto"/>
        <w:jc w:val="both"/>
        <w:rPr>
          <w:rFonts w:ascii="Verdana" w:hAnsi="Verdana" w:cs="Arial"/>
          <w:b/>
          <w:sz w:val="24"/>
          <w:szCs w:val="24"/>
        </w:rPr>
      </w:pPr>
    </w:p>
    <w:p w:rsidR="00AB08E1" w:rsidRPr="00B16826" w:rsidRDefault="00AB08E1" w:rsidP="00AB08E1">
      <w:pPr>
        <w:spacing w:after="0" w:line="240" w:lineRule="auto"/>
        <w:jc w:val="both"/>
        <w:rPr>
          <w:rFonts w:ascii="Verdana" w:hAnsi="Verdana" w:cs="Arial"/>
          <w:b/>
          <w:sz w:val="24"/>
          <w:szCs w:val="24"/>
        </w:rPr>
      </w:pPr>
      <w:r w:rsidRPr="00B16826">
        <w:rPr>
          <w:rFonts w:ascii="Verdana" w:hAnsi="Verdana" w:cs="Arial"/>
          <w:color w:val="000000"/>
          <w:sz w:val="24"/>
          <w:szCs w:val="24"/>
          <w:lang w:eastAsia="es-CO"/>
        </w:rPr>
        <w:t xml:space="preserve">En relación con la meta formulada del 86% de funcionarios de planta capacitados, esta fue superada en 6 puntos porcentuales, alcanzando un 92.39%. </w:t>
      </w:r>
    </w:p>
    <w:p w:rsidR="00AB08E1" w:rsidRPr="00B16826" w:rsidRDefault="00AB08E1" w:rsidP="00AB08E1">
      <w:pPr>
        <w:pStyle w:val="Prrafodelista"/>
        <w:spacing w:after="0" w:line="240" w:lineRule="auto"/>
        <w:jc w:val="both"/>
        <w:rPr>
          <w:rFonts w:ascii="Verdana" w:hAnsi="Verdana" w:cs="Arial"/>
          <w:color w:val="000000"/>
          <w:sz w:val="24"/>
          <w:szCs w:val="24"/>
          <w:lang w:eastAsia="es-CO"/>
        </w:rPr>
      </w:pPr>
    </w:p>
    <w:p w:rsidR="00AB08E1" w:rsidRPr="00B16826" w:rsidRDefault="00AB08E1" w:rsidP="00AB08E1">
      <w:pPr>
        <w:spacing w:after="0" w:line="240" w:lineRule="auto"/>
        <w:jc w:val="center"/>
        <w:rPr>
          <w:rFonts w:ascii="Verdana" w:hAnsi="Verdana" w:cs="Arial"/>
          <w:b/>
          <w:sz w:val="24"/>
          <w:szCs w:val="24"/>
        </w:rPr>
      </w:pPr>
    </w:p>
    <w:p w:rsidR="00AB08E1" w:rsidRPr="008D1841" w:rsidRDefault="00AB08E1" w:rsidP="00AB08E1">
      <w:pPr>
        <w:spacing w:after="0" w:line="240" w:lineRule="auto"/>
        <w:jc w:val="center"/>
        <w:rPr>
          <w:rFonts w:ascii="Verdana" w:hAnsi="Verdana" w:cs="Arial"/>
          <w:b/>
          <w:color w:val="1F497D" w:themeColor="text2"/>
          <w:sz w:val="20"/>
          <w:szCs w:val="20"/>
        </w:rPr>
      </w:pPr>
      <w:r w:rsidRPr="008D1841">
        <w:rPr>
          <w:rFonts w:ascii="Verdana" w:hAnsi="Verdana" w:cs="Arial"/>
          <w:b/>
          <w:color w:val="1F497D" w:themeColor="text2"/>
          <w:sz w:val="20"/>
          <w:szCs w:val="20"/>
        </w:rPr>
        <w:t xml:space="preserve"> Servidores del ICBF capacitados en 2014 </w:t>
      </w:r>
    </w:p>
    <w:p w:rsidR="00AB08E1" w:rsidRDefault="00AB08E1" w:rsidP="00AB08E1">
      <w:pPr>
        <w:spacing w:after="0" w:line="240" w:lineRule="auto"/>
        <w:jc w:val="center"/>
        <w:rPr>
          <w:rFonts w:ascii="Verdana" w:hAnsi="Verdana" w:cs="Arial"/>
          <w:b/>
          <w:color w:val="1F497D" w:themeColor="text2"/>
          <w:sz w:val="20"/>
          <w:szCs w:val="20"/>
        </w:rPr>
      </w:pPr>
      <w:r w:rsidRPr="008D1841">
        <w:rPr>
          <w:rFonts w:ascii="Verdana" w:hAnsi="Verdana" w:cs="Arial"/>
          <w:b/>
          <w:color w:val="1F497D" w:themeColor="text2"/>
          <w:sz w:val="20"/>
          <w:szCs w:val="20"/>
        </w:rPr>
        <w:t>Desagregación por Dirección Regional</w:t>
      </w:r>
    </w:p>
    <w:p w:rsidR="00AB08E1" w:rsidRDefault="00AB08E1" w:rsidP="00AB08E1">
      <w:pPr>
        <w:spacing w:after="0" w:line="240" w:lineRule="auto"/>
        <w:jc w:val="center"/>
        <w:rPr>
          <w:rFonts w:ascii="Verdana" w:hAnsi="Verdana" w:cs="Arial"/>
          <w:b/>
          <w:color w:val="1F497D" w:themeColor="text2"/>
          <w:sz w:val="20"/>
          <w:szCs w:val="20"/>
        </w:rPr>
      </w:pPr>
    </w:p>
    <w:tbl>
      <w:tblPr>
        <w:tblW w:w="5000" w:type="pct"/>
        <w:tblCellMar>
          <w:left w:w="70" w:type="dxa"/>
          <w:right w:w="70" w:type="dxa"/>
        </w:tblCellMar>
        <w:tblLook w:val="04A0"/>
      </w:tblPr>
      <w:tblGrid>
        <w:gridCol w:w="3415"/>
        <w:gridCol w:w="2138"/>
        <w:gridCol w:w="2216"/>
        <w:gridCol w:w="2397"/>
      </w:tblGrid>
      <w:tr w:rsidR="00AB08E1" w:rsidRPr="008D1841" w:rsidTr="00F33CF6">
        <w:trPr>
          <w:trHeight w:val="300"/>
          <w:tblHeader/>
        </w:trPr>
        <w:tc>
          <w:tcPr>
            <w:tcW w:w="1679" w:type="pct"/>
            <w:tcBorders>
              <w:top w:val="nil"/>
              <w:left w:val="nil"/>
              <w:bottom w:val="single" w:sz="12" w:space="0" w:color="FFFFFF"/>
              <w:right w:val="single" w:sz="4" w:space="0" w:color="FFFFFF"/>
            </w:tcBorders>
            <w:shd w:val="clear" w:color="4F81BD" w:fill="4F81BD"/>
            <w:hideMark/>
          </w:tcPr>
          <w:p w:rsidR="00AB08E1" w:rsidRPr="008D1841" w:rsidRDefault="00AB08E1" w:rsidP="00F33CF6">
            <w:pPr>
              <w:spacing w:after="0" w:line="240" w:lineRule="auto"/>
              <w:jc w:val="center"/>
              <w:rPr>
                <w:rFonts w:ascii="Verdana" w:eastAsia="Times New Roman" w:hAnsi="Verdana" w:cs="Times New Roman"/>
                <w:b/>
                <w:bCs/>
                <w:color w:val="FFFFFF"/>
                <w:sz w:val="20"/>
                <w:szCs w:val="20"/>
                <w:lang w:eastAsia="es-CO"/>
              </w:rPr>
            </w:pPr>
            <w:r w:rsidRPr="008D1841">
              <w:rPr>
                <w:rFonts w:ascii="Verdana" w:eastAsia="Times New Roman" w:hAnsi="Verdana" w:cs="Times New Roman"/>
                <w:b/>
                <w:bCs/>
                <w:color w:val="FFFFFF"/>
                <w:sz w:val="20"/>
                <w:szCs w:val="20"/>
                <w:lang w:eastAsia="es-CO"/>
              </w:rPr>
              <w:t>Regional</w:t>
            </w:r>
          </w:p>
        </w:tc>
        <w:tc>
          <w:tcPr>
            <w:tcW w:w="1051" w:type="pct"/>
            <w:tcBorders>
              <w:top w:val="nil"/>
              <w:left w:val="nil"/>
              <w:bottom w:val="single" w:sz="12" w:space="0" w:color="FFFFFF"/>
              <w:right w:val="single" w:sz="4" w:space="0" w:color="FFFFFF"/>
            </w:tcBorders>
            <w:shd w:val="clear" w:color="4F81BD" w:fill="4F81BD"/>
            <w:hideMark/>
          </w:tcPr>
          <w:p w:rsidR="00AB08E1" w:rsidRPr="008D1841" w:rsidRDefault="00AB08E1" w:rsidP="00F33CF6">
            <w:pPr>
              <w:spacing w:after="0" w:line="240" w:lineRule="auto"/>
              <w:jc w:val="center"/>
              <w:rPr>
                <w:rFonts w:ascii="Verdana" w:eastAsia="Times New Roman" w:hAnsi="Verdana" w:cs="Times New Roman"/>
                <w:b/>
                <w:bCs/>
                <w:color w:val="FFFFFF"/>
                <w:sz w:val="20"/>
                <w:szCs w:val="20"/>
                <w:lang w:eastAsia="es-CO"/>
              </w:rPr>
            </w:pPr>
            <w:r w:rsidRPr="008D1841">
              <w:rPr>
                <w:rFonts w:ascii="Verdana" w:eastAsia="Times New Roman" w:hAnsi="Verdana" w:cs="Times New Roman"/>
                <w:b/>
                <w:bCs/>
                <w:color w:val="FFFFFF"/>
                <w:sz w:val="20"/>
                <w:szCs w:val="20"/>
                <w:lang w:eastAsia="es-CO"/>
              </w:rPr>
              <w:t>Servidores Capacitados</w:t>
            </w:r>
          </w:p>
        </w:tc>
        <w:tc>
          <w:tcPr>
            <w:tcW w:w="1090" w:type="pct"/>
            <w:tcBorders>
              <w:top w:val="nil"/>
              <w:left w:val="nil"/>
              <w:bottom w:val="single" w:sz="12" w:space="0" w:color="FFFFFF"/>
              <w:right w:val="single" w:sz="4" w:space="0" w:color="FFFFFF"/>
            </w:tcBorders>
            <w:shd w:val="clear" w:color="4F81BD" w:fill="4F81BD"/>
            <w:hideMark/>
          </w:tcPr>
          <w:p w:rsidR="00AB08E1" w:rsidRPr="008D1841" w:rsidRDefault="00AB08E1" w:rsidP="00F33CF6">
            <w:pPr>
              <w:spacing w:after="0" w:line="240" w:lineRule="auto"/>
              <w:jc w:val="center"/>
              <w:rPr>
                <w:rFonts w:ascii="Verdana" w:eastAsia="Times New Roman" w:hAnsi="Verdana" w:cs="Times New Roman"/>
                <w:b/>
                <w:bCs/>
                <w:color w:val="FFFFFF"/>
                <w:sz w:val="20"/>
                <w:szCs w:val="20"/>
                <w:lang w:eastAsia="es-CO"/>
              </w:rPr>
            </w:pPr>
            <w:r w:rsidRPr="008D1841">
              <w:rPr>
                <w:rFonts w:ascii="Verdana" w:eastAsia="Times New Roman" w:hAnsi="Verdana" w:cs="Times New Roman"/>
                <w:b/>
                <w:bCs/>
                <w:color w:val="FFFFFF"/>
                <w:sz w:val="20"/>
                <w:szCs w:val="20"/>
                <w:lang w:eastAsia="es-CO"/>
              </w:rPr>
              <w:t>Total Servidores</w:t>
            </w:r>
          </w:p>
        </w:tc>
        <w:tc>
          <w:tcPr>
            <w:tcW w:w="1179" w:type="pct"/>
            <w:tcBorders>
              <w:top w:val="nil"/>
              <w:left w:val="nil"/>
              <w:bottom w:val="single" w:sz="12" w:space="0" w:color="FFFFFF"/>
              <w:right w:val="single" w:sz="4" w:space="0" w:color="FFFFFF"/>
            </w:tcBorders>
            <w:shd w:val="clear" w:color="4F81BD" w:fill="4F81BD"/>
            <w:hideMark/>
          </w:tcPr>
          <w:p w:rsidR="00AB08E1" w:rsidRPr="008D1841" w:rsidRDefault="00AB08E1" w:rsidP="00F33CF6">
            <w:pPr>
              <w:spacing w:after="0" w:line="240" w:lineRule="auto"/>
              <w:jc w:val="center"/>
              <w:rPr>
                <w:rFonts w:ascii="Verdana" w:eastAsia="Times New Roman" w:hAnsi="Verdana" w:cs="Times New Roman"/>
                <w:b/>
                <w:bCs/>
                <w:color w:val="FFFFFF"/>
                <w:sz w:val="20"/>
                <w:szCs w:val="20"/>
                <w:lang w:eastAsia="es-CO"/>
              </w:rPr>
            </w:pPr>
            <w:r w:rsidRPr="008D1841">
              <w:rPr>
                <w:rFonts w:ascii="Verdana" w:eastAsia="Times New Roman" w:hAnsi="Verdana" w:cs="Times New Roman"/>
                <w:b/>
                <w:bCs/>
                <w:color w:val="FFFFFF"/>
                <w:sz w:val="20"/>
                <w:szCs w:val="20"/>
                <w:lang w:eastAsia="es-CO"/>
              </w:rPr>
              <w:t>% de servidores capacitados</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Amazonas</w:t>
            </w:r>
          </w:p>
        </w:tc>
        <w:tc>
          <w:tcPr>
            <w:tcW w:w="1051"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25</w:t>
            </w:r>
          </w:p>
        </w:tc>
        <w:tc>
          <w:tcPr>
            <w:tcW w:w="1090"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26</w:t>
            </w:r>
          </w:p>
        </w:tc>
        <w:tc>
          <w:tcPr>
            <w:tcW w:w="11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96,15%</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Antioquia</w:t>
            </w:r>
          </w:p>
        </w:tc>
        <w:tc>
          <w:tcPr>
            <w:tcW w:w="1051"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341</w:t>
            </w:r>
          </w:p>
        </w:tc>
        <w:tc>
          <w:tcPr>
            <w:tcW w:w="1090"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366</w:t>
            </w:r>
          </w:p>
        </w:tc>
        <w:tc>
          <w:tcPr>
            <w:tcW w:w="1179"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93,17%</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Arauca</w:t>
            </w:r>
          </w:p>
        </w:tc>
        <w:tc>
          <w:tcPr>
            <w:tcW w:w="1051"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39</w:t>
            </w:r>
          </w:p>
        </w:tc>
        <w:tc>
          <w:tcPr>
            <w:tcW w:w="1090"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41</w:t>
            </w:r>
          </w:p>
        </w:tc>
        <w:tc>
          <w:tcPr>
            <w:tcW w:w="11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95,12%</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Atlántico</w:t>
            </w:r>
          </w:p>
        </w:tc>
        <w:tc>
          <w:tcPr>
            <w:tcW w:w="1051"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179</w:t>
            </w:r>
          </w:p>
        </w:tc>
        <w:tc>
          <w:tcPr>
            <w:tcW w:w="1090"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181</w:t>
            </w:r>
          </w:p>
        </w:tc>
        <w:tc>
          <w:tcPr>
            <w:tcW w:w="1179"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98,90%</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Bogotá</w:t>
            </w:r>
          </w:p>
        </w:tc>
        <w:tc>
          <w:tcPr>
            <w:tcW w:w="1051"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558</w:t>
            </w:r>
          </w:p>
        </w:tc>
        <w:tc>
          <w:tcPr>
            <w:tcW w:w="1090"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675</w:t>
            </w:r>
          </w:p>
        </w:tc>
        <w:tc>
          <w:tcPr>
            <w:tcW w:w="11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82,67%</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Bolivar</w:t>
            </w:r>
          </w:p>
        </w:tc>
        <w:tc>
          <w:tcPr>
            <w:tcW w:w="1051"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133</w:t>
            </w:r>
          </w:p>
        </w:tc>
        <w:tc>
          <w:tcPr>
            <w:tcW w:w="1090"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138</w:t>
            </w:r>
          </w:p>
        </w:tc>
        <w:tc>
          <w:tcPr>
            <w:tcW w:w="1179"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96,38%</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Boyacá</w:t>
            </w:r>
          </w:p>
        </w:tc>
        <w:tc>
          <w:tcPr>
            <w:tcW w:w="1051"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177</w:t>
            </w:r>
          </w:p>
        </w:tc>
        <w:tc>
          <w:tcPr>
            <w:tcW w:w="1090"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187</w:t>
            </w:r>
          </w:p>
        </w:tc>
        <w:tc>
          <w:tcPr>
            <w:tcW w:w="11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94,65%</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Caldas</w:t>
            </w:r>
          </w:p>
        </w:tc>
        <w:tc>
          <w:tcPr>
            <w:tcW w:w="1051"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139</w:t>
            </w:r>
          </w:p>
        </w:tc>
        <w:tc>
          <w:tcPr>
            <w:tcW w:w="1090"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143</w:t>
            </w:r>
          </w:p>
        </w:tc>
        <w:tc>
          <w:tcPr>
            <w:tcW w:w="1179"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97,20%</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Caquetá</w:t>
            </w:r>
          </w:p>
        </w:tc>
        <w:tc>
          <w:tcPr>
            <w:tcW w:w="1051"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81</w:t>
            </w:r>
          </w:p>
        </w:tc>
        <w:tc>
          <w:tcPr>
            <w:tcW w:w="1090"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84</w:t>
            </w:r>
          </w:p>
        </w:tc>
        <w:tc>
          <w:tcPr>
            <w:tcW w:w="11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96,43%</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Casanare</w:t>
            </w:r>
          </w:p>
        </w:tc>
        <w:tc>
          <w:tcPr>
            <w:tcW w:w="1051"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54</w:t>
            </w:r>
          </w:p>
        </w:tc>
        <w:tc>
          <w:tcPr>
            <w:tcW w:w="1090"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54</w:t>
            </w:r>
          </w:p>
        </w:tc>
        <w:tc>
          <w:tcPr>
            <w:tcW w:w="1179"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100,00%</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Cauca</w:t>
            </w:r>
          </w:p>
        </w:tc>
        <w:tc>
          <w:tcPr>
            <w:tcW w:w="1051"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128</w:t>
            </w:r>
          </w:p>
        </w:tc>
        <w:tc>
          <w:tcPr>
            <w:tcW w:w="1090"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153</w:t>
            </w:r>
          </w:p>
        </w:tc>
        <w:tc>
          <w:tcPr>
            <w:tcW w:w="11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83,66%</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Cesar</w:t>
            </w:r>
          </w:p>
        </w:tc>
        <w:tc>
          <w:tcPr>
            <w:tcW w:w="1051"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104</w:t>
            </w:r>
          </w:p>
        </w:tc>
        <w:tc>
          <w:tcPr>
            <w:tcW w:w="1090"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108</w:t>
            </w:r>
          </w:p>
        </w:tc>
        <w:tc>
          <w:tcPr>
            <w:tcW w:w="1179"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96,30%</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Choco</w:t>
            </w:r>
          </w:p>
        </w:tc>
        <w:tc>
          <w:tcPr>
            <w:tcW w:w="1051"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84</w:t>
            </w:r>
          </w:p>
        </w:tc>
        <w:tc>
          <w:tcPr>
            <w:tcW w:w="1090"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94</w:t>
            </w:r>
          </w:p>
        </w:tc>
        <w:tc>
          <w:tcPr>
            <w:tcW w:w="11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89,36%</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Córdoba</w:t>
            </w:r>
          </w:p>
        </w:tc>
        <w:tc>
          <w:tcPr>
            <w:tcW w:w="1051"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160</w:t>
            </w:r>
          </w:p>
        </w:tc>
        <w:tc>
          <w:tcPr>
            <w:tcW w:w="1090"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165</w:t>
            </w:r>
          </w:p>
        </w:tc>
        <w:tc>
          <w:tcPr>
            <w:tcW w:w="1179"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96,97%</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Cundinamarca</w:t>
            </w:r>
          </w:p>
        </w:tc>
        <w:tc>
          <w:tcPr>
            <w:tcW w:w="1051"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208</w:t>
            </w:r>
          </w:p>
        </w:tc>
        <w:tc>
          <w:tcPr>
            <w:tcW w:w="1090"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225</w:t>
            </w:r>
          </w:p>
        </w:tc>
        <w:tc>
          <w:tcPr>
            <w:tcW w:w="11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92,44%</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DBE5F1" w:fill="DBE5F1"/>
            <w:noWrap/>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Dirección general</w:t>
            </w:r>
          </w:p>
        </w:tc>
        <w:tc>
          <w:tcPr>
            <w:tcW w:w="1051"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342</w:t>
            </w:r>
          </w:p>
        </w:tc>
        <w:tc>
          <w:tcPr>
            <w:tcW w:w="1090"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394</w:t>
            </w:r>
          </w:p>
        </w:tc>
        <w:tc>
          <w:tcPr>
            <w:tcW w:w="1179"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86,80%</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Guainía</w:t>
            </w:r>
          </w:p>
        </w:tc>
        <w:tc>
          <w:tcPr>
            <w:tcW w:w="1051"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15</w:t>
            </w:r>
          </w:p>
        </w:tc>
        <w:tc>
          <w:tcPr>
            <w:tcW w:w="1090"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16</w:t>
            </w:r>
          </w:p>
        </w:tc>
        <w:tc>
          <w:tcPr>
            <w:tcW w:w="11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93,75%</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Guaviare</w:t>
            </w:r>
          </w:p>
        </w:tc>
        <w:tc>
          <w:tcPr>
            <w:tcW w:w="1051"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23</w:t>
            </w:r>
          </w:p>
        </w:tc>
        <w:tc>
          <w:tcPr>
            <w:tcW w:w="1090"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23</w:t>
            </w:r>
          </w:p>
        </w:tc>
        <w:tc>
          <w:tcPr>
            <w:tcW w:w="1179"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100,00%</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Huila</w:t>
            </w:r>
          </w:p>
        </w:tc>
        <w:tc>
          <w:tcPr>
            <w:tcW w:w="1051"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132</w:t>
            </w:r>
          </w:p>
        </w:tc>
        <w:tc>
          <w:tcPr>
            <w:tcW w:w="1090"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141</w:t>
            </w:r>
          </w:p>
        </w:tc>
        <w:tc>
          <w:tcPr>
            <w:tcW w:w="11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93,62%</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La guajira</w:t>
            </w:r>
          </w:p>
        </w:tc>
        <w:tc>
          <w:tcPr>
            <w:tcW w:w="1051"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96</w:t>
            </w:r>
          </w:p>
        </w:tc>
        <w:tc>
          <w:tcPr>
            <w:tcW w:w="1090"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100</w:t>
            </w:r>
          </w:p>
        </w:tc>
        <w:tc>
          <w:tcPr>
            <w:tcW w:w="1179"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96,00%</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Magdalena</w:t>
            </w:r>
          </w:p>
        </w:tc>
        <w:tc>
          <w:tcPr>
            <w:tcW w:w="1051"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134</w:t>
            </w:r>
          </w:p>
        </w:tc>
        <w:tc>
          <w:tcPr>
            <w:tcW w:w="1090"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135</w:t>
            </w:r>
          </w:p>
        </w:tc>
        <w:tc>
          <w:tcPr>
            <w:tcW w:w="11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99,26%</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Meta</w:t>
            </w:r>
          </w:p>
        </w:tc>
        <w:tc>
          <w:tcPr>
            <w:tcW w:w="1051"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98</w:t>
            </w:r>
          </w:p>
        </w:tc>
        <w:tc>
          <w:tcPr>
            <w:tcW w:w="1090"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101</w:t>
            </w:r>
          </w:p>
        </w:tc>
        <w:tc>
          <w:tcPr>
            <w:tcW w:w="1179"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97,03%</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Nariño</w:t>
            </w:r>
          </w:p>
        </w:tc>
        <w:tc>
          <w:tcPr>
            <w:tcW w:w="1051"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159</w:t>
            </w:r>
          </w:p>
        </w:tc>
        <w:tc>
          <w:tcPr>
            <w:tcW w:w="1090"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181</w:t>
            </w:r>
          </w:p>
        </w:tc>
        <w:tc>
          <w:tcPr>
            <w:tcW w:w="11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87,85%</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Norte Santander</w:t>
            </w:r>
          </w:p>
        </w:tc>
        <w:tc>
          <w:tcPr>
            <w:tcW w:w="1051"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126</w:t>
            </w:r>
          </w:p>
        </w:tc>
        <w:tc>
          <w:tcPr>
            <w:tcW w:w="1090"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133</w:t>
            </w:r>
          </w:p>
        </w:tc>
        <w:tc>
          <w:tcPr>
            <w:tcW w:w="1179"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94,74%</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Putumayo</w:t>
            </w:r>
          </w:p>
        </w:tc>
        <w:tc>
          <w:tcPr>
            <w:tcW w:w="1051"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62</w:t>
            </w:r>
          </w:p>
        </w:tc>
        <w:tc>
          <w:tcPr>
            <w:tcW w:w="1090"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63</w:t>
            </w:r>
          </w:p>
        </w:tc>
        <w:tc>
          <w:tcPr>
            <w:tcW w:w="11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98,41%</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Quindío</w:t>
            </w:r>
          </w:p>
        </w:tc>
        <w:tc>
          <w:tcPr>
            <w:tcW w:w="1051"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87</w:t>
            </w:r>
          </w:p>
        </w:tc>
        <w:tc>
          <w:tcPr>
            <w:tcW w:w="1090"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88</w:t>
            </w:r>
          </w:p>
        </w:tc>
        <w:tc>
          <w:tcPr>
            <w:tcW w:w="1179"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98,86%</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Risaralda</w:t>
            </w:r>
          </w:p>
        </w:tc>
        <w:tc>
          <w:tcPr>
            <w:tcW w:w="1051"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114</w:t>
            </w:r>
          </w:p>
        </w:tc>
        <w:tc>
          <w:tcPr>
            <w:tcW w:w="1090"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120</w:t>
            </w:r>
          </w:p>
        </w:tc>
        <w:tc>
          <w:tcPr>
            <w:tcW w:w="11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95,00%</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San Andres</w:t>
            </w:r>
          </w:p>
        </w:tc>
        <w:tc>
          <w:tcPr>
            <w:tcW w:w="1051"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40</w:t>
            </w:r>
          </w:p>
        </w:tc>
        <w:tc>
          <w:tcPr>
            <w:tcW w:w="1090"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44</w:t>
            </w:r>
          </w:p>
        </w:tc>
        <w:tc>
          <w:tcPr>
            <w:tcW w:w="1179"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90,91%</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Santander</w:t>
            </w:r>
          </w:p>
        </w:tc>
        <w:tc>
          <w:tcPr>
            <w:tcW w:w="1051"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193</w:t>
            </w:r>
          </w:p>
        </w:tc>
        <w:tc>
          <w:tcPr>
            <w:tcW w:w="1090"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195</w:t>
            </w:r>
          </w:p>
        </w:tc>
        <w:tc>
          <w:tcPr>
            <w:tcW w:w="11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98,97%</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Sucre</w:t>
            </w:r>
          </w:p>
        </w:tc>
        <w:tc>
          <w:tcPr>
            <w:tcW w:w="1051"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128</w:t>
            </w:r>
          </w:p>
        </w:tc>
        <w:tc>
          <w:tcPr>
            <w:tcW w:w="1090"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131</w:t>
            </w:r>
          </w:p>
        </w:tc>
        <w:tc>
          <w:tcPr>
            <w:tcW w:w="1179"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97,71%</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Tolima</w:t>
            </w:r>
          </w:p>
        </w:tc>
        <w:tc>
          <w:tcPr>
            <w:tcW w:w="1051"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157</w:t>
            </w:r>
          </w:p>
        </w:tc>
        <w:tc>
          <w:tcPr>
            <w:tcW w:w="1090"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162</w:t>
            </w:r>
          </w:p>
        </w:tc>
        <w:tc>
          <w:tcPr>
            <w:tcW w:w="11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96,91%</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Valle</w:t>
            </w:r>
          </w:p>
        </w:tc>
        <w:tc>
          <w:tcPr>
            <w:tcW w:w="1051"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382</w:t>
            </w:r>
          </w:p>
        </w:tc>
        <w:tc>
          <w:tcPr>
            <w:tcW w:w="1090"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421</w:t>
            </w:r>
          </w:p>
        </w:tc>
        <w:tc>
          <w:tcPr>
            <w:tcW w:w="1179"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90,74%</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Vaupés</w:t>
            </w:r>
          </w:p>
        </w:tc>
        <w:tc>
          <w:tcPr>
            <w:tcW w:w="1051"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14</w:t>
            </w:r>
          </w:p>
        </w:tc>
        <w:tc>
          <w:tcPr>
            <w:tcW w:w="1090"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14</w:t>
            </w:r>
          </w:p>
        </w:tc>
        <w:tc>
          <w:tcPr>
            <w:tcW w:w="1179" w:type="pct"/>
            <w:tcBorders>
              <w:top w:val="nil"/>
              <w:left w:val="nil"/>
              <w:bottom w:val="single" w:sz="4" w:space="0" w:color="FFFFFF"/>
              <w:right w:val="single" w:sz="4" w:space="0" w:color="FFFFFF"/>
            </w:tcBorders>
            <w:shd w:val="clear" w:color="B8CCE4" w:fill="B8CCE4"/>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100,00%</w:t>
            </w:r>
          </w:p>
        </w:tc>
      </w:tr>
      <w:tr w:rsidR="00AB08E1" w:rsidRPr="008D1841" w:rsidTr="00F33CF6">
        <w:trPr>
          <w:trHeight w:val="300"/>
        </w:trPr>
        <w:tc>
          <w:tcPr>
            <w:tcW w:w="1679"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Vichada</w:t>
            </w:r>
          </w:p>
        </w:tc>
        <w:tc>
          <w:tcPr>
            <w:tcW w:w="1051"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24</w:t>
            </w:r>
          </w:p>
        </w:tc>
        <w:tc>
          <w:tcPr>
            <w:tcW w:w="1090"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center"/>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25</w:t>
            </w:r>
          </w:p>
        </w:tc>
        <w:tc>
          <w:tcPr>
            <w:tcW w:w="1179" w:type="pct"/>
            <w:tcBorders>
              <w:top w:val="nil"/>
              <w:left w:val="nil"/>
              <w:bottom w:val="single" w:sz="4" w:space="0" w:color="FFFFFF"/>
              <w:right w:val="single" w:sz="4" w:space="0" w:color="FFFFFF"/>
            </w:tcBorders>
            <w:shd w:val="clear" w:color="DBE5F1" w:fill="DBE5F1"/>
            <w:hideMark/>
          </w:tcPr>
          <w:p w:rsidR="00AB08E1" w:rsidRPr="008D1841" w:rsidRDefault="00AB08E1" w:rsidP="00F33CF6">
            <w:pPr>
              <w:spacing w:after="0" w:line="240" w:lineRule="auto"/>
              <w:jc w:val="right"/>
              <w:rPr>
                <w:rFonts w:ascii="Verdana" w:eastAsia="Times New Roman" w:hAnsi="Verdana" w:cs="Times New Roman"/>
                <w:color w:val="000000"/>
                <w:sz w:val="20"/>
                <w:szCs w:val="20"/>
                <w:lang w:eastAsia="es-CO"/>
              </w:rPr>
            </w:pPr>
            <w:r w:rsidRPr="008D1841">
              <w:rPr>
                <w:rFonts w:ascii="Verdana" w:eastAsia="Times New Roman" w:hAnsi="Verdana" w:cs="Times New Roman"/>
                <w:color w:val="000000"/>
                <w:sz w:val="20"/>
                <w:szCs w:val="20"/>
                <w:lang w:eastAsia="es-CO"/>
              </w:rPr>
              <w:t>96,00%</w:t>
            </w:r>
          </w:p>
        </w:tc>
      </w:tr>
      <w:tr w:rsidR="00AB08E1" w:rsidRPr="008D1841" w:rsidTr="00F33CF6">
        <w:trPr>
          <w:trHeight w:val="300"/>
        </w:trPr>
        <w:tc>
          <w:tcPr>
            <w:tcW w:w="1679" w:type="pct"/>
            <w:tcBorders>
              <w:top w:val="nil"/>
              <w:left w:val="nil"/>
              <w:bottom w:val="nil"/>
              <w:right w:val="single" w:sz="4" w:space="0" w:color="FFFFFF"/>
            </w:tcBorders>
            <w:shd w:val="clear" w:color="B8CCE4" w:fill="B8CCE4"/>
            <w:hideMark/>
          </w:tcPr>
          <w:p w:rsidR="00AB08E1" w:rsidRPr="008D1841" w:rsidRDefault="00AB08E1" w:rsidP="00F33CF6">
            <w:pPr>
              <w:spacing w:after="0" w:line="240" w:lineRule="auto"/>
              <w:rPr>
                <w:rFonts w:ascii="Verdana" w:eastAsia="Times New Roman" w:hAnsi="Verdana" w:cs="Times New Roman"/>
                <w:b/>
                <w:bCs/>
                <w:color w:val="FFFFFF"/>
                <w:sz w:val="20"/>
                <w:szCs w:val="20"/>
                <w:lang w:eastAsia="es-CO"/>
              </w:rPr>
            </w:pPr>
            <w:r w:rsidRPr="008D1841">
              <w:rPr>
                <w:rFonts w:ascii="Verdana" w:eastAsia="Times New Roman" w:hAnsi="Verdana" w:cs="Times New Roman"/>
                <w:b/>
                <w:bCs/>
                <w:color w:val="FFFFFF"/>
                <w:sz w:val="20"/>
                <w:szCs w:val="20"/>
                <w:lang w:eastAsia="es-CO"/>
              </w:rPr>
              <w:t>Total</w:t>
            </w:r>
          </w:p>
        </w:tc>
        <w:tc>
          <w:tcPr>
            <w:tcW w:w="1051" w:type="pct"/>
            <w:tcBorders>
              <w:top w:val="nil"/>
              <w:left w:val="nil"/>
              <w:bottom w:val="nil"/>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b/>
                <w:bCs/>
                <w:color w:val="FFFFFF"/>
                <w:sz w:val="20"/>
                <w:szCs w:val="20"/>
                <w:lang w:eastAsia="es-CO"/>
              </w:rPr>
            </w:pPr>
            <w:r w:rsidRPr="008D1841">
              <w:rPr>
                <w:rFonts w:ascii="Verdana" w:eastAsia="Times New Roman" w:hAnsi="Verdana" w:cs="Times New Roman"/>
                <w:b/>
                <w:bCs/>
                <w:color w:val="FFFFFF"/>
                <w:sz w:val="20"/>
                <w:szCs w:val="20"/>
                <w:lang w:eastAsia="es-CO"/>
              </w:rPr>
              <w:t>4.736</w:t>
            </w:r>
          </w:p>
        </w:tc>
        <w:tc>
          <w:tcPr>
            <w:tcW w:w="1090" w:type="pct"/>
            <w:tcBorders>
              <w:top w:val="nil"/>
              <w:left w:val="nil"/>
              <w:bottom w:val="nil"/>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b/>
                <w:bCs/>
                <w:color w:val="FFFFFF"/>
                <w:sz w:val="20"/>
                <w:szCs w:val="20"/>
                <w:lang w:eastAsia="es-CO"/>
              </w:rPr>
            </w:pPr>
            <w:r w:rsidRPr="008D1841">
              <w:rPr>
                <w:rFonts w:ascii="Verdana" w:eastAsia="Times New Roman" w:hAnsi="Verdana" w:cs="Times New Roman"/>
                <w:b/>
                <w:bCs/>
                <w:color w:val="FFFFFF"/>
                <w:sz w:val="20"/>
                <w:szCs w:val="20"/>
                <w:lang w:eastAsia="es-CO"/>
              </w:rPr>
              <w:t>5.127</w:t>
            </w:r>
          </w:p>
        </w:tc>
        <w:tc>
          <w:tcPr>
            <w:tcW w:w="1179" w:type="pct"/>
            <w:tcBorders>
              <w:top w:val="nil"/>
              <w:left w:val="nil"/>
              <w:bottom w:val="nil"/>
              <w:right w:val="single" w:sz="4" w:space="0" w:color="FFFFFF"/>
            </w:tcBorders>
            <w:shd w:val="clear" w:color="B8CCE4" w:fill="B8CCE4"/>
            <w:hideMark/>
          </w:tcPr>
          <w:p w:rsidR="00AB08E1" w:rsidRPr="008D1841" w:rsidRDefault="00AB08E1" w:rsidP="00F33CF6">
            <w:pPr>
              <w:spacing w:after="0" w:line="240" w:lineRule="auto"/>
              <w:jc w:val="center"/>
              <w:rPr>
                <w:rFonts w:ascii="Verdana" w:eastAsia="Times New Roman" w:hAnsi="Verdana" w:cs="Times New Roman"/>
                <w:b/>
                <w:bCs/>
                <w:color w:val="FFFFFF"/>
                <w:sz w:val="20"/>
                <w:szCs w:val="20"/>
                <w:lang w:eastAsia="es-CO"/>
              </w:rPr>
            </w:pPr>
            <w:r w:rsidRPr="008D1841">
              <w:rPr>
                <w:rFonts w:ascii="Verdana" w:eastAsia="Times New Roman" w:hAnsi="Verdana" w:cs="Times New Roman"/>
                <w:b/>
                <w:bCs/>
                <w:color w:val="FFFFFF"/>
                <w:sz w:val="20"/>
                <w:szCs w:val="20"/>
                <w:lang w:eastAsia="es-CO"/>
              </w:rPr>
              <w:t>92,39%</w:t>
            </w:r>
          </w:p>
        </w:tc>
      </w:tr>
    </w:tbl>
    <w:p w:rsidR="00AB08E1" w:rsidRPr="008D1841" w:rsidRDefault="00AB08E1" w:rsidP="00AB08E1">
      <w:pPr>
        <w:spacing w:after="0" w:line="240" w:lineRule="auto"/>
        <w:jc w:val="center"/>
        <w:rPr>
          <w:rFonts w:ascii="Verdana" w:hAnsi="Verdana" w:cs="Arial"/>
          <w:b/>
          <w:color w:val="1F497D" w:themeColor="text2"/>
          <w:sz w:val="20"/>
          <w:szCs w:val="20"/>
        </w:rPr>
      </w:pPr>
    </w:p>
    <w:p w:rsidR="00AB08E1" w:rsidRPr="00B16826" w:rsidRDefault="00AB08E1" w:rsidP="00AB08E1">
      <w:pPr>
        <w:spacing w:after="0" w:line="240" w:lineRule="auto"/>
        <w:rPr>
          <w:rFonts w:ascii="Verdana" w:hAnsi="Verdana" w:cs="Arial"/>
          <w:color w:val="000000"/>
          <w:sz w:val="16"/>
          <w:lang w:eastAsia="es-CO"/>
        </w:rPr>
      </w:pPr>
      <w:r>
        <w:rPr>
          <w:rFonts w:ascii="Verdana" w:hAnsi="Verdana" w:cs="Arial"/>
          <w:b/>
          <w:color w:val="000000"/>
          <w:sz w:val="16"/>
          <w:lang w:eastAsia="es-CO"/>
        </w:rPr>
        <w:t>F</w:t>
      </w:r>
      <w:r w:rsidRPr="00B16826">
        <w:rPr>
          <w:rFonts w:ascii="Verdana" w:hAnsi="Verdana" w:cs="Arial"/>
          <w:b/>
          <w:color w:val="000000"/>
          <w:sz w:val="16"/>
          <w:lang w:eastAsia="es-CO"/>
        </w:rPr>
        <w:t>uente:</w:t>
      </w:r>
      <w:r w:rsidRPr="00B16826">
        <w:rPr>
          <w:rFonts w:ascii="Verdana" w:hAnsi="Verdana" w:cs="Arial"/>
          <w:color w:val="000000"/>
          <w:sz w:val="16"/>
          <w:lang w:eastAsia="es-CO"/>
        </w:rPr>
        <w:t xml:space="preserve"> Dirección de Gestión Humana</w:t>
      </w:r>
    </w:p>
    <w:p w:rsidR="00AB08E1" w:rsidRPr="00B16826" w:rsidRDefault="00AB08E1" w:rsidP="00AB08E1">
      <w:pPr>
        <w:spacing w:after="0" w:line="240" w:lineRule="auto"/>
        <w:jc w:val="both"/>
        <w:rPr>
          <w:rFonts w:ascii="Verdana" w:hAnsi="Verdana" w:cs="Arial"/>
          <w:color w:val="000000"/>
          <w:lang w:eastAsia="es-CO"/>
        </w:rPr>
      </w:pPr>
    </w:p>
    <w:p w:rsidR="00AB08E1" w:rsidRPr="00141D2F" w:rsidRDefault="00AB08E1" w:rsidP="00AB08E1">
      <w:pPr>
        <w:pStyle w:val="Prrafodelista"/>
        <w:numPr>
          <w:ilvl w:val="0"/>
          <w:numId w:val="114"/>
        </w:numPr>
        <w:suppressAutoHyphens/>
        <w:spacing w:after="0" w:line="240" w:lineRule="auto"/>
        <w:ind w:left="284" w:hanging="284"/>
        <w:jc w:val="both"/>
        <w:rPr>
          <w:rFonts w:ascii="Verdana" w:hAnsi="Verdana" w:cs="Arial"/>
          <w:b/>
          <w:color w:val="1F497D" w:themeColor="text2"/>
          <w:sz w:val="24"/>
          <w:szCs w:val="24"/>
          <w:lang w:val="es-MX"/>
        </w:rPr>
      </w:pPr>
      <w:r w:rsidRPr="00141D2F">
        <w:rPr>
          <w:rFonts w:ascii="Verdana" w:hAnsi="Verdana" w:cs="Arial"/>
          <w:b/>
          <w:color w:val="1F497D" w:themeColor="text2"/>
          <w:sz w:val="24"/>
          <w:szCs w:val="24"/>
        </w:rPr>
        <w:t>Plan de Bienestar e Incentivos</w:t>
      </w:r>
    </w:p>
    <w:p w:rsidR="00AB08E1" w:rsidRPr="00B16826" w:rsidRDefault="00AB08E1" w:rsidP="00AB08E1">
      <w:pPr>
        <w:pStyle w:val="NormalWeb"/>
        <w:spacing w:before="0" w:beforeAutospacing="0" w:after="0" w:afterAutospacing="0"/>
        <w:jc w:val="both"/>
        <w:rPr>
          <w:rFonts w:ascii="Verdana" w:hAnsi="Verdana" w:cs="Arial"/>
          <w:lang w:val="es-MX" w:eastAsia="es-ES"/>
        </w:rPr>
      </w:pPr>
      <w:r w:rsidRPr="00B16826">
        <w:rPr>
          <w:rFonts w:ascii="Verdana" w:hAnsi="Verdana" w:cs="Arial"/>
          <w:lang w:val="es-MX" w:eastAsia="es-ES"/>
        </w:rPr>
        <w:t>Durante 2014 en el componente de Protección y Servicios Sociales se destaca el pago de apoyo escolar, el cual beneficio a 2.304 hijos de1.657 funcionarios que prestan sus servicios a lo largo del territorio nacional.</w:t>
      </w:r>
    </w:p>
    <w:p w:rsidR="00AB08E1" w:rsidRPr="00B16826" w:rsidRDefault="00AB08E1" w:rsidP="00AB08E1">
      <w:pPr>
        <w:pStyle w:val="NormalWeb"/>
        <w:spacing w:before="0" w:beforeAutospacing="0" w:after="0" w:afterAutospacing="0"/>
        <w:jc w:val="both"/>
        <w:rPr>
          <w:rFonts w:ascii="Verdana" w:hAnsi="Verdana" w:cs="Arial"/>
          <w:lang w:val="es-MX" w:eastAsia="es-ES"/>
        </w:rPr>
      </w:pPr>
    </w:p>
    <w:p w:rsidR="00AB08E1" w:rsidRPr="00B16826" w:rsidRDefault="00AB08E1" w:rsidP="00AB08E1">
      <w:pPr>
        <w:pStyle w:val="NormalWeb"/>
        <w:spacing w:before="0" w:beforeAutospacing="0" w:after="0" w:afterAutospacing="0"/>
        <w:jc w:val="both"/>
        <w:rPr>
          <w:rFonts w:ascii="Verdana" w:hAnsi="Verdana" w:cs="Arial"/>
          <w:lang w:val="es-MX" w:eastAsia="es-ES"/>
        </w:rPr>
      </w:pPr>
      <w:r w:rsidRPr="00B16826">
        <w:rPr>
          <w:rFonts w:ascii="Verdana" w:hAnsi="Verdana" w:cs="Arial"/>
          <w:lang w:val="es-MX" w:eastAsia="es-ES"/>
        </w:rPr>
        <w:t>Al apoyo educativo se sumaron en el mes de diciembre bonos de integración entregados al 100% de los servidores públicos de la entidad, con un valor diferencial más alto para aquellos con hijos con edades entre los 0 y los 18 años.</w:t>
      </w:r>
    </w:p>
    <w:p w:rsidR="00AB08E1" w:rsidRPr="00B16826" w:rsidRDefault="00AB08E1" w:rsidP="00AB08E1">
      <w:pPr>
        <w:suppressAutoHyphens/>
        <w:spacing w:after="0" w:line="240" w:lineRule="auto"/>
        <w:jc w:val="both"/>
        <w:rPr>
          <w:rFonts w:ascii="Verdana" w:hAnsi="Verdana" w:cs="Arial"/>
          <w:sz w:val="24"/>
          <w:szCs w:val="24"/>
          <w:lang w:val="es-MX"/>
        </w:rPr>
      </w:pPr>
    </w:p>
    <w:p w:rsidR="00AB08E1" w:rsidRPr="00B16826" w:rsidRDefault="00AB08E1" w:rsidP="00AB08E1">
      <w:pPr>
        <w:suppressAutoHyphens/>
        <w:spacing w:after="0" w:line="240" w:lineRule="auto"/>
        <w:jc w:val="both"/>
        <w:rPr>
          <w:rFonts w:ascii="Verdana" w:hAnsi="Verdana" w:cs="Arial"/>
          <w:sz w:val="24"/>
          <w:szCs w:val="24"/>
          <w:lang w:val="es-MX"/>
        </w:rPr>
      </w:pPr>
      <w:r w:rsidRPr="00B16826">
        <w:rPr>
          <w:rFonts w:ascii="Verdana" w:hAnsi="Verdana" w:cs="Arial"/>
          <w:sz w:val="24"/>
          <w:szCs w:val="24"/>
          <w:lang w:val="es-MX"/>
        </w:rPr>
        <w:t>Entre otras actividades de bienestar realizadas durante la vigencia se encuentran, torneos deportivos, vacaciones recreativas a mitad y final de año, capacitaciones informales en artes, celebración del aniversario del ICBF y actividades de salud, promoción y prevención, entre otras.</w:t>
      </w:r>
    </w:p>
    <w:p w:rsidR="00AB08E1" w:rsidRPr="00B16826" w:rsidRDefault="00AB08E1" w:rsidP="00AB08E1">
      <w:pPr>
        <w:suppressAutoHyphens/>
        <w:spacing w:after="0" w:line="240" w:lineRule="auto"/>
        <w:jc w:val="both"/>
        <w:rPr>
          <w:rFonts w:ascii="Verdana" w:hAnsi="Verdana" w:cs="Arial"/>
          <w:sz w:val="24"/>
          <w:szCs w:val="24"/>
          <w:lang w:val="es-MX"/>
        </w:rPr>
      </w:pPr>
    </w:p>
    <w:p w:rsidR="00AB08E1" w:rsidRPr="00B16826" w:rsidRDefault="00AB08E1" w:rsidP="00AB08E1">
      <w:pPr>
        <w:suppressAutoHyphens/>
        <w:spacing w:after="0" w:line="240" w:lineRule="auto"/>
        <w:jc w:val="both"/>
        <w:rPr>
          <w:rFonts w:ascii="Verdana" w:hAnsi="Verdana" w:cs="Arial"/>
          <w:iCs/>
          <w:sz w:val="24"/>
          <w:szCs w:val="24"/>
        </w:rPr>
      </w:pPr>
      <w:r w:rsidRPr="00B16826">
        <w:rPr>
          <w:rFonts w:ascii="Verdana" w:hAnsi="Verdana" w:cs="Arial"/>
          <w:sz w:val="24"/>
          <w:szCs w:val="24"/>
          <w:lang w:val="es-MX"/>
        </w:rPr>
        <w:t xml:space="preserve">Las actividades de promoción y prevención de la salud - Salud Ocupacional se centraron en: (i) la realización de </w:t>
      </w:r>
      <w:r w:rsidRPr="00B16826">
        <w:rPr>
          <w:rFonts w:ascii="Verdana" w:hAnsi="Verdana" w:cs="Arial"/>
          <w:sz w:val="24"/>
          <w:szCs w:val="24"/>
        </w:rPr>
        <w:t>7.200 valoraciones</w:t>
      </w:r>
      <w:r w:rsidRPr="00B16826">
        <w:rPr>
          <w:rFonts w:ascii="Verdana" w:hAnsi="Verdana" w:cs="Arial"/>
          <w:sz w:val="24"/>
          <w:szCs w:val="24"/>
          <w:lang w:val="es-MX"/>
        </w:rPr>
        <w:t xml:space="preserve"> médicas, llevadas a cabo en todas las regionales </w:t>
      </w:r>
      <w:r w:rsidRPr="00B16826">
        <w:rPr>
          <w:rFonts w:ascii="Verdana" w:hAnsi="Verdana" w:cs="Arial"/>
          <w:sz w:val="24"/>
          <w:szCs w:val="24"/>
        </w:rPr>
        <w:t xml:space="preserve">excepto Amazonas y Vaupés, quienes serán intervenidas en la vigencia 2015; (ii) </w:t>
      </w:r>
      <w:r w:rsidRPr="00B16826">
        <w:rPr>
          <w:rFonts w:ascii="Verdana" w:hAnsi="Verdana" w:cs="Arial"/>
          <w:sz w:val="24"/>
          <w:szCs w:val="24"/>
          <w:lang w:val="es-MX"/>
        </w:rPr>
        <w:t xml:space="preserve">la aplicación de la encuesta de Riesgo Psicosocial donde participaron </w:t>
      </w:r>
      <w:r w:rsidRPr="00B16826">
        <w:rPr>
          <w:rFonts w:ascii="Verdana" w:hAnsi="Verdana" w:cs="Arial"/>
          <w:sz w:val="24"/>
          <w:szCs w:val="24"/>
        </w:rPr>
        <w:t xml:space="preserve">5.468 colaboradores entre planta y contrato en las 34 Direcciones Regionales incluida la Sede de la Dirección General; y (iii) </w:t>
      </w:r>
      <w:r w:rsidRPr="00B16826">
        <w:rPr>
          <w:rFonts w:ascii="Verdana" w:hAnsi="Verdana" w:cs="Arial"/>
          <w:sz w:val="24"/>
          <w:szCs w:val="24"/>
          <w:lang w:val="es-MX"/>
        </w:rPr>
        <w:t xml:space="preserve">la entrega de dotación industrial </w:t>
      </w:r>
      <w:r w:rsidRPr="00B16826">
        <w:rPr>
          <w:rFonts w:ascii="Verdana" w:hAnsi="Verdana" w:cs="Arial"/>
          <w:sz w:val="24"/>
          <w:szCs w:val="24"/>
        </w:rPr>
        <w:t xml:space="preserve">para atender una emergencia ambiental en la Regional Nariño y la entrega de </w:t>
      </w:r>
      <w:r w:rsidRPr="00B16826">
        <w:rPr>
          <w:rFonts w:ascii="Verdana" w:hAnsi="Verdana" w:cs="Arial"/>
          <w:iCs/>
          <w:sz w:val="24"/>
          <w:szCs w:val="24"/>
        </w:rPr>
        <w:t>210 botiquines portátiles entre todas las Regionales.</w:t>
      </w:r>
    </w:p>
    <w:p w:rsidR="00AB08E1" w:rsidRPr="00B16826" w:rsidRDefault="00AB08E1" w:rsidP="00AB08E1">
      <w:pPr>
        <w:suppressAutoHyphens/>
        <w:spacing w:after="0" w:line="240" w:lineRule="auto"/>
        <w:jc w:val="both"/>
        <w:rPr>
          <w:rFonts w:ascii="Verdana" w:hAnsi="Verdana" w:cs="Arial"/>
          <w:iCs/>
          <w:sz w:val="24"/>
          <w:szCs w:val="24"/>
        </w:rPr>
      </w:pPr>
    </w:p>
    <w:p w:rsidR="00AB08E1" w:rsidRPr="00B16826" w:rsidRDefault="00AB08E1" w:rsidP="00AB08E1">
      <w:pPr>
        <w:suppressAutoHyphens/>
        <w:spacing w:after="0" w:line="240" w:lineRule="auto"/>
        <w:jc w:val="both"/>
        <w:rPr>
          <w:rFonts w:ascii="Verdana" w:hAnsi="Verdana" w:cs="Arial"/>
          <w:sz w:val="24"/>
          <w:szCs w:val="24"/>
        </w:rPr>
      </w:pPr>
      <w:r w:rsidRPr="00B16826">
        <w:rPr>
          <w:rFonts w:ascii="Verdana" w:hAnsi="Verdana" w:cs="Arial"/>
          <w:iCs/>
          <w:sz w:val="24"/>
          <w:szCs w:val="24"/>
        </w:rPr>
        <w:t xml:space="preserve">En el componente de calidad de vida laboral, se aplicó la encuesta de clima laboral a 6.975 colaboradores, lo que corresponde al 63% del universo programado. Los resultados se socializaron con el 100% de </w:t>
      </w:r>
      <w:r w:rsidRPr="00B16826">
        <w:rPr>
          <w:rFonts w:ascii="Verdana" w:hAnsi="Verdana" w:cs="Arial"/>
          <w:sz w:val="24"/>
          <w:szCs w:val="24"/>
        </w:rPr>
        <w:t>las regionales, contando con la participación del Director de la Regional, los Coordinadores de cada Centro Zonal, el Coordinador Administrativo y los Referentes de Capacitación y Bienestar.</w:t>
      </w:r>
    </w:p>
    <w:p w:rsidR="00AB08E1" w:rsidRPr="00B16826" w:rsidRDefault="00AB08E1" w:rsidP="00AB08E1">
      <w:pPr>
        <w:suppressAutoHyphens/>
        <w:spacing w:after="0" w:line="240" w:lineRule="auto"/>
        <w:jc w:val="both"/>
        <w:rPr>
          <w:rFonts w:ascii="Verdana" w:hAnsi="Verdana" w:cs="Arial"/>
          <w:iCs/>
          <w:sz w:val="24"/>
          <w:szCs w:val="24"/>
        </w:rPr>
      </w:pPr>
    </w:p>
    <w:p w:rsidR="00AB08E1" w:rsidRPr="00141D2F" w:rsidRDefault="00AB08E1" w:rsidP="00AB08E1">
      <w:pPr>
        <w:suppressAutoHyphens/>
        <w:spacing w:after="0" w:line="240" w:lineRule="auto"/>
        <w:jc w:val="both"/>
        <w:rPr>
          <w:rFonts w:ascii="Verdana" w:hAnsi="Verdana" w:cs="Arial"/>
          <w:b/>
          <w:color w:val="1F497D" w:themeColor="text2"/>
          <w:sz w:val="24"/>
          <w:szCs w:val="24"/>
        </w:rPr>
      </w:pPr>
      <w:r w:rsidRPr="00141D2F">
        <w:rPr>
          <w:rFonts w:ascii="Verdana" w:hAnsi="Verdana" w:cs="Arial"/>
          <w:b/>
          <w:color w:val="1F497D" w:themeColor="text2"/>
          <w:sz w:val="24"/>
          <w:szCs w:val="24"/>
        </w:rPr>
        <w:t>Plan Anual de Vacantes</w:t>
      </w:r>
    </w:p>
    <w:p w:rsidR="00AB08E1" w:rsidRPr="00B16826" w:rsidRDefault="00AB08E1" w:rsidP="00AB08E1">
      <w:pPr>
        <w:suppressAutoHyphens/>
        <w:spacing w:after="0" w:line="240" w:lineRule="auto"/>
        <w:jc w:val="both"/>
        <w:rPr>
          <w:rFonts w:ascii="Verdana" w:hAnsi="Verdana" w:cs="Arial"/>
          <w:sz w:val="24"/>
          <w:szCs w:val="24"/>
        </w:rPr>
      </w:pPr>
    </w:p>
    <w:p w:rsidR="00AB08E1" w:rsidRPr="00B16826" w:rsidRDefault="00AB08E1" w:rsidP="00AB08E1">
      <w:pPr>
        <w:spacing w:after="0" w:line="240" w:lineRule="auto"/>
        <w:jc w:val="both"/>
        <w:rPr>
          <w:rFonts w:ascii="Verdana" w:hAnsi="Verdana" w:cs="Arial"/>
          <w:sz w:val="24"/>
          <w:szCs w:val="24"/>
        </w:rPr>
      </w:pPr>
      <w:r w:rsidRPr="00B16826">
        <w:rPr>
          <w:rFonts w:ascii="Verdana" w:hAnsi="Verdana" w:cs="Arial"/>
          <w:sz w:val="24"/>
          <w:szCs w:val="24"/>
        </w:rPr>
        <w:t>El plan 2014 se basó en la provisión de 285 vacantes que fueron tomadas como línea de base a 31 de diciembre de 2013. Con corte a 30 de diciembre se logró la provisión mediante proceso meritocrático de 240 de las 285 vacantes, lo que equivale al 84.2% de cumplimiento de la meta.</w:t>
      </w:r>
    </w:p>
    <w:p w:rsidR="00AB08E1" w:rsidRPr="00B16826" w:rsidRDefault="00AB08E1" w:rsidP="00AB08E1">
      <w:pPr>
        <w:spacing w:after="0" w:line="240" w:lineRule="auto"/>
        <w:jc w:val="both"/>
        <w:rPr>
          <w:rFonts w:ascii="Verdana" w:hAnsi="Verdana" w:cs="Arial"/>
          <w:b/>
        </w:rPr>
      </w:pPr>
    </w:p>
    <w:p w:rsidR="00AB08E1" w:rsidRPr="00141D2F" w:rsidRDefault="00AB08E1" w:rsidP="00AB08E1">
      <w:pPr>
        <w:spacing w:after="0" w:line="240" w:lineRule="auto"/>
        <w:jc w:val="both"/>
        <w:rPr>
          <w:rFonts w:ascii="Verdana" w:hAnsi="Verdana" w:cs="Arial"/>
          <w:b/>
          <w:color w:val="4F81BD" w:themeColor="accent1"/>
          <w:sz w:val="24"/>
          <w:szCs w:val="24"/>
        </w:rPr>
      </w:pPr>
      <w:r w:rsidRPr="00141D2F">
        <w:rPr>
          <w:rFonts w:ascii="Verdana" w:hAnsi="Verdana" w:cs="Arial"/>
          <w:b/>
          <w:color w:val="4F81BD" w:themeColor="accent1"/>
          <w:sz w:val="24"/>
          <w:szCs w:val="24"/>
        </w:rPr>
        <w:t>Eficiencia Administrativa</w:t>
      </w:r>
    </w:p>
    <w:p w:rsidR="00AB08E1" w:rsidRPr="00B16826" w:rsidRDefault="00AB08E1" w:rsidP="00AB08E1">
      <w:pPr>
        <w:spacing w:after="0" w:line="240" w:lineRule="auto"/>
        <w:jc w:val="both"/>
        <w:rPr>
          <w:rFonts w:ascii="Verdana" w:hAnsi="Verdana" w:cs="Arial"/>
          <w:b/>
          <w:sz w:val="24"/>
          <w:szCs w:val="24"/>
        </w:rPr>
      </w:pPr>
    </w:p>
    <w:p w:rsidR="00AB08E1" w:rsidRPr="00B16826" w:rsidRDefault="00AB08E1" w:rsidP="00AB08E1">
      <w:pPr>
        <w:spacing w:after="0" w:line="240" w:lineRule="auto"/>
        <w:jc w:val="both"/>
        <w:rPr>
          <w:rFonts w:ascii="Verdana" w:hAnsi="Verdana" w:cs="Arial"/>
          <w:sz w:val="24"/>
          <w:szCs w:val="24"/>
        </w:rPr>
      </w:pPr>
      <w:r w:rsidRPr="00B16826">
        <w:rPr>
          <w:rFonts w:ascii="Verdana" w:hAnsi="Verdana" w:cs="Arial"/>
          <w:sz w:val="24"/>
          <w:szCs w:val="24"/>
        </w:rPr>
        <w:t xml:space="preserve">La política consiste en identificar, racionalizar, simplificar y automatizar trámites, procesos, procedimientos y servicios, así como optimizar  el uso de recursos, con el propósito de contar con organizaciones modernas innovadoras, flexibles y abiertas al entorno con capacidad de transformarse, adaptarse  y responder de forma ágil y oportuna las demandas y necesidades de la comunidad. </w:t>
      </w:r>
    </w:p>
    <w:p w:rsidR="00AB08E1" w:rsidRPr="00B16826" w:rsidRDefault="00AB08E1" w:rsidP="00AB08E1">
      <w:pPr>
        <w:spacing w:after="0" w:line="240" w:lineRule="auto"/>
        <w:jc w:val="both"/>
        <w:rPr>
          <w:rFonts w:ascii="Verdana" w:hAnsi="Verdana" w:cs="Arial"/>
          <w:sz w:val="24"/>
          <w:szCs w:val="24"/>
        </w:rPr>
      </w:pPr>
    </w:p>
    <w:p w:rsidR="00AB08E1" w:rsidRPr="00B16826" w:rsidRDefault="00AB08E1" w:rsidP="00AB08E1">
      <w:pPr>
        <w:spacing w:after="0" w:line="240" w:lineRule="auto"/>
        <w:jc w:val="both"/>
        <w:rPr>
          <w:rFonts w:ascii="Verdana" w:hAnsi="Verdana" w:cs="Arial"/>
          <w:sz w:val="24"/>
          <w:szCs w:val="24"/>
        </w:rPr>
      </w:pPr>
      <w:r w:rsidRPr="00B16826">
        <w:rPr>
          <w:rFonts w:ascii="Verdana" w:hAnsi="Verdana" w:cs="Arial"/>
          <w:sz w:val="24"/>
          <w:szCs w:val="24"/>
        </w:rPr>
        <w:t xml:space="preserve">La evaluación de las líneas de política en 2014 al interior del ICBF refleja que esta es la más rezagada con un avance del 79%, donde los temas de consumo de papel, proceso de adecuación institucional, trámites y el plan de mejoramiento de la contraloría presentan un nivel adecuado de cumplimiento, no obstante aún se evidencian grandes retos en la ejecución del Plan Estratégico de Desarrollo Informático y los macroprocesos con evidencia de racionalización de procedimientos. </w:t>
      </w:r>
    </w:p>
    <w:p w:rsidR="00AB08E1" w:rsidRPr="00B16826" w:rsidRDefault="00AB08E1" w:rsidP="00AB08E1">
      <w:pPr>
        <w:spacing w:after="0" w:line="240" w:lineRule="auto"/>
        <w:jc w:val="both"/>
        <w:rPr>
          <w:rFonts w:ascii="Verdana" w:hAnsi="Verdana" w:cs="Arial"/>
          <w:b/>
          <w:sz w:val="24"/>
          <w:szCs w:val="24"/>
        </w:rPr>
      </w:pPr>
    </w:p>
    <w:p w:rsidR="00AB08E1" w:rsidRPr="00141D2F" w:rsidRDefault="00AB08E1" w:rsidP="00AB08E1">
      <w:pPr>
        <w:spacing w:after="0" w:line="240" w:lineRule="auto"/>
        <w:jc w:val="both"/>
        <w:rPr>
          <w:rFonts w:ascii="Verdana" w:hAnsi="Verdana" w:cs="Arial"/>
          <w:b/>
          <w:color w:val="4F81BD" w:themeColor="accent1"/>
          <w:sz w:val="24"/>
          <w:szCs w:val="24"/>
        </w:rPr>
      </w:pPr>
      <w:r w:rsidRPr="00141D2F">
        <w:rPr>
          <w:rFonts w:ascii="Verdana" w:hAnsi="Verdana" w:cs="Arial"/>
          <w:b/>
          <w:color w:val="4F81BD" w:themeColor="accent1"/>
          <w:sz w:val="24"/>
          <w:szCs w:val="24"/>
        </w:rPr>
        <w:t xml:space="preserve">Gestión de la Calidad </w:t>
      </w:r>
    </w:p>
    <w:p w:rsidR="00AB08E1" w:rsidRPr="00B16826" w:rsidRDefault="00AB08E1" w:rsidP="00AB08E1">
      <w:pPr>
        <w:pStyle w:val="Prrafodelista"/>
        <w:spacing w:after="0" w:line="240" w:lineRule="auto"/>
        <w:ind w:left="284" w:hanging="284"/>
        <w:jc w:val="both"/>
        <w:rPr>
          <w:rFonts w:ascii="Verdana" w:hAnsi="Verdana" w:cs="Arial"/>
          <w:sz w:val="24"/>
          <w:szCs w:val="24"/>
        </w:rPr>
      </w:pPr>
    </w:p>
    <w:p w:rsidR="00AB08E1" w:rsidRPr="00B16826" w:rsidRDefault="00AB08E1" w:rsidP="00AB08E1">
      <w:pPr>
        <w:pStyle w:val="Default"/>
        <w:jc w:val="both"/>
        <w:rPr>
          <w:rFonts w:ascii="Verdana" w:hAnsi="Verdana"/>
        </w:rPr>
      </w:pPr>
      <w:r w:rsidRPr="00B16826">
        <w:rPr>
          <w:rFonts w:ascii="Verdana" w:hAnsi="Verdana"/>
        </w:rPr>
        <w:t>Como resultado de la estrategia de Gestión de la Calidad, el Instituto Colombiano de Normas Técnicas y Certificación - ICONTEC, otorgó al ICBF la continuidad del Certificado del Sistema de Gestión de Calidad bajo las normas NTC-GP 1000:2009 y NTC-ISO 9001:2008 en las treinta y tres (33) Regionales, también se ha logrado mantener los certificados en los Sistemas de Gestión de Seguridad y Salud en el Trabajo bajo la norma  NTC-OHSAS 18001:2007 y en el  Sistema de Gestión Ambiental bajo la norma NTC ISO 14001:2004 en quince (15) Regionales.</w:t>
      </w:r>
    </w:p>
    <w:p w:rsidR="00AB08E1" w:rsidRPr="00B16826" w:rsidRDefault="00AB08E1" w:rsidP="00AB08E1">
      <w:pPr>
        <w:pStyle w:val="Default"/>
        <w:jc w:val="both"/>
        <w:rPr>
          <w:rFonts w:ascii="Verdana" w:hAnsi="Verdana"/>
        </w:rPr>
      </w:pPr>
    </w:p>
    <w:p w:rsidR="00AB08E1" w:rsidRPr="00B16826" w:rsidRDefault="00AB08E1" w:rsidP="00AB08E1">
      <w:pPr>
        <w:pStyle w:val="Default"/>
        <w:jc w:val="both"/>
        <w:rPr>
          <w:rFonts w:ascii="Verdana" w:hAnsi="Verdana"/>
        </w:rPr>
      </w:pPr>
      <w:r w:rsidRPr="00B16826">
        <w:rPr>
          <w:rFonts w:ascii="Verdana" w:hAnsi="Verdana"/>
        </w:rPr>
        <w:t>En busca de ampliar los resultados positivos presentados, la entidad rediseñó la estrategia con el fin de fortalecer los objetivos, los roles y competencias que frente a cada uno de los cuatro (4) ejes que conforman el Sistema Integrado de Gestión en los tres (3) niveles de la entidad, es decir, en sede de la dirección general, regional y zonal. El resultado de este ejercicio de rediseño que ha contado con el aporte del nivel regional y sede de la dirección general, se verá reflejado en la actualización de la Resolución 4964 por la cual se estructura el comité de coordinación del Sistema Integrado de Gestión.</w:t>
      </w:r>
    </w:p>
    <w:p w:rsidR="00AB08E1" w:rsidRPr="00B16826" w:rsidRDefault="00AB08E1" w:rsidP="00AB08E1">
      <w:pPr>
        <w:pStyle w:val="Default"/>
        <w:jc w:val="both"/>
        <w:rPr>
          <w:rFonts w:ascii="Verdana" w:hAnsi="Verdana"/>
        </w:rPr>
      </w:pPr>
    </w:p>
    <w:p w:rsidR="00AB08E1" w:rsidRPr="00B16826" w:rsidRDefault="00AB08E1" w:rsidP="00AB08E1">
      <w:pPr>
        <w:pStyle w:val="Default"/>
        <w:jc w:val="both"/>
        <w:rPr>
          <w:rFonts w:ascii="Verdana" w:hAnsi="Verdana"/>
        </w:rPr>
      </w:pPr>
      <w:r w:rsidRPr="00B16826">
        <w:rPr>
          <w:rFonts w:ascii="Verdana" w:hAnsi="Verdana"/>
        </w:rPr>
        <w:t>Adicionalmente, se realizó seguimiento a las acciones correctivas producto de la auditoría externa e interna, con los dueños de macro proceso/ procesos a través del comité y subcomité de coordinación del sistema integrado de gestión (SIGE). Así mismo, se analizó el diagnóstico elaborado por la Oficina de Control Interno sobre el estado de actualización del Modelo Estándar de Control Interno (MECI), donde se evidencia que se deben mejorar los siguientes componentes, para los cuales se definirá un plan de trabajo a ejecutar durante 2015:</w:t>
      </w:r>
    </w:p>
    <w:p w:rsidR="00AB08E1" w:rsidRPr="00B16826" w:rsidRDefault="00AB08E1" w:rsidP="00AB08E1">
      <w:pPr>
        <w:pStyle w:val="Default"/>
        <w:jc w:val="both"/>
        <w:rPr>
          <w:rFonts w:ascii="Verdana" w:hAnsi="Verdana"/>
        </w:rPr>
      </w:pPr>
    </w:p>
    <w:p w:rsidR="00AB08E1" w:rsidRPr="00141D2F" w:rsidRDefault="00AB08E1" w:rsidP="00AB08E1">
      <w:pPr>
        <w:spacing w:after="0" w:line="240" w:lineRule="auto"/>
        <w:jc w:val="both"/>
        <w:rPr>
          <w:rFonts w:ascii="Verdana" w:hAnsi="Verdana" w:cs="Arial"/>
          <w:b/>
          <w:color w:val="4F81BD" w:themeColor="accent1"/>
          <w:sz w:val="24"/>
          <w:szCs w:val="24"/>
        </w:rPr>
      </w:pPr>
      <w:r w:rsidRPr="00141D2F">
        <w:rPr>
          <w:rFonts w:ascii="Verdana" w:hAnsi="Verdana" w:cs="Arial"/>
          <w:b/>
          <w:color w:val="4F81BD" w:themeColor="accent1"/>
          <w:sz w:val="24"/>
          <w:szCs w:val="24"/>
        </w:rPr>
        <w:t>Riesgos de corrupción</w:t>
      </w:r>
    </w:p>
    <w:p w:rsidR="00AB08E1" w:rsidRPr="00B16826" w:rsidRDefault="00AB08E1" w:rsidP="00AB08E1">
      <w:pPr>
        <w:spacing w:after="0" w:line="240" w:lineRule="auto"/>
        <w:jc w:val="both"/>
        <w:rPr>
          <w:rFonts w:ascii="Verdana" w:hAnsi="Verdana" w:cs="Arial"/>
          <w:sz w:val="24"/>
          <w:szCs w:val="24"/>
        </w:rPr>
      </w:pPr>
    </w:p>
    <w:p w:rsidR="00AB08E1" w:rsidRPr="00B16826" w:rsidRDefault="00AB08E1" w:rsidP="00AB08E1">
      <w:pPr>
        <w:spacing w:after="0" w:line="240" w:lineRule="auto"/>
        <w:jc w:val="both"/>
        <w:rPr>
          <w:rFonts w:ascii="Verdana" w:hAnsi="Verdana" w:cs="Arial"/>
          <w:sz w:val="24"/>
          <w:szCs w:val="24"/>
        </w:rPr>
      </w:pPr>
      <w:r w:rsidRPr="00B16826">
        <w:rPr>
          <w:rFonts w:ascii="Verdana" w:hAnsi="Verdana" w:cs="Arial"/>
          <w:sz w:val="24"/>
          <w:szCs w:val="24"/>
        </w:rPr>
        <w:t xml:space="preserve">La Administración de Riesgos se adoptó al interior de la Entidad, para que los macro procesos/procesos apliquen permanente en su gestión ambiental, salud y seguridad en el trabajo, gestión de calidad, seguridad de la información y de esta manera contribuir eficazmente al logro de los objetivos. Como resultado del ejercicio de identificación de riesgos de corrupción en 2014 el ICBF formuló y público en el siguiente enlace la matriz con 43 riesgos para seguimiento trimestral: </w:t>
      </w:r>
      <w:hyperlink r:id="rId86" w:history="1">
        <w:r w:rsidRPr="00B16826">
          <w:rPr>
            <w:rStyle w:val="Hipervnculo"/>
            <w:rFonts w:ascii="Verdana" w:hAnsi="Verdana" w:cs="Arial"/>
            <w:sz w:val="24"/>
            <w:szCs w:val="24"/>
          </w:rPr>
          <w:t>http://www.icbf.gov.co/portal/page/portal/PortalICBF/NormatividadC/Transparencia/ EstrategiaAnticorrupcion</w:t>
        </w:r>
      </w:hyperlink>
    </w:p>
    <w:p w:rsidR="00AB08E1" w:rsidRPr="00B16826" w:rsidRDefault="00AB08E1" w:rsidP="00AB08E1">
      <w:pPr>
        <w:spacing w:after="0" w:line="240" w:lineRule="auto"/>
        <w:jc w:val="both"/>
        <w:rPr>
          <w:rFonts w:ascii="Verdana" w:hAnsi="Verdana" w:cs="Arial"/>
          <w:sz w:val="24"/>
          <w:szCs w:val="24"/>
        </w:rPr>
      </w:pPr>
    </w:p>
    <w:p w:rsidR="00AB08E1" w:rsidRPr="00B16826" w:rsidRDefault="00AB08E1" w:rsidP="00AB08E1">
      <w:pPr>
        <w:spacing w:after="0" w:line="240" w:lineRule="auto"/>
        <w:jc w:val="both"/>
        <w:rPr>
          <w:rFonts w:ascii="Verdana" w:hAnsi="Verdana" w:cs="Arial"/>
          <w:sz w:val="24"/>
          <w:szCs w:val="24"/>
        </w:rPr>
      </w:pPr>
      <w:r w:rsidRPr="00B16826">
        <w:rPr>
          <w:rFonts w:ascii="Verdana" w:hAnsi="Verdana" w:cs="Arial"/>
          <w:sz w:val="24"/>
          <w:szCs w:val="24"/>
        </w:rPr>
        <w:t>En el estado inicial de la matriz, se identificaron 13 riesgos con nivel bajo, 14 en nivel moderado, 7 en nivel alto y 9 en nivel extremo; estos últimos especialmente asociados a los macro procesos/procesos de gestión en nutrición, aseguramiento a estándares de calidad y gestión de control interno disciplinario. De acuerdo con el avance a 31 de diciembre de 2014, las acciones establecidas para mitigar los riesgos de corrupción previstos permitieron que 3 de nivel moderado pasaran a nivel bajo, 3 de nivel alto pasaran a nivel moderado y uno de nivel extremo pasara a moderado.</w:t>
      </w:r>
    </w:p>
    <w:p w:rsidR="00AB08E1" w:rsidRPr="00B16826" w:rsidRDefault="00AB08E1" w:rsidP="00AB08E1">
      <w:pPr>
        <w:spacing w:after="0" w:line="240" w:lineRule="auto"/>
        <w:jc w:val="both"/>
        <w:rPr>
          <w:rFonts w:ascii="Verdana" w:hAnsi="Verdana" w:cs="Arial"/>
          <w:color w:val="0D0D0D" w:themeColor="text1" w:themeTint="F2"/>
          <w:sz w:val="24"/>
          <w:szCs w:val="24"/>
        </w:rPr>
      </w:pPr>
    </w:p>
    <w:p w:rsidR="00AB08E1" w:rsidRPr="00B16826" w:rsidRDefault="00AB08E1" w:rsidP="00AB08E1">
      <w:pPr>
        <w:spacing w:after="0" w:line="240" w:lineRule="auto"/>
        <w:jc w:val="both"/>
        <w:rPr>
          <w:rFonts w:ascii="Verdana" w:hAnsi="Verdana" w:cs="Arial"/>
          <w:color w:val="0D0D0D" w:themeColor="text1" w:themeTint="F2"/>
          <w:sz w:val="24"/>
          <w:szCs w:val="24"/>
        </w:rPr>
      </w:pPr>
      <w:r w:rsidRPr="00B16826">
        <w:rPr>
          <w:rFonts w:ascii="Verdana" w:hAnsi="Verdana" w:cs="Arial"/>
          <w:color w:val="0D0D0D" w:themeColor="text1" w:themeTint="F2"/>
          <w:sz w:val="24"/>
          <w:szCs w:val="24"/>
        </w:rPr>
        <w:t>Es de resaltar que de acuerdo a la consigna de la Dirección General, en cuanto a la lucha contra la corrupción en la inversión de los recursos asignados a los niños, niñas y adolescentes en Colombia por el presupuesto general de la Nación, se han establecido varios canales para recibir y atender las denuncias presentadas por los ciudadanos, veedores, colaboradores de la entidad, operadores de los servicios, beneficiarios, madres comunitarias y demás actores que intervienen en la sociedad, para proceder a verificarlas y en caso de ser necesario ponerlas en conocimientos de los entes de vigilancia y control con el fin de que adelantes las acciones sancionatorias pertinente y que estos recursos sagrados se respeten y sean invertidos correctamente.</w:t>
      </w:r>
    </w:p>
    <w:p w:rsidR="00AB08E1" w:rsidRPr="00B16826" w:rsidRDefault="00AB08E1" w:rsidP="00AB08E1">
      <w:pPr>
        <w:spacing w:after="0" w:line="240" w:lineRule="auto"/>
        <w:jc w:val="both"/>
        <w:rPr>
          <w:rFonts w:ascii="Verdana" w:hAnsi="Verdana" w:cs="Arial"/>
          <w:color w:val="0D0D0D" w:themeColor="text1" w:themeTint="F2"/>
          <w:sz w:val="24"/>
          <w:szCs w:val="24"/>
        </w:rPr>
      </w:pPr>
    </w:p>
    <w:p w:rsidR="00AB08E1" w:rsidRPr="00B16826" w:rsidRDefault="00AB08E1" w:rsidP="00AB08E1">
      <w:pPr>
        <w:spacing w:after="0" w:line="240" w:lineRule="auto"/>
        <w:jc w:val="both"/>
        <w:rPr>
          <w:rFonts w:ascii="Verdana" w:hAnsi="Verdana" w:cs="Arial"/>
          <w:color w:val="0D0D0D" w:themeColor="text1" w:themeTint="F2"/>
          <w:sz w:val="24"/>
          <w:szCs w:val="24"/>
        </w:rPr>
      </w:pPr>
      <w:r w:rsidRPr="00B16826">
        <w:rPr>
          <w:rFonts w:ascii="Verdana" w:hAnsi="Verdana" w:cs="Arial"/>
          <w:color w:val="0D0D0D" w:themeColor="text1" w:themeTint="F2"/>
          <w:sz w:val="24"/>
          <w:szCs w:val="24"/>
        </w:rPr>
        <w:t>Gracias a los nuevos canales se ha dado trámites a la verificación de denuncias que han sido recibidas o puestas en conocimiento por parte de las directivas de la entidad, así como el desarrollo de auditorías internas y evaluaciones independientes a casos específicos que han permitido detectar presuntas irregularidades en la ejecución de los recursos, las cuales han sido remitidas para conocimiento de las autoridades competentes para que tomen las decisiones legales correspondientes.</w:t>
      </w:r>
    </w:p>
    <w:p w:rsidR="00AB08E1" w:rsidRPr="00B16826" w:rsidRDefault="00AB08E1" w:rsidP="00AB08E1">
      <w:pPr>
        <w:spacing w:after="0" w:line="240" w:lineRule="auto"/>
        <w:jc w:val="both"/>
        <w:rPr>
          <w:rFonts w:ascii="Verdana" w:hAnsi="Verdana" w:cs="Arial"/>
          <w:sz w:val="24"/>
          <w:szCs w:val="24"/>
        </w:rPr>
      </w:pPr>
    </w:p>
    <w:p w:rsidR="00AB08E1" w:rsidRPr="00141D2F" w:rsidRDefault="00AB08E1" w:rsidP="00AB08E1">
      <w:pPr>
        <w:spacing w:after="0" w:line="240" w:lineRule="auto"/>
        <w:jc w:val="both"/>
        <w:rPr>
          <w:rFonts w:ascii="Verdana" w:hAnsi="Verdana" w:cs="Arial"/>
          <w:b/>
          <w:color w:val="4F81BD" w:themeColor="accent1"/>
          <w:sz w:val="24"/>
          <w:szCs w:val="24"/>
        </w:rPr>
      </w:pPr>
      <w:r w:rsidRPr="00141D2F">
        <w:rPr>
          <w:rFonts w:ascii="Verdana" w:hAnsi="Verdana" w:cs="Arial"/>
          <w:b/>
          <w:color w:val="4F81BD" w:themeColor="accent1"/>
          <w:sz w:val="24"/>
          <w:szCs w:val="24"/>
        </w:rPr>
        <w:t xml:space="preserve">Eficiencia Administrativa y cero papel </w:t>
      </w:r>
    </w:p>
    <w:p w:rsidR="00AB08E1" w:rsidRPr="00B16826" w:rsidRDefault="00AB08E1" w:rsidP="00AB08E1">
      <w:pPr>
        <w:spacing w:after="0" w:line="240" w:lineRule="auto"/>
        <w:jc w:val="both"/>
        <w:rPr>
          <w:rFonts w:ascii="Verdana" w:hAnsi="Verdana" w:cs="Arial"/>
          <w:b/>
          <w:sz w:val="24"/>
          <w:szCs w:val="24"/>
        </w:rPr>
      </w:pPr>
    </w:p>
    <w:p w:rsidR="00AB08E1" w:rsidRPr="00B16826" w:rsidRDefault="00AB08E1" w:rsidP="00AB08E1">
      <w:pPr>
        <w:spacing w:after="0" w:line="240" w:lineRule="auto"/>
        <w:jc w:val="both"/>
        <w:rPr>
          <w:rFonts w:ascii="Verdana" w:hAnsi="Verdana" w:cs="Arial"/>
          <w:sz w:val="24"/>
          <w:szCs w:val="24"/>
        </w:rPr>
      </w:pPr>
      <w:r w:rsidRPr="00B16826">
        <w:rPr>
          <w:rFonts w:ascii="Verdana" w:hAnsi="Verdana" w:cs="Arial"/>
          <w:sz w:val="24"/>
          <w:szCs w:val="24"/>
        </w:rPr>
        <w:t xml:space="preserve">La política consiste en la sustitución de los flujos documentales en papel, por soportes y medios electrónicos, sustentados en la utilización de tecnologías de la información y comunicaciones, con el propósito de incrementar la eficiencia administrativa y disminuir el impacto ambiental. </w:t>
      </w:r>
    </w:p>
    <w:p w:rsidR="00AB08E1" w:rsidRPr="00B16826" w:rsidRDefault="00AB08E1" w:rsidP="00AB08E1">
      <w:pPr>
        <w:spacing w:after="0" w:line="240" w:lineRule="auto"/>
        <w:jc w:val="both"/>
        <w:rPr>
          <w:rFonts w:ascii="Verdana" w:hAnsi="Verdana" w:cs="Arial"/>
          <w:sz w:val="24"/>
          <w:szCs w:val="24"/>
        </w:rPr>
      </w:pPr>
    </w:p>
    <w:p w:rsidR="00AB08E1" w:rsidRPr="00B16826" w:rsidRDefault="00AB08E1" w:rsidP="00AB08E1">
      <w:pPr>
        <w:pStyle w:val="NormalWeb"/>
        <w:kinsoku w:val="0"/>
        <w:overflowPunct w:val="0"/>
        <w:spacing w:before="0" w:beforeAutospacing="0" w:after="0" w:afterAutospacing="0"/>
        <w:jc w:val="both"/>
        <w:textAlignment w:val="baseline"/>
        <w:rPr>
          <w:rFonts w:ascii="Verdana" w:hAnsi="Verdana" w:cs="Arial"/>
        </w:rPr>
      </w:pPr>
      <w:r w:rsidRPr="00B16826">
        <w:rPr>
          <w:rFonts w:ascii="Verdana" w:hAnsi="Verdana" w:cs="Arial"/>
        </w:rPr>
        <w:t>Durante el 2014 el ICBF aplicó el Procedimiento de Ingreso de Papelería Adquirida a través de Outsourcing con un operador que cuenta con un Sistema de Información en Línea, que facilita el control de metas y cronogramas.</w:t>
      </w:r>
    </w:p>
    <w:p w:rsidR="00AB08E1" w:rsidRPr="00B16826" w:rsidRDefault="00AB08E1" w:rsidP="00AB08E1">
      <w:pPr>
        <w:pStyle w:val="NormalWeb"/>
        <w:kinsoku w:val="0"/>
        <w:overflowPunct w:val="0"/>
        <w:spacing w:before="0" w:beforeAutospacing="0" w:after="0" w:afterAutospacing="0"/>
        <w:jc w:val="both"/>
        <w:textAlignment w:val="baseline"/>
        <w:rPr>
          <w:rFonts w:ascii="Verdana" w:hAnsi="Verdana" w:cs="Arial"/>
        </w:rPr>
      </w:pPr>
    </w:p>
    <w:p w:rsidR="00AB08E1" w:rsidRPr="00B16826" w:rsidRDefault="00AB08E1" w:rsidP="00AB08E1">
      <w:pPr>
        <w:pStyle w:val="NormalWeb"/>
        <w:kinsoku w:val="0"/>
        <w:overflowPunct w:val="0"/>
        <w:spacing w:before="0" w:beforeAutospacing="0" w:after="0" w:afterAutospacing="0"/>
        <w:jc w:val="both"/>
        <w:textAlignment w:val="baseline"/>
        <w:rPr>
          <w:rFonts w:ascii="Verdana" w:hAnsi="Verdana" w:cs="Arial"/>
        </w:rPr>
      </w:pPr>
      <w:r w:rsidRPr="00B16826">
        <w:rPr>
          <w:rFonts w:ascii="Verdana" w:hAnsi="Verdana" w:cs="Arial"/>
        </w:rPr>
        <w:t>El comportamiento del consumo de papel a Nivel Nacional durante 2014 evidencia una reducción de 45.311 unidades de resmas de papel con respecto al usado durante la vigencia 2013. Lo anterior representa un ahorro en el gasto de más de $372 millones.</w:t>
      </w:r>
    </w:p>
    <w:p w:rsidR="00AB08E1" w:rsidRPr="00B16826" w:rsidRDefault="00AB08E1" w:rsidP="00AB08E1">
      <w:pPr>
        <w:pStyle w:val="NormalWeb"/>
        <w:kinsoku w:val="0"/>
        <w:overflowPunct w:val="0"/>
        <w:spacing w:before="0" w:beforeAutospacing="0" w:after="0" w:afterAutospacing="0"/>
        <w:jc w:val="both"/>
        <w:textAlignment w:val="baseline"/>
        <w:rPr>
          <w:rFonts w:ascii="Verdana" w:hAnsi="Verdana" w:cs="Arial"/>
        </w:rPr>
      </w:pPr>
    </w:p>
    <w:p w:rsidR="00AB08E1" w:rsidRPr="00B16826" w:rsidRDefault="00AB08E1" w:rsidP="00AB08E1">
      <w:pPr>
        <w:pStyle w:val="NormalWeb"/>
        <w:kinsoku w:val="0"/>
        <w:overflowPunct w:val="0"/>
        <w:spacing w:before="0" w:beforeAutospacing="0" w:after="0" w:afterAutospacing="0"/>
        <w:jc w:val="both"/>
        <w:textAlignment w:val="baseline"/>
        <w:rPr>
          <w:rFonts w:ascii="Verdana" w:hAnsi="Verdana" w:cs="Arial"/>
        </w:rPr>
      </w:pPr>
      <w:r w:rsidRPr="00B16826">
        <w:rPr>
          <w:rFonts w:ascii="Verdana" w:hAnsi="Verdana" w:cs="Arial"/>
        </w:rPr>
        <w:t>Con el objetivo de continuar con la dinámica de ahorro durante 2015 se fortalecerá el seguimiento a los registros de inventario de los almacenes en las regionales y sede central; así mismo se busca implementar un programa de incentivos para las dependencias y oficinas que presenten una reducción significativa en el consumo de papel, entre otras acciones.</w:t>
      </w:r>
    </w:p>
    <w:p w:rsidR="00AB08E1" w:rsidRPr="00B16826" w:rsidRDefault="00AB08E1" w:rsidP="00AB08E1">
      <w:pPr>
        <w:spacing w:after="0" w:line="240" w:lineRule="auto"/>
        <w:jc w:val="both"/>
        <w:rPr>
          <w:rFonts w:ascii="Verdana" w:hAnsi="Verdana" w:cs="Arial"/>
          <w:sz w:val="24"/>
          <w:szCs w:val="24"/>
        </w:rPr>
      </w:pPr>
    </w:p>
    <w:p w:rsidR="00AB08E1" w:rsidRDefault="00AB08E1" w:rsidP="00AB08E1">
      <w:pPr>
        <w:spacing w:after="0" w:line="240" w:lineRule="auto"/>
        <w:jc w:val="both"/>
        <w:rPr>
          <w:rFonts w:ascii="Verdana" w:hAnsi="Verdana" w:cs="Arial"/>
          <w:b/>
          <w:color w:val="4F81BD" w:themeColor="accent1"/>
          <w:sz w:val="24"/>
          <w:szCs w:val="24"/>
        </w:rPr>
      </w:pPr>
    </w:p>
    <w:p w:rsidR="00AB08E1" w:rsidRDefault="00AB08E1" w:rsidP="00AB08E1">
      <w:pPr>
        <w:spacing w:after="0" w:line="240" w:lineRule="auto"/>
        <w:jc w:val="both"/>
        <w:rPr>
          <w:rFonts w:ascii="Verdana" w:hAnsi="Verdana" w:cs="Arial"/>
          <w:b/>
          <w:color w:val="4F81BD" w:themeColor="accent1"/>
          <w:sz w:val="24"/>
          <w:szCs w:val="24"/>
        </w:rPr>
      </w:pPr>
    </w:p>
    <w:p w:rsidR="00AB08E1" w:rsidRPr="00141D2F" w:rsidRDefault="00AB08E1" w:rsidP="00AB08E1">
      <w:pPr>
        <w:spacing w:after="0" w:line="240" w:lineRule="auto"/>
        <w:jc w:val="both"/>
        <w:rPr>
          <w:rFonts w:ascii="Verdana" w:hAnsi="Verdana" w:cs="Arial"/>
          <w:b/>
          <w:color w:val="4F81BD" w:themeColor="accent1"/>
          <w:sz w:val="24"/>
          <w:szCs w:val="24"/>
        </w:rPr>
      </w:pPr>
      <w:r w:rsidRPr="00141D2F">
        <w:rPr>
          <w:rFonts w:ascii="Verdana" w:hAnsi="Verdana" w:cs="Arial"/>
          <w:b/>
          <w:color w:val="4F81BD" w:themeColor="accent1"/>
          <w:sz w:val="24"/>
          <w:szCs w:val="24"/>
        </w:rPr>
        <w:t xml:space="preserve">Racionalización de trámites </w:t>
      </w:r>
    </w:p>
    <w:p w:rsidR="00AB08E1" w:rsidRPr="00B16826" w:rsidRDefault="00AB08E1" w:rsidP="00AB08E1">
      <w:pPr>
        <w:spacing w:after="0" w:line="240" w:lineRule="auto"/>
        <w:jc w:val="both"/>
        <w:rPr>
          <w:rFonts w:ascii="Verdana" w:hAnsi="Verdana" w:cs="Arial"/>
          <w:b/>
          <w:sz w:val="24"/>
          <w:szCs w:val="24"/>
        </w:rPr>
      </w:pPr>
    </w:p>
    <w:p w:rsidR="00AB08E1" w:rsidRPr="00B16826" w:rsidRDefault="00AB08E1" w:rsidP="00AB08E1">
      <w:pPr>
        <w:spacing w:after="0" w:line="240" w:lineRule="auto"/>
        <w:jc w:val="both"/>
        <w:rPr>
          <w:rFonts w:ascii="Verdana" w:hAnsi="Verdana" w:cs="Arial"/>
          <w:sz w:val="24"/>
          <w:szCs w:val="24"/>
        </w:rPr>
      </w:pPr>
      <w:r w:rsidRPr="00B16826">
        <w:rPr>
          <w:rFonts w:ascii="Verdana" w:hAnsi="Verdana" w:cs="Arial"/>
          <w:sz w:val="24"/>
          <w:szCs w:val="24"/>
        </w:rPr>
        <w:t>La política esta orienta a hacer más eficiente la gestión de las entidades públicas y a promover la confianza del ciudadano aplicando el principio de buena fe, dando respuestas ágiles a las soluciones de servicio de la ciudadanía.</w:t>
      </w:r>
    </w:p>
    <w:p w:rsidR="00AB08E1" w:rsidRPr="00B16826" w:rsidRDefault="00AB08E1" w:rsidP="00AB08E1">
      <w:pPr>
        <w:spacing w:after="0" w:line="240" w:lineRule="auto"/>
        <w:jc w:val="both"/>
        <w:rPr>
          <w:rFonts w:ascii="Verdana" w:hAnsi="Verdana" w:cs="Arial"/>
          <w:sz w:val="24"/>
          <w:szCs w:val="24"/>
        </w:rPr>
      </w:pPr>
    </w:p>
    <w:p w:rsidR="00AB08E1" w:rsidRPr="00B16826" w:rsidRDefault="00AB08E1" w:rsidP="00AB08E1">
      <w:pPr>
        <w:spacing w:after="0" w:line="240" w:lineRule="auto"/>
        <w:jc w:val="both"/>
        <w:rPr>
          <w:rFonts w:ascii="Verdana" w:hAnsi="Verdana" w:cs="Arial"/>
          <w:sz w:val="24"/>
          <w:szCs w:val="24"/>
        </w:rPr>
      </w:pPr>
      <w:r w:rsidRPr="00B16826">
        <w:rPr>
          <w:rFonts w:ascii="Verdana" w:hAnsi="Verdana" w:cs="Arial"/>
          <w:sz w:val="24"/>
          <w:szCs w:val="24"/>
        </w:rPr>
        <w:t>En cumplimiento a lo establecido en la Estrategia Antitrámites, se analizaron 28 trámites siguiendo las etapas de identificación, priorización y racionalización, de los cuales 13 lograron el ajuste de pasos y actualización de normatividad por lo que fueron aprobados por el Departamento Administrativo de la Función Pública para su inscripción en el Sistema Único de Información y Tramites SUIT:</w:t>
      </w:r>
    </w:p>
    <w:p w:rsidR="00AB08E1" w:rsidRPr="00B16826" w:rsidRDefault="00AB08E1" w:rsidP="00AB08E1">
      <w:pPr>
        <w:spacing w:after="0" w:line="240" w:lineRule="auto"/>
        <w:jc w:val="both"/>
        <w:rPr>
          <w:rFonts w:ascii="Verdana" w:hAnsi="Verdana" w:cs="Arial"/>
          <w:sz w:val="24"/>
          <w:szCs w:val="24"/>
        </w:rPr>
      </w:pPr>
    </w:p>
    <w:p w:rsidR="00AB08E1" w:rsidRPr="00B16826" w:rsidRDefault="00AB08E1" w:rsidP="00AB08E1">
      <w:pPr>
        <w:pStyle w:val="Prrafodelista"/>
        <w:numPr>
          <w:ilvl w:val="0"/>
          <w:numId w:val="120"/>
        </w:numPr>
        <w:spacing w:after="0" w:line="240" w:lineRule="auto"/>
        <w:contextualSpacing w:val="0"/>
        <w:jc w:val="both"/>
        <w:rPr>
          <w:rFonts w:ascii="Verdana" w:hAnsi="Verdana" w:cs="Arial"/>
          <w:sz w:val="24"/>
          <w:szCs w:val="24"/>
        </w:rPr>
      </w:pPr>
      <w:r w:rsidRPr="00B16826">
        <w:rPr>
          <w:rFonts w:ascii="Verdana" w:hAnsi="Verdana" w:cs="Arial"/>
          <w:sz w:val="24"/>
          <w:szCs w:val="24"/>
        </w:rPr>
        <w:t>Estado de cuenta de aportes parafiscales</w:t>
      </w:r>
    </w:p>
    <w:p w:rsidR="00AB08E1" w:rsidRPr="00B16826" w:rsidRDefault="00AB08E1" w:rsidP="00AB08E1">
      <w:pPr>
        <w:pStyle w:val="Prrafodelista"/>
        <w:numPr>
          <w:ilvl w:val="0"/>
          <w:numId w:val="120"/>
        </w:numPr>
        <w:spacing w:after="0" w:line="240" w:lineRule="auto"/>
        <w:contextualSpacing w:val="0"/>
        <w:jc w:val="both"/>
        <w:rPr>
          <w:rFonts w:ascii="Verdana" w:hAnsi="Verdana" w:cs="Arial"/>
          <w:sz w:val="24"/>
          <w:szCs w:val="24"/>
        </w:rPr>
      </w:pPr>
      <w:r w:rsidRPr="00B16826">
        <w:rPr>
          <w:rFonts w:ascii="Verdana" w:hAnsi="Verdana" w:cs="Arial"/>
          <w:sz w:val="24"/>
          <w:szCs w:val="24"/>
        </w:rPr>
        <w:t>Proceso ejecutivo de alimentos a través de Defensor de Familia</w:t>
      </w:r>
    </w:p>
    <w:p w:rsidR="00AB08E1" w:rsidRPr="00B16826" w:rsidRDefault="00AB08E1" w:rsidP="00AB08E1">
      <w:pPr>
        <w:pStyle w:val="Prrafodelista"/>
        <w:numPr>
          <w:ilvl w:val="0"/>
          <w:numId w:val="120"/>
        </w:numPr>
        <w:spacing w:after="0" w:line="240" w:lineRule="auto"/>
        <w:contextualSpacing w:val="0"/>
        <w:jc w:val="both"/>
        <w:rPr>
          <w:rFonts w:ascii="Verdana" w:hAnsi="Verdana" w:cs="Arial"/>
          <w:sz w:val="24"/>
          <w:szCs w:val="24"/>
        </w:rPr>
      </w:pPr>
      <w:r w:rsidRPr="00B16826">
        <w:rPr>
          <w:rFonts w:ascii="Verdana" w:hAnsi="Verdana" w:cs="Arial"/>
          <w:sz w:val="24"/>
          <w:szCs w:val="24"/>
        </w:rPr>
        <w:t>Permiso de salida del país para niños, niñas o adolescentes</w:t>
      </w:r>
    </w:p>
    <w:p w:rsidR="00AB08E1" w:rsidRPr="00B16826" w:rsidRDefault="00AB08E1" w:rsidP="00AB08E1">
      <w:pPr>
        <w:pStyle w:val="Prrafodelista"/>
        <w:numPr>
          <w:ilvl w:val="0"/>
          <w:numId w:val="120"/>
        </w:numPr>
        <w:spacing w:after="0" w:line="240" w:lineRule="auto"/>
        <w:contextualSpacing w:val="0"/>
        <w:jc w:val="both"/>
        <w:rPr>
          <w:rFonts w:ascii="Verdana" w:hAnsi="Verdana" w:cs="Arial"/>
          <w:sz w:val="24"/>
          <w:szCs w:val="24"/>
        </w:rPr>
      </w:pPr>
      <w:r w:rsidRPr="00B16826">
        <w:rPr>
          <w:rFonts w:ascii="Verdana" w:hAnsi="Verdana" w:cs="Arial"/>
          <w:sz w:val="24"/>
          <w:szCs w:val="24"/>
        </w:rPr>
        <w:t>Fijación de residencia separada</w:t>
      </w:r>
    </w:p>
    <w:p w:rsidR="00AB08E1" w:rsidRPr="00B16826" w:rsidRDefault="00AB08E1" w:rsidP="00AB08E1">
      <w:pPr>
        <w:pStyle w:val="Prrafodelista"/>
        <w:numPr>
          <w:ilvl w:val="0"/>
          <w:numId w:val="120"/>
        </w:numPr>
        <w:spacing w:after="0" w:line="240" w:lineRule="auto"/>
        <w:contextualSpacing w:val="0"/>
        <w:jc w:val="both"/>
        <w:rPr>
          <w:rFonts w:ascii="Verdana" w:hAnsi="Verdana" w:cs="Arial"/>
          <w:sz w:val="24"/>
          <w:szCs w:val="24"/>
        </w:rPr>
      </w:pPr>
      <w:r w:rsidRPr="00B16826">
        <w:rPr>
          <w:rFonts w:ascii="Verdana" w:hAnsi="Verdana" w:cs="Arial"/>
          <w:sz w:val="24"/>
          <w:szCs w:val="24"/>
        </w:rPr>
        <w:t>Licencia de Funcionamiento del Sistema Nacional de Bienestar Familiar</w:t>
      </w:r>
    </w:p>
    <w:p w:rsidR="00AB08E1" w:rsidRPr="00B16826" w:rsidRDefault="00AB08E1" w:rsidP="00AB08E1">
      <w:pPr>
        <w:pStyle w:val="Prrafodelista"/>
        <w:numPr>
          <w:ilvl w:val="0"/>
          <w:numId w:val="120"/>
        </w:numPr>
        <w:spacing w:after="0" w:line="240" w:lineRule="auto"/>
        <w:contextualSpacing w:val="0"/>
        <w:jc w:val="both"/>
        <w:rPr>
          <w:rFonts w:ascii="Verdana" w:hAnsi="Verdana" w:cs="Arial"/>
          <w:sz w:val="24"/>
          <w:szCs w:val="24"/>
        </w:rPr>
      </w:pPr>
      <w:r w:rsidRPr="00B16826">
        <w:rPr>
          <w:rFonts w:ascii="Verdana" w:hAnsi="Verdana" w:cs="Arial"/>
          <w:sz w:val="24"/>
          <w:szCs w:val="24"/>
        </w:rPr>
        <w:t>Garantía del derecho de alimentos, visitas y custodia</w:t>
      </w:r>
    </w:p>
    <w:p w:rsidR="00AB08E1" w:rsidRPr="00B16826" w:rsidRDefault="00AB08E1" w:rsidP="00AB08E1">
      <w:pPr>
        <w:pStyle w:val="Prrafodelista"/>
        <w:numPr>
          <w:ilvl w:val="0"/>
          <w:numId w:val="120"/>
        </w:numPr>
        <w:spacing w:after="0" w:line="240" w:lineRule="auto"/>
        <w:contextualSpacing w:val="0"/>
        <w:jc w:val="both"/>
        <w:rPr>
          <w:rFonts w:ascii="Verdana" w:hAnsi="Verdana" w:cs="Arial"/>
          <w:sz w:val="24"/>
          <w:szCs w:val="24"/>
        </w:rPr>
      </w:pPr>
      <w:r w:rsidRPr="00B16826">
        <w:rPr>
          <w:rFonts w:ascii="Verdana" w:hAnsi="Verdana" w:cs="Arial"/>
          <w:sz w:val="24"/>
          <w:szCs w:val="24"/>
        </w:rPr>
        <w:t>Privación y/o suspensión de la patria potestad</w:t>
      </w:r>
    </w:p>
    <w:p w:rsidR="00AB08E1" w:rsidRPr="00B16826" w:rsidRDefault="00AB08E1" w:rsidP="00AB08E1">
      <w:pPr>
        <w:pStyle w:val="Prrafodelista"/>
        <w:numPr>
          <w:ilvl w:val="0"/>
          <w:numId w:val="120"/>
        </w:numPr>
        <w:spacing w:after="0" w:line="240" w:lineRule="auto"/>
        <w:contextualSpacing w:val="0"/>
        <w:jc w:val="both"/>
        <w:rPr>
          <w:rFonts w:ascii="Verdana" w:hAnsi="Verdana" w:cs="Arial"/>
          <w:sz w:val="24"/>
          <w:szCs w:val="24"/>
        </w:rPr>
      </w:pPr>
      <w:r w:rsidRPr="00B16826">
        <w:rPr>
          <w:rFonts w:ascii="Verdana" w:hAnsi="Verdana" w:cs="Arial"/>
          <w:sz w:val="24"/>
          <w:szCs w:val="24"/>
        </w:rPr>
        <w:t>Venta de inmuebles de niños, niñas o adolescentes</w:t>
      </w:r>
    </w:p>
    <w:p w:rsidR="00AB08E1" w:rsidRPr="00B16826" w:rsidRDefault="00AB08E1" w:rsidP="00AB08E1">
      <w:pPr>
        <w:pStyle w:val="Prrafodelista"/>
        <w:numPr>
          <w:ilvl w:val="0"/>
          <w:numId w:val="120"/>
        </w:numPr>
        <w:spacing w:after="0" w:line="240" w:lineRule="auto"/>
        <w:contextualSpacing w:val="0"/>
        <w:jc w:val="both"/>
        <w:rPr>
          <w:rFonts w:ascii="Verdana" w:hAnsi="Verdana" w:cs="Arial"/>
          <w:sz w:val="24"/>
          <w:szCs w:val="24"/>
        </w:rPr>
      </w:pPr>
      <w:r w:rsidRPr="00B16826">
        <w:rPr>
          <w:rFonts w:ascii="Verdana" w:hAnsi="Verdana" w:cs="Arial"/>
          <w:sz w:val="24"/>
          <w:szCs w:val="24"/>
        </w:rPr>
        <w:t>Denuncia de bienes vacantes, mostrencos y vocación hereditaria</w:t>
      </w:r>
    </w:p>
    <w:p w:rsidR="00AB08E1" w:rsidRPr="00B16826" w:rsidRDefault="00AB08E1" w:rsidP="00AB08E1">
      <w:pPr>
        <w:pStyle w:val="Prrafodelista"/>
        <w:numPr>
          <w:ilvl w:val="0"/>
          <w:numId w:val="120"/>
        </w:numPr>
        <w:spacing w:after="0" w:line="240" w:lineRule="auto"/>
        <w:contextualSpacing w:val="0"/>
        <w:jc w:val="both"/>
        <w:rPr>
          <w:rFonts w:ascii="Verdana" w:hAnsi="Verdana" w:cs="Arial"/>
          <w:sz w:val="24"/>
          <w:szCs w:val="24"/>
        </w:rPr>
      </w:pPr>
      <w:r w:rsidRPr="00B16826">
        <w:rPr>
          <w:rFonts w:ascii="Verdana" w:hAnsi="Verdana" w:cs="Arial"/>
          <w:sz w:val="24"/>
          <w:szCs w:val="24"/>
        </w:rPr>
        <w:t>Reconocimiento voluntario de paternidad o maternidad de un niño, niña o adolescente</w:t>
      </w:r>
    </w:p>
    <w:p w:rsidR="00AB08E1" w:rsidRPr="00B16826" w:rsidRDefault="00AB08E1" w:rsidP="00AB08E1">
      <w:pPr>
        <w:pStyle w:val="Prrafodelista"/>
        <w:numPr>
          <w:ilvl w:val="0"/>
          <w:numId w:val="120"/>
        </w:numPr>
        <w:spacing w:after="0" w:line="240" w:lineRule="auto"/>
        <w:contextualSpacing w:val="0"/>
        <w:jc w:val="both"/>
        <w:rPr>
          <w:rFonts w:ascii="Verdana" w:hAnsi="Verdana" w:cs="Arial"/>
          <w:sz w:val="24"/>
          <w:szCs w:val="24"/>
        </w:rPr>
      </w:pPr>
      <w:r w:rsidRPr="00B16826">
        <w:rPr>
          <w:rFonts w:ascii="Verdana" w:hAnsi="Verdana" w:cs="Arial"/>
          <w:sz w:val="24"/>
          <w:szCs w:val="24"/>
        </w:rPr>
        <w:t>Adopción por consentimiento</w:t>
      </w:r>
    </w:p>
    <w:p w:rsidR="00AB08E1" w:rsidRPr="00B16826" w:rsidRDefault="00AB08E1" w:rsidP="00AB08E1">
      <w:pPr>
        <w:pStyle w:val="Prrafodelista"/>
        <w:numPr>
          <w:ilvl w:val="0"/>
          <w:numId w:val="120"/>
        </w:numPr>
        <w:spacing w:after="0" w:line="240" w:lineRule="auto"/>
        <w:contextualSpacing w:val="0"/>
        <w:jc w:val="both"/>
        <w:rPr>
          <w:rFonts w:ascii="Verdana" w:hAnsi="Verdana" w:cs="Arial"/>
          <w:sz w:val="24"/>
          <w:szCs w:val="24"/>
        </w:rPr>
      </w:pPr>
      <w:r w:rsidRPr="00B16826">
        <w:rPr>
          <w:rFonts w:ascii="Verdana" w:hAnsi="Verdana" w:cs="Arial"/>
          <w:sz w:val="24"/>
          <w:szCs w:val="24"/>
        </w:rPr>
        <w:t>Otorgamiento o reconocimiento de personería jurídica a instituciones del Sistema Nacional de Bienestar Familiar</w:t>
      </w:r>
    </w:p>
    <w:p w:rsidR="00AB08E1" w:rsidRPr="00B16826" w:rsidRDefault="00AB08E1" w:rsidP="00AB08E1">
      <w:pPr>
        <w:pStyle w:val="Prrafodelista"/>
        <w:numPr>
          <w:ilvl w:val="0"/>
          <w:numId w:val="120"/>
        </w:numPr>
        <w:spacing w:after="0" w:line="240" w:lineRule="auto"/>
        <w:contextualSpacing w:val="0"/>
        <w:jc w:val="both"/>
        <w:rPr>
          <w:rFonts w:ascii="Verdana" w:hAnsi="Verdana" w:cs="Arial"/>
          <w:sz w:val="24"/>
          <w:szCs w:val="24"/>
        </w:rPr>
      </w:pPr>
      <w:r w:rsidRPr="00B16826">
        <w:rPr>
          <w:rFonts w:ascii="Verdana" w:hAnsi="Verdana" w:cs="Arial"/>
          <w:sz w:val="24"/>
          <w:szCs w:val="24"/>
        </w:rPr>
        <w:t>Adopción de un niño, niña o adolescente por persona, cónyuges o compañeros permanentes residentes en Colombia</w:t>
      </w:r>
    </w:p>
    <w:p w:rsidR="00AB08E1" w:rsidRPr="00B16826" w:rsidRDefault="00AB08E1" w:rsidP="00AB08E1">
      <w:pPr>
        <w:spacing w:after="0" w:line="240" w:lineRule="auto"/>
        <w:jc w:val="both"/>
        <w:rPr>
          <w:rFonts w:ascii="Verdana" w:hAnsi="Verdana" w:cs="Arial"/>
          <w:sz w:val="24"/>
          <w:szCs w:val="24"/>
        </w:rPr>
      </w:pPr>
    </w:p>
    <w:p w:rsidR="00AB08E1" w:rsidRPr="00B16826" w:rsidRDefault="00AB08E1" w:rsidP="00AB08E1">
      <w:pPr>
        <w:spacing w:after="0" w:line="240" w:lineRule="auto"/>
        <w:jc w:val="both"/>
        <w:rPr>
          <w:rFonts w:ascii="Verdana" w:hAnsi="Verdana" w:cs="Arial"/>
          <w:b/>
          <w:sz w:val="24"/>
          <w:szCs w:val="24"/>
        </w:rPr>
      </w:pPr>
      <w:r w:rsidRPr="00B16826">
        <w:rPr>
          <w:rFonts w:ascii="Verdana" w:hAnsi="Verdana" w:cs="Arial"/>
          <w:sz w:val="24"/>
          <w:szCs w:val="24"/>
        </w:rPr>
        <w:t xml:space="preserve">Estos trámites se pueden visualizar en el  Portal del Estado Colombiano (PEC) y a través de la página Web del ICBF. </w:t>
      </w:r>
    </w:p>
    <w:p w:rsidR="00AB08E1" w:rsidRPr="00B16826" w:rsidRDefault="00AB08E1" w:rsidP="00AB08E1">
      <w:pPr>
        <w:spacing w:after="0" w:line="240" w:lineRule="auto"/>
        <w:jc w:val="both"/>
        <w:rPr>
          <w:rFonts w:ascii="Verdana" w:hAnsi="Verdana" w:cs="Arial"/>
          <w:sz w:val="24"/>
          <w:szCs w:val="24"/>
        </w:rPr>
      </w:pPr>
    </w:p>
    <w:p w:rsidR="00AB08E1" w:rsidRDefault="00AB08E1" w:rsidP="00AB08E1">
      <w:pPr>
        <w:spacing w:after="0" w:line="240" w:lineRule="auto"/>
        <w:jc w:val="both"/>
        <w:rPr>
          <w:rFonts w:ascii="Verdana" w:hAnsi="Verdana" w:cs="Arial"/>
          <w:b/>
          <w:color w:val="4F81BD" w:themeColor="accent1"/>
          <w:sz w:val="24"/>
          <w:szCs w:val="24"/>
        </w:rPr>
      </w:pPr>
    </w:p>
    <w:p w:rsidR="00AB08E1" w:rsidRDefault="00AB08E1" w:rsidP="00AB08E1">
      <w:pPr>
        <w:spacing w:after="0" w:line="240" w:lineRule="auto"/>
        <w:jc w:val="both"/>
        <w:rPr>
          <w:rFonts w:ascii="Verdana" w:hAnsi="Verdana" w:cs="Arial"/>
          <w:b/>
          <w:color w:val="4F81BD" w:themeColor="accent1"/>
          <w:sz w:val="24"/>
          <w:szCs w:val="24"/>
        </w:rPr>
      </w:pPr>
    </w:p>
    <w:p w:rsidR="00AB08E1" w:rsidRPr="00141D2F" w:rsidRDefault="00AB08E1" w:rsidP="00AB08E1">
      <w:pPr>
        <w:spacing w:after="0" w:line="240" w:lineRule="auto"/>
        <w:jc w:val="both"/>
        <w:rPr>
          <w:rFonts w:ascii="Verdana" w:hAnsi="Verdana" w:cs="Arial"/>
          <w:b/>
          <w:color w:val="4F81BD" w:themeColor="accent1"/>
          <w:sz w:val="24"/>
          <w:szCs w:val="24"/>
        </w:rPr>
      </w:pPr>
      <w:r w:rsidRPr="00141D2F">
        <w:rPr>
          <w:rFonts w:ascii="Verdana" w:hAnsi="Verdana" w:cs="Arial"/>
          <w:b/>
          <w:color w:val="4F81BD" w:themeColor="accent1"/>
          <w:sz w:val="24"/>
          <w:szCs w:val="24"/>
        </w:rPr>
        <w:t>Modernización Institucional</w:t>
      </w:r>
    </w:p>
    <w:p w:rsidR="00AB08E1" w:rsidRPr="00B16826" w:rsidRDefault="00AB08E1" w:rsidP="00AB08E1">
      <w:pPr>
        <w:spacing w:after="0" w:line="240" w:lineRule="auto"/>
        <w:jc w:val="both"/>
        <w:rPr>
          <w:rFonts w:ascii="Verdana" w:hAnsi="Verdana" w:cs="Arial"/>
          <w:b/>
          <w:sz w:val="24"/>
          <w:szCs w:val="24"/>
        </w:rPr>
      </w:pPr>
    </w:p>
    <w:p w:rsidR="00AB08E1" w:rsidRPr="00B16826" w:rsidRDefault="00AB08E1" w:rsidP="00AB08E1">
      <w:pPr>
        <w:spacing w:after="0" w:line="240" w:lineRule="auto"/>
        <w:jc w:val="both"/>
        <w:rPr>
          <w:rFonts w:ascii="Verdana" w:hAnsi="Verdana" w:cs="Arial"/>
          <w:iCs/>
          <w:sz w:val="24"/>
          <w:szCs w:val="24"/>
        </w:rPr>
      </w:pPr>
      <w:r w:rsidRPr="00B16826">
        <w:rPr>
          <w:rFonts w:ascii="Verdana" w:hAnsi="Verdana" w:cs="Arial"/>
          <w:sz w:val="24"/>
          <w:szCs w:val="24"/>
        </w:rPr>
        <w:t xml:space="preserve">Con el propósito de modernizar el ICBF uno de los mayores avances durante 2014 fue la gestión y conformación de una planta temporal </w:t>
      </w:r>
      <w:r w:rsidRPr="00B16826">
        <w:rPr>
          <w:rFonts w:ascii="Verdana" w:hAnsi="Verdana" w:cs="Arial"/>
          <w:iCs/>
          <w:sz w:val="24"/>
          <w:szCs w:val="24"/>
        </w:rPr>
        <w:t xml:space="preserve">de 2.000 cargos con 745 empleos de supernumerarios actuales y la  formalización de 1.255 necesidades cubiertas tradicionalmente mediante la modalidad de contratos de prestación de servicios profesionales. </w:t>
      </w:r>
    </w:p>
    <w:p w:rsidR="00AB08E1" w:rsidRPr="00B16826" w:rsidRDefault="00AB08E1" w:rsidP="00AB08E1">
      <w:pPr>
        <w:spacing w:after="0" w:line="240" w:lineRule="auto"/>
        <w:jc w:val="both"/>
        <w:rPr>
          <w:rFonts w:ascii="Verdana" w:hAnsi="Verdana" w:cs="Arial"/>
          <w:iCs/>
          <w:sz w:val="24"/>
          <w:szCs w:val="24"/>
        </w:rPr>
      </w:pPr>
    </w:p>
    <w:p w:rsidR="00AB08E1" w:rsidRPr="00B16826" w:rsidRDefault="00AB08E1" w:rsidP="00AB08E1">
      <w:pPr>
        <w:spacing w:after="0" w:line="240" w:lineRule="auto"/>
        <w:jc w:val="both"/>
        <w:rPr>
          <w:rFonts w:ascii="Verdana" w:hAnsi="Verdana" w:cs="Arial"/>
          <w:iCs/>
          <w:sz w:val="24"/>
          <w:szCs w:val="24"/>
        </w:rPr>
      </w:pPr>
      <w:r w:rsidRPr="00B16826">
        <w:rPr>
          <w:rFonts w:ascii="Verdana" w:hAnsi="Verdana" w:cs="Arial"/>
          <w:iCs/>
          <w:sz w:val="24"/>
          <w:szCs w:val="24"/>
        </w:rPr>
        <w:t>La medida fue aprobada mediante Decreto 2717 de diciembre de 2014, en busca de adecuar la organización con énfasis en las Direcciones Regionales, los Centros Zonales y las Defensorías de Familia, para atender de forma ininterrumpida y con alta calidad los proyectos de protección integral a los niños, niñas, adolecentes, familias y comunidades colombianas.</w:t>
      </w:r>
    </w:p>
    <w:p w:rsidR="00AB08E1" w:rsidRPr="00B16826" w:rsidRDefault="00AB08E1" w:rsidP="00AB08E1">
      <w:pPr>
        <w:spacing w:after="0" w:line="240" w:lineRule="auto"/>
        <w:jc w:val="both"/>
        <w:rPr>
          <w:rFonts w:ascii="Verdana" w:hAnsi="Verdana" w:cs="Arial"/>
          <w:iCs/>
          <w:sz w:val="24"/>
          <w:szCs w:val="24"/>
        </w:rPr>
      </w:pPr>
    </w:p>
    <w:p w:rsidR="00AB08E1" w:rsidRPr="00B16826" w:rsidRDefault="00AB08E1" w:rsidP="00AB08E1">
      <w:pPr>
        <w:spacing w:after="0" w:line="240" w:lineRule="auto"/>
        <w:jc w:val="both"/>
        <w:rPr>
          <w:rFonts w:ascii="Verdana" w:hAnsi="Verdana" w:cs="Arial"/>
          <w:iCs/>
          <w:sz w:val="24"/>
          <w:szCs w:val="24"/>
        </w:rPr>
      </w:pPr>
      <w:r w:rsidRPr="00B16826">
        <w:rPr>
          <w:rFonts w:ascii="Verdana" w:hAnsi="Verdana" w:cs="Arial"/>
          <w:iCs/>
          <w:sz w:val="24"/>
          <w:szCs w:val="24"/>
        </w:rPr>
        <w:t>Posteriormente, mediante resolución 7780 de diciembre 30 de 2014, se distribuyeron los cargos de la Planta Temporal, provisión que se realizará durante el mes de enero de 2015, según lo contemplado en  la Ley 909 del 2004 y el Decreto 1227 de 2005.</w:t>
      </w:r>
    </w:p>
    <w:p w:rsidR="00AB08E1" w:rsidRPr="00B16826" w:rsidRDefault="00AB08E1" w:rsidP="00AB08E1">
      <w:pPr>
        <w:spacing w:after="0" w:line="240" w:lineRule="auto"/>
        <w:jc w:val="both"/>
        <w:rPr>
          <w:rFonts w:ascii="Verdana" w:hAnsi="Verdana" w:cs="Arial"/>
          <w:iCs/>
          <w:sz w:val="24"/>
          <w:szCs w:val="24"/>
        </w:rPr>
      </w:pPr>
    </w:p>
    <w:p w:rsidR="00AB08E1" w:rsidRPr="00141D2F" w:rsidRDefault="00AB08E1" w:rsidP="00AB08E1">
      <w:pPr>
        <w:spacing w:after="0" w:line="240" w:lineRule="auto"/>
        <w:jc w:val="both"/>
        <w:rPr>
          <w:rFonts w:ascii="Verdana" w:hAnsi="Verdana" w:cs="Arial"/>
          <w:b/>
          <w:color w:val="4F81BD" w:themeColor="accent1"/>
          <w:sz w:val="24"/>
          <w:szCs w:val="24"/>
        </w:rPr>
      </w:pPr>
      <w:r w:rsidRPr="00141D2F">
        <w:rPr>
          <w:rFonts w:ascii="Verdana" w:hAnsi="Verdana" w:cs="Arial"/>
          <w:b/>
          <w:color w:val="4F81BD" w:themeColor="accent1"/>
          <w:sz w:val="24"/>
          <w:szCs w:val="24"/>
        </w:rPr>
        <w:t xml:space="preserve">Gestión de Tecnologías de Información </w:t>
      </w:r>
    </w:p>
    <w:p w:rsidR="00AB08E1" w:rsidRPr="00B16826" w:rsidRDefault="00AB08E1" w:rsidP="00AB08E1">
      <w:pPr>
        <w:spacing w:after="0" w:line="240" w:lineRule="auto"/>
        <w:jc w:val="both"/>
        <w:rPr>
          <w:rFonts w:ascii="Verdana" w:hAnsi="Verdana" w:cs="Arial"/>
          <w:b/>
          <w:sz w:val="24"/>
          <w:szCs w:val="24"/>
        </w:rPr>
      </w:pPr>
    </w:p>
    <w:p w:rsidR="00AB08E1" w:rsidRPr="00B16826" w:rsidRDefault="00AB08E1" w:rsidP="00AB08E1">
      <w:pPr>
        <w:spacing w:after="0" w:line="240" w:lineRule="auto"/>
        <w:jc w:val="both"/>
        <w:rPr>
          <w:rFonts w:ascii="Verdana" w:hAnsi="Verdana" w:cs="Arial"/>
          <w:sz w:val="24"/>
          <w:szCs w:val="24"/>
        </w:rPr>
      </w:pPr>
      <w:r w:rsidRPr="00B16826">
        <w:rPr>
          <w:rFonts w:ascii="Verdana" w:hAnsi="Verdana" w:cs="Arial"/>
          <w:sz w:val="24"/>
          <w:szCs w:val="24"/>
        </w:rPr>
        <w:t>Durante el 2014 se adelantaron acciones para gestionar el proceso de adquisición de una solución tecnológica, que permita implantar un modelo corporativo de gestión de trámites, incluido el registro y control de correspondencia, en el ICBF; a este ejercicio se sumó la búsqueda alternativa de una solución integral para el manejo de información al interior del Instituto la cual incluya la Gestión Documental. Las propuestas de solución informática evaluadas serán la base para la definición de la restructuración e integración de los sistemas en el periodo 205-2018, permitiendo en el mediano plazo mayor agilidad en la generación de información y confiabilidad de la misma.</w:t>
      </w:r>
    </w:p>
    <w:p w:rsidR="00AB08E1" w:rsidRPr="00B16826" w:rsidRDefault="00AB08E1" w:rsidP="00AB08E1">
      <w:pPr>
        <w:spacing w:after="0" w:line="240" w:lineRule="auto"/>
        <w:jc w:val="both"/>
        <w:rPr>
          <w:rFonts w:ascii="Verdana" w:hAnsi="Verdana" w:cs="Arial"/>
          <w:sz w:val="24"/>
          <w:szCs w:val="24"/>
        </w:rPr>
      </w:pPr>
    </w:p>
    <w:p w:rsidR="00AB08E1" w:rsidRPr="00B16826" w:rsidRDefault="00AB08E1" w:rsidP="00AB08E1">
      <w:pPr>
        <w:pStyle w:val="NormalWeb"/>
        <w:spacing w:before="0" w:beforeAutospacing="0" w:after="0" w:afterAutospacing="0"/>
        <w:jc w:val="both"/>
        <w:rPr>
          <w:rFonts w:ascii="Verdana" w:hAnsi="Verdana" w:cs="Arial"/>
        </w:rPr>
      </w:pPr>
      <w:r w:rsidRPr="00B16826">
        <w:rPr>
          <w:rFonts w:ascii="Verdana" w:hAnsi="Verdana" w:cs="Arial"/>
        </w:rPr>
        <w:t>Paralelamente se adelantaron pruebas y ajustes en el sistema de información y gestión de archivos (SIGA), así como el soporte técnico a todas las regionales y centros zonales en los cuales se reactivó el sistema con el fin soportar la Gestión Documental a nivel territorial; así mismo se realizó continuamente el mantenimiento de los servicios que presta el ICBF en la WEB en el marco de la estrategia de estado de trámites electrónicos y con el fin de automatizar los servicios de acuerdo con la Política Gobierno en Línea GEL, destacándose el registro y consulta de información sobre niños, niñas y adolescentes no reconocidos con el propósito de verificar o constatar los datos de paternidad o maternidad, de los mismos.</w:t>
      </w:r>
    </w:p>
    <w:p w:rsidR="00AB08E1" w:rsidRPr="00B16826" w:rsidRDefault="00AB08E1" w:rsidP="00AB08E1">
      <w:pPr>
        <w:spacing w:after="0" w:line="240" w:lineRule="auto"/>
        <w:jc w:val="both"/>
        <w:rPr>
          <w:rFonts w:ascii="Verdana" w:hAnsi="Verdana" w:cs="Arial"/>
          <w:b/>
          <w:sz w:val="24"/>
          <w:szCs w:val="24"/>
        </w:rPr>
      </w:pPr>
    </w:p>
    <w:p w:rsidR="00AB08E1" w:rsidRPr="00141D2F" w:rsidRDefault="00AB08E1" w:rsidP="00AB08E1">
      <w:pPr>
        <w:spacing w:after="0" w:line="240" w:lineRule="auto"/>
        <w:jc w:val="both"/>
        <w:rPr>
          <w:rFonts w:ascii="Verdana" w:hAnsi="Verdana" w:cs="Arial"/>
          <w:b/>
          <w:color w:val="4F81BD" w:themeColor="accent1"/>
          <w:sz w:val="24"/>
          <w:szCs w:val="24"/>
        </w:rPr>
      </w:pPr>
      <w:r w:rsidRPr="00141D2F">
        <w:rPr>
          <w:rFonts w:ascii="Verdana" w:hAnsi="Verdana" w:cs="Arial"/>
          <w:b/>
          <w:color w:val="4F81BD" w:themeColor="accent1"/>
          <w:sz w:val="24"/>
          <w:szCs w:val="24"/>
        </w:rPr>
        <w:t>Gestión Documental</w:t>
      </w:r>
    </w:p>
    <w:p w:rsidR="00AB08E1" w:rsidRPr="00B16826" w:rsidRDefault="00AB08E1" w:rsidP="00AB08E1">
      <w:pPr>
        <w:spacing w:after="0" w:line="240" w:lineRule="auto"/>
        <w:jc w:val="both"/>
        <w:rPr>
          <w:rFonts w:ascii="Verdana" w:hAnsi="Verdana" w:cs="Arial"/>
          <w:sz w:val="24"/>
          <w:szCs w:val="24"/>
        </w:rPr>
      </w:pPr>
    </w:p>
    <w:p w:rsidR="00AB08E1" w:rsidRPr="00B16826" w:rsidRDefault="00AB08E1" w:rsidP="00AB08E1">
      <w:pPr>
        <w:spacing w:after="0" w:line="240" w:lineRule="auto"/>
        <w:jc w:val="both"/>
        <w:rPr>
          <w:rFonts w:ascii="Verdana" w:hAnsi="Verdana" w:cs="Arial"/>
          <w:sz w:val="24"/>
          <w:szCs w:val="24"/>
        </w:rPr>
      </w:pPr>
      <w:r w:rsidRPr="00B16826">
        <w:rPr>
          <w:rFonts w:ascii="Verdana" w:hAnsi="Verdana" w:cs="Arial"/>
          <w:sz w:val="24"/>
          <w:szCs w:val="24"/>
        </w:rPr>
        <w:t>Con el objeto de facilitar el trámite, utilización, conservación y consulta de los documentos producidos y recibidos por el ICBF en desarrollo de sus funciones, se definió para 2014 una meta de organizar y reportar 6.400 metros lineales de archivo entre la Sede Nacional y las Direcciones Regionales, sin embargo solo se logró un avance del 88% con un reporte de 5.646 metros lineales.</w:t>
      </w:r>
    </w:p>
    <w:p w:rsidR="00AB08E1" w:rsidRPr="00B16826" w:rsidRDefault="00AB08E1" w:rsidP="00AB08E1">
      <w:pPr>
        <w:spacing w:after="0" w:line="240" w:lineRule="auto"/>
        <w:jc w:val="both"/>
        <w:rPr>
          <w:rFonts w:ascii="Verdana" w:hAnsi="Verdana" w:cs="Arial"/>
          <w:sz w:val="24"/>
          <w:szCs w:val="24"/>
        </w:rPr>
      </w:pPr>
    </w:p>
    <w:p w:rsidR="006338B3" w:rsidRDefault="00AB08E1" w:rsidP="00AB08E1">
      <w:pPr>
        <w:spacing w:after="0" w:line="240" w:lineRule="auto"/>
        <w:jc w:val="both"/>
        <w:rPr>
          <w:rFonts w:ascii="Verdana" w:hAnsi="Verdana" w:cs="Futura Bk BT"/>
          <w:noProof/>
          <w:color w:val="548DD4" w:themeColor="text2" w:themeTint="99"/>
          <w:sz w:val="28"/>
          <w:lang w:eastAsia="es-CO"/>
        </w:rPr>
      </w:pPr>
      <w:r w:rsidRPr="00B16826">
        <w:rPr>
          <w:rFonts w:ascii="Verdana" w:hAnsi="Verdana" w:cs="Arial"/>
          <w:sz w:val="24"/>
          <w:szCs w:val="24"/>
        </w:rPr>
        <w:t>En busca de mejorar el desempeño de este componente en 2015, se avanza en la evaluación del requerimiento de recurso humano necesario para actualizar la tarea de gestión documental; igualmente se procede en la centralización del archivo y el Cronograma de Transferencia Documental Secundaria, con la compra de la Bodega donde funciona el Archivo Central Único e Histórico del ICBF ubicado en el Parque Industrial Santa Lucia en Funza; lo anterior ha permitido centralizar archivos Históricos a nivel nacional liberando espacios en Regionales y Centros Zonales.</w:t>
      </w:r>
      <w:r w:rsidRPr="00AB08E1">
        <w:rPr>
          <w:rFonts w:ascii="Verdana" w:hAnsi="Verdana" w:cs="Futura Bk BT"/>
          <w:noProof/>
          <w:color w:val="548DD4" w:themeColor="text2" w:themeTint="99"/>
          <w:sz w:val="28"/>
          <w:lang w:eastAsia="es-CO"/>
        </w:rPr>
        <w:t xml:space="preserve"> </w:t>
      </w:r>
    </w:p>
    <w:p w:rsidR="006338B3" w:rsidRDefault="006338B3">
      <w:pPr>
        <w:rPr>
          <w:rFonts w:ascii="Verdana" w:hAnsi="Verdana" w:cs="Futura Bk BT"/>
          <w:noProof/>
          <w:color w:val="548DD4" w:themeColor="text2" w:themeTint="99"/>
          <w:sz w:val="28"/>
          <w:lang w:eastAsia="es-CO"/>
        </w:rPr>
      </w:pPr>
      <w:r>
        <w:rPr>
          <w:rFonts w:ascii="Verdana" w:hAnsi="Verdana" w:cs="Futura Bk BT"/>
          <w:noProof/>
          <w:color w:val="548DD4" w:themeColor="text2" w:themeTint="99"/>
          <w:sz w:val="28"/>
          <w:lang w:eastAsia="es-CO"/>
        </w:rPr>
        <w:br w:type="page"/>
      </w:r>
      <w:r w:rsidRPr="006338B3">
        <w:rPr>
          <w:rFonts w:ascii="Verdana" w:hAnsi="Verdana" w:cs="Futura Bk BT"/>
          <w:noProof/>
          <w:color w:val="548DD4" w:themeColor="text2" w:themeTint="99"/>
          <w:sz w:val="28"/>
          <w:lang w:eastAsia="es-CO"/>
        </w:rPr>
        <w:drawing>
          <wp:anchor distT="0" distB="0" distL="114300" distR="114300" simplePos="0" relativeHeight="251772928" behindDoc="0" locked="0" layoutInCell="1" allowOverlap="1">
            <wp:simplePos x="0" y="0"/>
            <wp:positionH relativeFrom="column">
              <wp:posOffset>6499417</wp:posOffset>
            </wp:positionH>
            <wp:positionV relativeFrom="paragraph">
              <wp:posOffset>964905</wp:posOffset>
            </wp:positionV>
            <wp:extent cx="501945" cy="361507"/>
            <wp:effectExtent l="19050" t="0" r="0" b="0"/>
            <wp:wrapThrough wrapText="bothSides">
              <wp:wrapPolygon edited="0">
                <wp:start x="-820" y="0"/>
                <wp:lineTo x="-820" y="20499"/>
                <wp:lineTo x="21327" y="20499"/>
                <wp:lineTo x="21327" y="0"/>
                <wp:lineTo x="-820" y="0"/>
              </wp:wrapPolygon>
            </wp:wrapThrough>
            <wp:docPr id="448" name="Objeto 10">
              <a:hlinkClick xmlns:a="http://schemas.openxmlformats.org/drawingml/2006/main" r:id="rId87" tooltip="Ir a la pagina de CONTENIDO."/>
            </wp:docPr>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4056" cy="360040"/>
                      <a:chOff x="683568" y="5517232"/>
                      <a:chExt cx="504056" cy="360040"/>
                    </a:xfrm>
                  </a:grpSpPr>
                  <a:sp>
                    <a:nvSpPr>
                      <a:cNvPr id="36" name="35 Botón de acción: Inicio"/>
                      <a:cNvSpPr/>
                    </a:nvSpPr>
                    <a:spPr>
                      <a:xfrm>
                        <a:off x="683568" y="5517232"/>
                        <a:ext cx="504056" cy="360040"/>
                      </a:xfrm>
                      <a:prstGeom prst="actionButtonHome">
                        <a:avLst/>
                      </a:prstGeom>
                      <a:solidFill>
                        <a:schemeClr val="accent5">
                          <a:lumMod val="60000"/>
                          <a:lumOff val="40000"/>
                        </a:schemeClr>
                      </a:solidFill>
                      <a:ln>
                        <a:no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DC0BE0" w:rsidRDefault="00DC0BE0" w:rsidP="00AB08E1">
      <w:pPr>
        <w:spacing w:after="0" w:line="240" w:lineRule="auto"/>
        <w:jc w:val="both"/>
        <w:rPr>
          <w:rFonts w:ascii="Verdana" w:hAnsi="Verdana" w:cs="Futura Bk BT"/>
          <w:noProof/>
          <w:color w:val="548DD4" w:themeColor="text2" w:themeTint="99"/>
          <w:sz w:val="28"/>
          <w:lang w:eastAsia="es-CO"/>
        </w:rPr>
      </w:pPr>
    </w:p>
    <w:p w:rsidR="00AB08E1" w:rsidRDefault="00DC0BE0" w:rsidP="00AB08E1">
      <w:pPr>
        <w:spacing w:after="0" w:line="240" w:lineRule="auto"/>
        <w:jc w:val="both"/>
        <w:rPr>
          <w:rFonts w:ascii="Verdana" w:hAnsi="Verdana" w:cs="Arial"/>
          <w:b/>
          <w:color w:val="4F81BD" w:themeColor="accent1"/>
          <w:sz w:val="28"/>
          <w:szCs w:val="24"/>
        </w:rPr>
      </w:pPr>
      <w:r>
        <w:rPr>
          <w:rFonts w:ascii="Verdana" w:hAnsi="Verdana" w:cs="Arial"/>
          <w:b/>
          <w:color w:val="4F81BD" w:themeColor="accent1"/>
          <w:sz w:val="28"/>
          <w:szCs w:val="24"/>
        </w:rPr>
        <w:t>FE DE ERRATAS</w:t>
      </w:r>
    </w:p>
    <w:p w:rsidR="00343695" w:rsidRDefault="00343695" w:rsidP="00AB08E1">
      <w:pPr>
        <w:spacing w:after="0" w:line="240" w:lineRule="auto"/>
        <w:jc w:val="both"/>
        <w:rPr>
          <w:rFonts w:ascii="Verdana" w:hAnsi="Verdana" w:cs="Arial"/>
          <w:b/>
          <w:color w:val="4F81BD" w:themeColor="accent1"/>
          <w:sz w:val="28"/>
          <w:szCs w:val="24"/>
        </w:rPr>
      </w:pPr>
    </w:p>
    <w:p w:rsidR="006338B3" w:rsidRDefault="006338B3" w:rsidP="00AB08E1">
      <w:pPr>
        <w:spacing w:after="0" w:line="240" w:lineRule="auto"/>
        <w:jc w:val="both"/>
        <w:rPr>
          <w:rFonts w:ascii="Verdana" w:hAnsi="Verdana" w:cs="Arial"/>
          <w:sz w:val="24"/>
          <w:szCs w:val="24"/>
        </w:rPr>
      </w:pPr>
    </w:p>
    <w:p w:rsidR="00343695" w:rsidRDefault="00343695" w:rsidP="00AB08E1">
      <w:pPr>
        <w:spacing w:after="0" w:line="240" w:lineRule="auto"/>
        <w:jc w:val="both"/>
        <w:rPr>
          <w:rFonts w:ascii="Verdana" w:hAnsi="Verdana" w:cs="Arial"/>
          <w:sz w:val="24"/>
          <w:szCs w:val="24"/>
        </w:rPr>
      </w:pPr>
    </w:p>
    <w:tbl>
      <w:tblPr>
        <w:tblStyle w:val="Tablaconcuadrcula"/>
        <w:tblW w:w="0" w:type="auto"/>
        <w:tblLook w:val="04A0"/>
      </w:tblPr>
      <w:tblGrid>
        <w:gridCol w:w="2337"/>
        <w:gridCol w:w="6212"/>
        <w:gridCol w:w="1693"/>
      </w:tblGrid>
      <w:tr w:rsidR="006338B3" w:rsidTr="00045A66">
        <w:tc>
          <w:tcPr>
            <w:tcW w:w="2101" w:type="dxa"/>
            <w:shd w:val="clear" w:color="auto" w:fill="B8CCE4" w:themeFill="accent1" w:themeFillTint="66"/>
          </w:tcPr>
          <w:p w:rsidR="006338B3" w:rsidRPr="00343695" w:rsidRDefault="006338B3" w:rsidP="00AB08E1">
            <w:pPr>
              <w:jc w:val="both"/>
              <w:rPr>
                <w:rFonts w:ascii="Verdana" w:hAnsi="Verdana" w:cs="Arial"/>
                <w:b/>
                <w:sz w:val="24"/>
                <w:szCs w:val="24"/>
              </w:rPr>
            </w:pPr>
            <w:r w:rsidRPr="00343695">
              <w:rPr>
                <w:rFonts w:ascii="Verdana" w:hAnsi="Verdana" w:cs="Arial"/>
                <w:b/>
                <w:sz w:val="24"/>
                <w:szCs w:val="24"/>
              </w:rPr>
              <w:t>MODIFICACION</w:t>
            </w:r>
          </w:p>
        </w:tc>
        <w:tc>
          <w:tcPr>
            <w:tcW w:w="6371" w:type="dxa"/>
            <w:shd w:val="clear" w:color="auto" w:fill="B8CCE4" w:themeFill="accent1" w:themeFillTint="66"/>
          </w:tcPr>
          <w:p w:rsidR="006338B3" w:rsidRPr="00343695" w:rsidRDefault="006338B3" w:rsidP="006338B3">
            <w:pPr>
              <w:jc w:val="center"/>
              <w:rPr>
                <w:rFonts w:ascii="Verdana" w:hAnsi="Verdana" w:cs="Arial"/>
                <w:b/>
                <w:sz w:val="24"/>
                <w:szCs w:val="24"/>
              </w:rPr>
            </w:pPr>
            <w:r w:rsidRPr="00343695">
              <w:rPr>
                <w:rFonts w:ascii="Verdana" w:hAnsi="Verdana" w:cs="Arial"/>
                <w:b/>
                <w:sz w:val="24"/>
                <w:szCs w:val="24"/>
              </w:rPr>
              <w:t>DETALLE</w:t>
            </w:r>
          </w:p>
        </w:tc>
        <w:tc>
          <w:tcPr>
            <w:tcW w:w="1694" w:type="dxa"/>
            <w:shd w:val="clear" w:color="auto" w:fill="B8CCE4" w:themeFill="accent1" w:themeFillTint="66"/>
          </w:tcPr>
          <w:p w:rsidR="006338B3" w:rsidRPr="00343695" w:rsidRDefault="006338B3" w:rsidP="006338B3">
            <w:pPr>
              <w:jc w:val="center"/>
              <w:rPr>
                <w:rFonts w:ascii="Verdana" w:hAnsi="Verdana" w:cs="Arial"/>
                <w:b/>
                <w:sz w:val="24"/>
                <w:szCs w:val="24"/>
              </w:rPr>
            </w:pPr>
            <w:r w:rsidRPr="00343695">
              <w:rPr>
                <w:rFonts w:ascii="Verdana" w:hAnsi="Verdana" w:cs="Arial"/>
                <w:b/>
                <w:sz w:val="24"/>
                <w:szCs w:val="24"/>
              </w:rPr>
              <w:t>FECHA</w:t>
            </w:r>
          </w:p>
        </w:tc>
      </w:tr>
      <w:tr w:rsidR="006338B3" w:rsidTr="006338B3">
        <w:tc>
          <w:tcPr>
            <w:tcW w:w="2101" w:type="dxa"/>
          </w:tcPr>
          <w:p w:rsidR="006338B3" w:rsidRDefault="006338B3" w:rsidP="006338B3">
            <w:pPr>
              <w:jc w:val="center"/>
              <w:rPr>
                <w:rFonts w:ascii="Verdana" w:hAnsi="Verdana" w:cs="Arial"/>
                <w:sz w:val="24"/>
                <w:szCs w:val="24"/>
              </w:rPr>
            </w:pPr>
            <w:r>
              <w:rPr>
                <w:rFonts w:ascii="Verdana" w:hAnsi="Verdana" w:cs="Arial"/>
                <w:sz w:val="24"/>
                <w:szCs w:val="24"/>
              </w:rPr>
              <w:t>1</w:t>
            </w:r>
          </w:p>
        </w:tc>
        <w:tc>
          <w:tcPr>
            <w:tcW w:w="6371" w:type="dxa"/>
          </w:tcPr>
          <w:p w:rsidR="006338B3" w:rsidRDefault="006338B3" w:rsidP="00045A66">
            <w:pPr>
              <w:jc w:val="both"/>
              <w:rPr>
                <w:rFonts w:ascii="Verdana" w:hAnsi="Verdana" w:cs="Arial"/>
                <w:sz w:val="24"/>
                <w:szCs w:val="24"/>
              </w:rPr>
            </w:pPr>
            <w:r>
              <w:rPr>
                <w:rFonts w:ascii="Verdana" w:hAnsi="Verdana" w:cs="Arial"/>
                <w:sz w:val="24"/>
                <w:szCs w:val="24"/>
              </w:rPr>
              <w:t>La Unidad de Consolidación Territorial solicitó cambiar la tabla Índice de consolidación Resultados por Pila</w:t>
            </w:r>
            <w:r w:rsidR="00045A66">
              <w:rPr>
                <w:rFonts w:ascii="Verdana" w:hAnsi="Verdana" w:cs="Arial"/>
                <w:sz w:val="24"/>
                <w:szCs w:val="24"/>
              </w:rPr>
              <w:t>. Por corrección de datos.</w:t>
            </w:r>
            <w:r>
              <w:rPr>
                <w:rFonts w:ascii="Verdana" w:hAnsi="Verdana" w:cs="Arial"/>
                <w:sz w:val="24"/>
                <w:szCs w:val="24"/>
              </w:rPr>
              <w:t xml:space="preserve"> </w:t>
            </w:r>
            <w:r w:rsidR="00045A66">
              <w:rPr>
                <w:rFonts w:ascii="Verdana" w:hAnsi="Verdana" w:cs="Arial"/>
                <w:sz w:val="24"/>
                <w:szCs w:val="24"/>
              </w:rPr>
              <w:t xml:space="preserve"> P</w:t>
            </w:r>
            <w:r>
              <w:rPr>
                <w:rFonts w:ascii="Verdana" w:hAnsi="Verdana" w:cs="Arial"/>
                <w:sz w:val="24"/>
                <w:szCs w:val="24"/>
              </w:rPr>
              <w:t>ágina 262</w:t>
            </w:r>
          </w:p>
        </w:tc>
        <w:tc>
          <w:tcPr>
            <w:tcW w:w="1694" w:type="dxa"/>
          </w:tcPr>
          <w:p w:rsidR="006338B3" w:rsidRDefault="006338B3" w:rsidP="006338B3">
            <w:pPr>
              <w:jc w:val="both"/>
              <w:rPr>
                <w:rFonts w:ascii="Verdana" w:hAnsi="Verdana" w:cs="Arial"/>
                <w:sz w:val="24"/>
                <w:szCs w:val="24"/>
              </w:rPr>
            </w:pPr>
            <w:r>
              <w:rPr>
                <w:rFonts w:ascii="Verdana" w:hAnsi="Verdana" w:cs="Arial"/>
                <w:sz w:val="24"/>
                <w:szCs w:val="24"/>
              </w:rPr>
              <w:t>06/04/2015</w:t>
            </w:r>
          </w:p>
        </w:tc>
      </w:tr>
      <w:tr w:rsidR="006338B3" w:rsidTr="006338B3">
        <w:tc>
          <w:tcPr>
            <w:tcW w:w="2101" w:type="dxa"/>
          </w:tcPr>
          <w:p w:rsidR="006338B3" w:rsidRDefault="006338B3" w:rsidP="006338B3">
            <w:pPr>
              <w:jc w:val="center"/>
              <w:rPr>
                <w:rFonts w:ascii="Verdana" w:hAnsi="Verdana" w:cs="Arial"/>
                <w:sz w:val="24"/>
                <w:szCs w:val="24"/>
              </w:rPr>
            </w:pPr>
            <w:r>
              <w:rPr>
                <w:rFonts w:ascii="Verdana" w:hAnsi="Verdana" w:cs="Arial"/>
                <w:sz w:val="24"/>
                <w:szCs w:val="24"/>
              </w:rPr>
              <w:t>2</w:t>
            </w:r>
          </w:p>
        </w:tc>
        <w:tc>
          <w:tcPr>
            <w:tcW w:w="6371" w:type="dxa"/>
          </w:tcPr>
          <w:p w:rsidR="006338B3" w:rsidRDefault="00343695" w:rsidP="00343695">
            <w:pPr>
              <w:autoSpaceDE w:val="0"/>
              <w:autoSpaceDN w:val="0"/>
              <w:jc w:val="both"/>
              <w:rPr>
                <w:rFonts w:ascii="Verdana" w:hAnsi="Verdana" w:cs="Arial"/>
                <w:sz w:val="24"/>
                <w:szCs w:val="24"/>
              </w:rPr>
            </w:pPr>
            <w:r w:rsidRPr="00343695">
              <w:rPr>
                <w:rFonts w:ascii="Verdana" w:hAnsi="Verdana"/>
                <w:iCs/>
              </w:rPr>
              <w:t>DPS ajusta el número de municipios de 234 a  244 en la página 28.</w:t>
            </w:r>
            <w:r w:rsidRPr="00343695">
              <w:rPr>
                <w:rFonts w:ascii="Verdana" w:hAnsi="Verdana"/>
                <w:iCs/>
                <w:sz w:val="24"/>
                <w:szCs w:val="24"/>
              </w:rPr>
              <w:t xml:space="preserve"> </w:t>
            </w:r>
            <w:r>
              <w:rPr>
                <w:rFonts w:ascii="Verdana" w:hAnsi="Verdana"/>
                <w:iCs/>
                <w:sz w:val="24"/>
                <w:szCs w:val="24"/>
              </w:rPr>
              <w:t xml:space="preserve">“… </w:t>
            </w:r>
            <w:r w:rsidR="00045A66" w:rsidRPr="00045A66">
              <w:rPr>
                <w:rFonts w:ascii="Verdana" w:hAnsi="Verdana"/>
                <w:iCs/>
                <w:sz w:val="24"/>
                <w:szCs w:val="24"/>
              </w:rPr>
              <w:t xml:space="preserve">Se logró la atención de 69.372 familias con la suscripción de 5 Contratos de Prestación de Servicios (Adjudicados por medio de Convocatoria Pública) para la atención de 44.430 Familias y 25 Convenios de Asociación para la atención de 24.942 Familias a nivel nacional en </w:t>
            </w:r>
            <w:r w:rsidR="00045A66" w:rsidRPr="00343695">
              <w:rPr>
                <w:rFonts w:ascii="Verdana" w:hAnsi="Verdana"/>
                <w:iCs/>
                <w:sz w:val="24"/>
                <w:szCs w:val="24"/>
              </w:rPr>
              <w:t>234 municipios</w:t>
            </w:r>
            <w:r>
              <w:rPr>
                <w:rFonts w:ascii="Verdana" w:hAnsi="Verdana"/>
                <w:iCs/>
                <w:sz w:val="24"/>
                <w:szCs w:val="24"/>
              </w:rPr>
              <w:t>….”</w:t>
            </w:r>
          </w:p>
        </w:tc>
        <w:tc>
          <w:tcPr>
            <w:tcW w:w="1694" w:type="dxa"/>
          </w:tcPr>
          <w:p w:rsidR="006338B3" w:rsidRDefault="00045A66" w:rsidP="00045A66">
            <w:pPr>
              <w:jc w:val="both"/>
              <w:rPr>
                <w:rFonts w:ascii="Verdana" w:hAnsi="Verdana" w:cs="Arial"/>
                <w:sz w:val="24"/>
                <w:szCs w:val="24"/>
              </w:rPr>
            </w:pPr>
            <w:r>
              <w:rPr>
                <w:rFonts w:ascii="Verdana" w:hAnsi="Verdana" w:cs="Arial"/>
                <w:sz w:val="24"/>
                <w:szCs w:val="24"/>
              </w:rPr>
              <w:t>07/04/2015</w:t>
            </w:r>
          </w:p>
        </w:tc>
      </w:tr>
      <w:tr w:rsidR="006338B3" w:rsidTr="006338B3">
        <w:tc>
          <w:tcPr>
            <w:tcW w:w="2101" w:type="dxa"/>
          </w:tcPr>
          <w:p w:rsidR="006338B3" w:rsidRDefault="00343695" w:rsidP="00343695">
            <w:pPr>
              <w:jc w:val="center"/>
              <w:rPr>
                <w:rFonts w:ascii="Verdana" w:hAnsi="Verdana" w:cs="Arial"/>
                <w:sz w:val="24"/>
                <w:szCs w:val="24"/>
              </w:rPr>
            </w:pPr>
            <w:r>
              <w:rPr>
                <w:rFonts w:ascii="Verdana" w:hAnsi="Verdana" w:cs="Arial"/>
                <w:sz w:val="24"/>
                <w:szCs w:val="24"/>
              </w:rPr>
              <w:t>3</w:t>
            </w:r>
          </w:p>
        </w:tc>
        <w:tc>
          <w:tcPr>
            <w:tcW w:w="6371" w:type="dxa"/>
          </w:tcPr>
          <w:p w:rsidR="006338B3" w:rsidRDefault="00343695" w:rsidP="00343695">
            <w:pPr>
              <w:jc w:val="both"/>
              <w:rPr>
                <w:rFonts w:ascii="Verdana" w:hAnsi="Verdana" w:cs="Arial"/>
                <w:sz w:val="24"/>
                <w:szCs w:val="24"/>
              </w:rPr>
            </w:pPr>
            <w:r>
              <w:rPr>
                <w:rFonts w:ascii="Verdana" w:hAnsi="Verdana" w:cs="Arial"/>
                <w:sz w:val="24"/>
                <w:szCs w:val="24"/>
              </w:rPr>
              <w:t>Se ajustan algunos logos guardando directrices de imagen institucional DPS.</w:t>
            </w:r>
          </w:p>
        </w:tc>
        <w:tc>
          <w:tcPr>
            <w:tcW w:w="1694" w:type="dxa"/>
          </w:tcPr>
          <w:p w:rsidR="006338B3" w:rsidRDefault="00343695" w:rsidP="00AB08E1">
            <w:pPr>
              <w:jc w:val="both"/>
              <w:rPr>
                <w:rFonts w:ascii="Verdana" w:hAnsi="Verdana" w:cs="Arial"/>
                <w:sz w:val="24"/>
                <w:szCs w:val="24"/>
              </w:rPr>
            </w:pPr>
            <w:r>
              <w:rPr>
                <w:rFonts w:ascii="Verdana" w:hAnsi="Verdana" w:cs="Arial"/>
                <w:sz w:val="24"/>
                <w:szCs w:val="24"/>
              </w:rPr>
              <w:t>07/04/2015</w:t>
            </w:r>
          </w:p>
        </w:tc>
      </w:tr>
    </w:tbl>
    <w:p w:rsidR="006338B3" w:rsidRPr="00B16826" w:rsidRDefault="006338B3" w:rsidP="00AB08E1">
      <w:pPr>
        <w:spacing w:after="0" w:line="240" w:lineRule="auto"/>
        <w:jc w:val="both"/>
        <w:rPr>
          <w:rFonts w:ascii="Verdana" w:hAnsi="Verdana" w:cs="Arial"/>
          <w:sz w:val="24"/>
          <w:szCs w:val="24"/>
        </w:rPr>
      </w:pPr>
    </w:p>
    <w:sectPr w:rsidR="006338B3" w:rsidRPr="00B16826" w:rsidSect="00F10E52">
      <w:headerReference w:type="default" r:id="rId88"/>
      <w:pgSz w:w="12240" w:h="15840"/>
      <w:pgMar w:top="1440" w:right="1080" w:bottom="1440"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509F" w:rsidRDefault="0020509F" w:rsidP="00DA252E">
      <w:pPr>
        <w:spacing w:after="0" w:line="240" w:lineRule="auto"/>
      </w:pPr>
      <w:r>
        <w:separator/>
      </w:r>
    </w:p>
  </w:endnote>
  <w:endnote w:type="continuationSeparator" w:id="0">
    <w:p w:rsidR="0020509F" w:rsidRDefault="0020509F" w:rsidP="00DA25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Droid Sans">
    <w:altName w:val="Times New Roman"/>
    <w:charset w:val="00"/>
    <w:family w:val="auto"/>
    <w:pitch w:val="variable"/>
    <w:sig w:usb0="00000000" w:usb1="00000000" w:usb2="00000000" w:usb3="00000000" w:csb0="00000000" w:csb1="00000000"/>
  </w:font>
  <w:font w:name="FreeSans">
    <w:altName w:val="Arial"/>
    <w:charset w:val="00"/>
    <w:family w:val="swiss"/>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Futura Bk BT">
    <w:panose1 w:val="020B0502020204020303"/>
    <w:charset w:val="00"/>
    <w:family w:val="swiss"/>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0000012" w:usb3="00000000" w:csb0="0002009F" w:csb1="00000000"/>
  </w:font>
  <w:font w:name="Optima">
    <w:charset w:val="00"/>
    <w:family w:val="swiss"/>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Kaiti SC Regular">
    <w:altName w:val="Arial Unicode MS"/>
    <w:charset w:val="50"/>
    <w:family w:val="auto"/>
    <w:pitch w:val="variable"/>
    <w:sig w:usb0="00000000" w:usb1="280F3C52" w:usb2="00000016" w:usb3="00000000" w:csb0="0004009F" w:csb1="00000000"/>
  </w:font>
  <w:font w:name="PT Sans">
    <w:altName w:val="Times New Roman"/>
    <w:charset w:val="00"/>
    <w:family w:val="auto"/>
    <w:pitch w:val="default"/>
    <w:sig w:usb0="00000000" w:usb1="00000000" w:usb2="00000000" w:usb3="00000000" w:csb0="00000000" w:csb1="00000000"/>
  </w:font>
  <w:font w:name="Helvetica">
    <w:panose1 w:val="020B0604020202020204"/>
    <w:charset w:val="00"/>
    <w:family w:val="auto"/>
    <w:pitch w:val="variable"/>
    <w:sig w:usb0="00000203" w:usb1="00000000" w:usb2="00000000" w:usb3="00000000" w:csb0="00000005" w:csb1="00000000"/>
  </w:font>
  <w:font w:name="PMingLiU">
    <w:altName w:val="新細明體"/>
    <w:panose1 w:val="02020500000000000000"/>
    <w:charset w:val="88"/>
    <w:family w:val="roman"/>
    <w:pitch w:val="variable"/>
    <w:sig w:usb0="A00002FF" w:usb1="28CFFCFA" w:usb2="00000016" w:usb3="00000000" w:csb0="00100001" w:csb1="00000000"/>
  </w:font>
  <w:font w:name="Lucida Grande">
    <w:charset w:val="00"/>
    <w:family w:val="auto"/>
    <w:pitch w:val="variable"/>
    <w:sig w:usb0="E1000AEF" w:usb1="5000A1FF" w:usb2="00000000" w:usb3="00000000" w:csb0="000001BF" w:csb1="00000000"/>
  </w:font>
  <w:font w:name="Arial Narrow Bold">
    <w:altName w:val="Arial Narrow"/>
    <w:charset w:val="00"/>
    <w:family w:val="auto"/>
    <w:pitch w:val="variable"/>
    <w:sig w:usb0="00000001"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509F" w:rsidRDefault="0020509F" w:rsidP="00DA252E">
      <w:pPr>
        <w:spacing w:after="0" w:line="240" w:lineRule="auto"/>
      </w:pPr>
      <w:r>
        <w:separator/>
      </w:r>
    </w:p>
  </w:footnote>
  <w:footnote w:type="continuationSeparator" w:id="0">
    <w:p w:rsidR="0020509F" w:rsidRDefault="0020509F" w:rsidP="00DA252E">
      <w:pPr>
        <w:spacing w:after="0" w:line="240" w:lineRule="auto"/>
      </w:pPr>
      <w:r>
        <w:continuationSeparator/>
      </w:r>
    </w:p>
  </w:footnote>
  <w:footnote w:id="1">
    <w:p w:rsidR="00F33CF6" w:rsidRDefault="00F33CF6" w:rsidP="00DA252E">
      <w:pPr>
        <w:pStyle w:val="Textonotapie"/>
      </w:pPr>
      <w:r>
        <w:rPr>
          <w:rStyle w:val="Refdenotaalpie"/>
        </w:rPr>
        <w:footnoteRef/>
      </w:r>
      <w:r>
        <w:t xml:space="preserve"> Los hogares referenciados corresponden a las familias indígenas y afrodescendientes que se inscribieron en el 2012 y que finalizaron su participación en la vigencia 2014. </w:t>
      </w:r>
    </w:p>
  </w:footnote>
  <w:footnote w:id="2">
    <w:p w:rsidR="00F33CF6" w:rsidRDefault="00F33CF6" w:rsidP="00DA252E">
      <w:pPr>
        <w:pStyle w:val="Textonotapie"/>
      </w:pPr>
      <w:r>
        <w:rPr>
          <w:rStyle w:val="Refdenotaalpie"/>
        </w:rPr>
        <w:footnoteRef/>
      </w:r>
      <w:r>
        <w:t xml:space="preserve"> El dato final de 2014, depende del cierre financiero, el cual será generado después del 13 de febrero de 2015.</w:t>
      </w:r>
    </w:p>
  </w:footnote>
  <w:footnote w:id="3">
    <w:p w:rsidR="00F33CF6" w:rsidRDefault="00F33CF6" w:rsidP="00DA252E">
      <w:pPr>
        <w:pStyle w:val="Textonotapie"/>
      </w:pPr>
      <w:r>
        <w:rPr>
          <w:rStyle w:val="Refdenotaalpie"/>
        </w:rPr>
        <w:footnoteRef/>
      </w:r>
      <w:r>
        <w:t xml:space="preserve"> El dato final de 2014, depende del cierre financiero, el cual será generado después del 13 de febrero de 2015.</w:t>
      </w:r>
    </w:p>
  </w:footnote>
  <w:footnote w:id="4">
    <w:p w:rsidR="00F33CF6" w:rsidRPr="0089264B" w:rsidRDefault="00F33CF6" w:rsidP="00FC7F0E">
      <w:pPr>
        <w:pStyle w:val="Textonotapie"/>
        <w:rPr>
          <w:rFonts w:ascii="Verdana" w:hAnsi="Verdana"/>
        </w:rPr>
      </w:pPr>
      <w:r w:rsidRPr="0089264B">
        <w:rPr>
          <w:rStyle w:val="Refdenotaalpie"/>
          <w:rFonts w:ascii="Verdana" w:hAnsi="Verdana"/>
          <w:sz w:val="16"/>
        </w:rPr>
        <w:footnoteRef/>
      </w:r>
      <w:r w:rsidRPr="0089264B">
        <w:rPr>
          <w:rFonts w:ascii="Verdana" w:hAnsi="Verdana"/>
          <w:sz w:val="16"/>
        </w:rPr>
        <w:t xml:space="preserve"> Este proyecto no pudo ser ejecutado ya que los recursos fueron apropiados por el Departamento Nacional de Planeación y Ministerio de Hacienda a finales de diciembre de 2014.</w:t>
      </w:r>
    </w:p>
  </w:footnote>
  <w:footnote w:id="5">
    <w:p w:rsidR="00F33CF6" w:rsidRPr="00126214" w:rsidRDefault="00F33CF6" w:rsidP="00FC7F0E">
      <w:pPr>
        <w:pStyle w:val="Textonotapie"/>
        <w:jc w:val="both"/>
        <w:rPr>
          <w:rFonts w:ascii="Verdana" w:hAnsi="Verdana"/>
        </w:rPr>
      </w:pPr>
      <w:r w:rsidRPr="00126214">
        <w:rPr>
          <w:rStyle w:val="Refdenotaalpie"/>
          <w:rFonts w:ascii="Verdana" w:hAnsi="Verdana"/>
          <w:sz w:val="14"/>
        </w:rPr>
        <w:footnoteRef/>
      </w:r>
      <w:r w:rsidRPr="00126214">
        <w:rPr>
          <w:rFonts w:ascii="Verdana" w:hAnsi="Verdana"/>
          <w:sz w:val="14"/>
        </w:rPr>
        <w:t xml:space="preserve"> </w:t>
      </w:r>
      <w:r w:rsidRPr="00126214">
        <w:rPr>
          <w:rFonts w:ascii="Verdana" w:eastAsia="Times New Roman" w:hAnsi="Verdana"/>
          <w:sz w:val="14"/>
          <w:szCs w:val="16"/>
          <w:lang w:val="es-ES" w:eastAsia="es-ES"/>
        </w:rPr>
        <w:t>1) Buriticá (Antioquia); 2) Paipa (Boyacá); 3) Tibasosa (Boyacá): 4) El Morro - Yopal (Casanare); 5) Chía (Cundinamarca); 6) Tocancipá (Cundinamarca); 7) Ararca - Cartagena (Bolívar); 8) Punta Canoa - Cartagena (</w:t>
      </w:r>
      <w:r>
        <w:rPr>
          <w:rFonts w:ascii="Verdana" w:eastAsia="Times New Roman" w:hAnsi="Verdana"/>
          <w:sz w:val="14"/>
          <w:szCs w:val="16"/>
          <w:lang w:val="es-ES" w:eastAsia="es-ES"/>
        </w:rPr>
        <w:t xml:space="preserve">Bolívar); 9) Manzanillo del Mar </w:t>
      </w:r>
      <w:r w:rsidRPr="00126214">
        <w:rPr>
          <w:rFonts w:ascii="Verdana" w:eastAsia="Times New Roman" w:hAnsi="Verdana"/>
          <w:sz w:val="14"/>
          <w:szCs w:val="16"/>
          <w:lang w:val="es-ES" w:eastAsia="es-ES"/>
        </w:rPr>
        <w:t>-</w:t>
      </w:r>
      <w:r>
        <w:rPr>
          <w:rFonts w:ascii="Verdana" w:eastAsia="Times New Roman" w:hAnsi="Verdana"/>
          <w:sz w:val="14"/>
          <w:szCs w:val="16"/>
          <w:lang w:val="es-ES" w:eastAsia="es-ES"/>
        </w:rPr>
        <w:t xml:space="preserve"> </w:t>
      </w:r>
      <w:r w:rsidRPr="00126214">
        <w:rPr>
          <w:rFonts w:ascii="Verdana" w:eastAsia="Times New Roman" w:hAnsi="Verdana"/>
          <w:sz w:val="14"/>
          <w:szCs w:val="16"/>
          <w:lang w:val="es-ES" w:eastAsia="es-ES"/>
        </w:rPr>
        <w:t xml:space="preserve">Cartagena (Bolívar); 10) </w:t>
      </w:r>
      <w:r>
        <w:rPr>
          <w:rFonts w:ascii="Verdana" w:eastAsia="Times New Roman" w:hAnsi="Verdana"/>
          <w:sz w:val="14"/>
          <w:szCs w:val="16"/>
          <w:lang w:val="es-ES" w:eastAsia="es-ES"/>
        </w:rPr>
        <w:t>Dagua (Valle del Cauca); 11</w:t>
      </w:r>
      <w:r w:rsidRPr="00126214">
        <w:rPr>
          <w:rFonts w:ascii="Verdana" w:eastAsia="Times New Roman" w:hAnsi="Verdana"/>
          <w:sz w:val="14"/>
          <w:szCs w:val="16"/>
          <w:lang w:val="es-ES" w:eastAsia="es-ES"/>
        </w:rPr>
        <w:t>) El Salado - Carmen de Bolívar</w:t>
      </w:r>
      <w:r>
        <w:rPr>
          <w:rFonts w:ascii="Verdana" w:eastAsia="Times New Roman" w:hAnsi="Verdana"/>
          <w:sz w:val="14"/>
          <w:szCs w:val="16"/>
          <w:lang w:val="es-ES" w:eastAsia="es-ES"/>
        </w:rPr>
        <w:t xml:space="preserve"> (Bolívar); 12</w:t>
      </w:r>
      <w:r w:rsidRPr="00126214">
        <w:rPr>
          <w:rFonts w:ascii="Verdana" w:eastAsia="Times New Roman" w:hAnsi="Verdana"/>
          <w:sz w:val="14"/>
          <w:szCs w:val="16"/>
          <w:lang w:val="es-ES" w:eastAsia="es-ES"/>
        </w:rPr>
        <w:t>) Canutal - Ovejas (Sucre); 1</w:t>
      </w:r>
      <w:r>
        <w:rPr>
          <w:rFonts w:ascii="Verdana" w:eastAsia="Times New Roman" w:hAnsi="Verdana"/>
          <w:sz w:val="14"/>
          <w:szCs w:val="16"/>
          <w:lang w:val="es-ES" w:eastAsia="es-ES"/>
        </w:rPr>
        <w:t>3</w:t>
      </w:r>
      <w:r w:rsidRPr="00126214">
        <w:rPr>
          <w:rFonts w:ascii="Verdana" w:eastAsia="Times New Roman" w:hAnsi="Verdana"/>
          <w:sz w:val="14"/>
          <w:szCs w:val="16"/>
          <w:lang w:val="es-ES" w:eastAsia="es-ES"/>
        </w:rPr>
        <w:t>)San Basilio de Palenque - Mahates (Bolívar); 1</w:t>
      </w:r>
      <w:r>
        <w:rPr>
          <w:rFonts w:ascii="Verdana" w:eastAsia="Times New Roman" w:hAnsi="Verdana"/>
          <w:sz w:val="14"/>
          <w:szCs w:val="16"/>
          <w:lang w:val="es-ES" w:eastAsia="es-ES"/>
        </w:rPr>
        <w:t>4</w:t>
      </w:r>
      <w:r w:rsidRPr="00126214">
        <w:rPr>
          <w:rFonts w:ascii="Verdana" w:eastAsia="Times New Roman" w:hAnsi="Verdana"/>
          <w:sz w:val="14"/>
          <w:szCs w:val="16"/>
          <w:lang w:val="es-ES" w:eastAsia="es-ES"/>
        </w:rPr>
        <w:t>) La Sierra - Chiriguaná (Cesar);1</w:t>
      </w:r>
      <w:r>
        <w:rPr>
          <w:rFonts w:ascii="Verdana" w:eastAsia="Times New Roman" w:hAnsi="Verdana"/>
          <w:sz w:val="14"/>
          <w:szCs w:val="16"/>
          <w:lang w:val="es-ES" w:eastAsia="es-ES"/>
        </w:rPr>
        <w:t>5</w:t>
      </w:r>
      <w:r w:rsidRPr="00126214">
        <w:rPr>
          <w:rFonts w:ascii="Verdana" w:eastAsia="Times New Roman" w:hAnsi="Verdana"/>
          <w:sz w:val="14"/>
          <w:szCs w:val="16"/>
          <w:lang w:val="es-ES" w:eastAsia="es-ES"/>
        </w:rPr>
        <w:t>) Potrerillo - El Paso (Cesar); 1</w:t>
      </w:r>
      <w:r>
        <w:rPr>
          <w:rFonts w:ascii="Verdana" w:eastAsia="Times New Roman" w:hAnsi="Verdana"/>
          <w:sz w:val="14"/>
          <w:szCs w:val="16"/>
          <w:lang w:val="es-ES" w:eastAsia="es-ES"/>
        </w:rPr>
        <w:t>6)Kennedy - Bogotá; 17) Usme- Nevado - Bogotá; 18</w:t>
      </w:r>
      <w:r w:rsidRPr="00126214">
        <w:rPr>
          <w:rFonts w:ascii="Verdana" w:eastAsia="Times New Roman" w:hAnsi="Verdana"/>
          <w:sz w:val="14"/>
          <w:szCs w:val="16"/>
          <w:lang w:val="es-ES" w:eastAsia="es-ES"/>
        </w:rPr>
        <w:t xml:space="preserve">) Usme - Danubio - Bogotá; </w:t>
      </w:r>
      <w:r>
        <w:rPr>
          <w:rFonts w:ascii="Verdana" w:eastAsia="Times New Roman" w:hAnsi="Verdana"/>
          <w:sz w:val="14"/>
          <w:szCs w:val="16"/>
          <w:lang w:val="es-ES" w:eastAsia="es-ES"/>
        </w:rPr>
        <w:t>19</w:t>
      </w:r>
      <w:r w:rsidRPr="00126214">
        <w:rPr>
          <w:rFonts w:ascii="Verdana" w:eastAsia="Times New Roman" w:hAnsi="Verdana"/>
          <w:sz w:val="14"/>
          <w:szCs w:val="16"/>
          <w:lang w:val="es-ES" w:eastAsia="es-ES"/>
        </w:rPr>
        <w:t>) Nelson Mandela Sector las Vegas - Cartagena (Bolívar); 2</w:t>
      </w:r>
      <w:r>
        <w:rPr>
          <w:rFonts w:ascii="Verdana" w:eastAsia="Times New Roman" w:hAnsi="Verdana"/>
          <w:sz w:val="14"/>
          <w:szCs w:val="16"/>
          <w:lang w:val="es-ES" w:eastAsia="es-ES"/>
        </w:rPr>
        <w:t>0</w:t>
      </w:r>
      <w:r w:rsidRPr="00126214">
        <w:rPr>
          <w:rFonts w:ascii="Verdana" w:eastAsia="Times New Roman" w:hAnsi="Verdana"/>
          <w:sz w:val="14"/>
          <w:szCs w:val="16"/>
          <w:lang w:val="es-ES" w:eastAsia="es-ES"/>
        </w:rPr>
        <w:t>) Media Luna - Uribia (La Guajira); 2</w:t>
      </w:r>
      <w:r>
        <w:rPr>
          <w:rFonts w:ascii="Verdana" w:eastAsia="Times New Roman" w:hAnsi="Verdana"/>
          <w:sz w:val="14"/>
          <w:szCs w:val="16"/>
          <w:lang w:val="es-ES" w:eastAsia="es-ES"/>
        </w:rPr>
        <w:t>1) Sopó</w:t>
      </w:r>
      <w:r w:rsidRPr="00126214">
        <w:rPr>
          <w:rFonts w:ascii="Verdana" w:eastAsia="Times New Roman" w:hAnsi="Verdana"/>
          <w:sz w:val="14"/>
          <w:szCs w:val="16"/>
          <w:lang w:val="es-ES" w:eastAsia="es-ES"/>
        </w:rPr>
        <w:t xml:space="preserve"> ( Cundinamarca); 2</w:t>
      </w:r>
      <w:r>
        <w:rPr>
          <w:rFonts w:ascii="Verdana" w:eastAsia="Times New Roman" w:hAnsi="Verdana"/>
          <w:sz w:val="14"/>
          <w:szCs w:val="16"/>
          <w:lang w:val="es-ES" w:eastAsia="es-ES"/>
        </w:rPr>
        <w:t>2</w:t>
      </w:r>
      <w:r w:rsidRPr="00126214">
        <w:rPr>
          <w:rFonts w:ascii="Verdana" w:eastAsia="Times New Roman" w:hAnsi="Verdana"/>
          <w:sz w:val="14"/>
          <w:szCs w:val="16"/>
          <w:lang w:val="es-ES" w:eastAsia="es-ES"/>
        </w:rPr>
        <w:t>) Cogua (Cundinamarca); 2</w:t>
      </w:r>
      <w:r>
        <w:rPr>
          <w:rFonts w:ascii="Verdana" w:eastAsia="Times New Roman" w:hAnsi="Verdana"/>
          <w:sz w:val="14"/>
          <w:szCs w:val="16"/>
          <w:lang w:val="es-ES" w:eastAsia="es-ES"/>
        </w:rPr>
        <w:t>3</w:t>
      </w:r>
      <w:r w:rsidRPr="00126214">
        <w:rPr>
          <w:rFonts w:ascii="Verdana" w:eastAsia="Times New Roman" w:hAnsi="Verdana"/>
          <w:sz w:val="14"/>
          <w:szCs w:val="16"/>
          <w:lang w:val="es-ES" w:eastAsia="es-ES"/>
        </w:rPr>
        <w:t>) Urabá Costera (4 territorios en 4 municipios); 2</w:t>
      </w:r>
      <w:r>
        <w:rPr>
          <w:rFonts w:ascii="Verdana" w:eastAsia="Times New Roman" w:hAnsi="Verdana"/>
          <w:sz w:val="14"/>
          <w:szCs w:val="16"/>
          <w:lang w:val="es-ES" w:eastAsia="es-ES"/>
        </w:rPr>
        <w:t>4</w:t>
      </w:r>
      <w:r w:rsidRPr="00126214">
        <w:rPr>
          <w:rFonts w:ascii="Verdana" w:eastAsia="Times New Roman" w:hAnsi="Verdana"/>
          <w:sz w:val="14"/>
          <w:szCs w:val="16"/>
          <w:lang w:val="es-ES" w:eastAsia="es-ES"/>
        </w:rPr>
        <w:t>) Urabá Centro (5 territorios en 5 municipios); 2</w:t>
      </w:r>
      <w:r>
        <w:rPr>
          <w:rFonts w:ascii="Verdana" w:eastAsia="Times New Roman" w:hAnsi="Verdana"/>
          <w:sz w:val="14"/>
          <w:szCs w:val="16"/>
          <w:lang w:val="es-ES" w:eastAsia="es-ES"/>
        </w:rPr>
        <w:t>5</w:t>
      </w:r>
      <w:r w:rsidRPr="00126214">
        <w:rPr>
          <w:rFonts w:ascii="Verdana" w:eastAsia="Times New Roman" w:hAnsi="Verdana"/>
          <w:sz w:val="14"/>
          <w:szCs w:val="16"/>
          <w:lang w:val="es-ES" w:eastAsia="es-ES"/>
        </w:rPr>
        <w:t>) Resguardo Indígena Karmata Rua, Jardín (Antioquia); 2</w:t>
      </w:r>
      <w:r>
        <w:rPr>
          <w:rFonts w:ascii="Verdana" w:eastAsia="Times New Roman" w:hAnsi="Verdana"/>
          <w:sz w:val="14"/>
          <w:szCs w:val="16"/>
          <w:lang w:val="es-ES" w:eastAsia="es-ES"/>
        </w:rPr>
        <w:t>6</w:t>
      </w:r>
      <w:r w:rsidRPr="00126214">
        <w:rPr>
          <w:rFonts w:ascii="Verdana" w:eastAsia="Times New Roman" w:hAnsi="Verdana"/>
          <w:sz w:val="14"/>
          <w:szCs w:val="16"/>
          <w:lang w:val="es-ES" w:eastAsia="es-ES"/>
        </w:rPr>
        <w:t xml:space="preserve">) </w:t>
      </w:r>
      <w:r>
        <w:rPr>
          <w:rFonts w:ascii="Verdana" w:eastAsia="Times New Roman" w:hAnsi="Verdana"/>
          <w:sz w:val="14"/>
          <w:szCs w:val="16"/>
          <w:lang w:val="es-ES" w:eastAsia="es-ES"/>
        </w:rPr>
        <w:t>Rebolo - Barranquilla</w:t>
      </w:r>
      <w:r w:rsidRPr="00126214">
        <w:rPr>
          <w:rFonts w:ascii="Verdana" w:eastAsia="Times New Roman" w:hAnsi="Verdana"/>
          <w:sz w:val="14"/>
          <w:szCs w:val="16"/>
          <w:lang w:val="es-ES" w:eastAsia="es-ES"/>
        </w:rPr>
        <w:t xml:space="preserve"> (At</w:t>
      </w:r>
      <w:r>
        <w:rPr>
          <w:rFonts w:ascii="Verdana" w:eastAsia="Times New Roman" w:hAnsi="Verdana"/>
          <w:sz w:val="14"/>
          <w:szCs w:val="16"/>
          <w:lang w:val="es-ES" w:eastAsia="es-ES"/>
        </w:rPr>
        <w:t>lántico</w:t>
      </w:r>
      <w:r w:rsidRPr="00126214">
        <w:rPr>
          <w:rFonts w:ascii="Verdana" w:eastAsia="Times New Roman" w:hAnsi="Verdana"/>
          <w:sz w:val="14"/>
          <w:szCs w:val="16"/>
          <w:lang w:val="es-ES" w:eastAsia="es-ES"/>
        </w:rPr>
        <w:t>); 2</w:t>
      </w:r>
      <w:r>
        <w:rPr>
          <w:rFonts w:ascii="Verdana" w:eastAsia="Times New Roman" w:hAnsi="Verdana"/>
          <w:sz w:val="14"/>
          <w:szCs w:val="16"/>
          <w:lang w:val="es-ES" w:eastAsia="es-ES"/>
        </w:rPr>
        <w:t>7</w:t>
      </w:r>
      <w:r w:rsidRPr="00126214">
        <w:rPr>
          <w:rFonts w:ascii="Verdana" w:eastAsia="Times New Roman" w:hAnsi="Verdana"/>
          <w:sz w:val="14"/>
          <w:szCs w:val="16"/>
          <w:lang w:val="es-ES" w:eastAsia="es-ES"/>
        </w:rPr>
        <w:t>)Yumbo, Comuna 1 (Valle del Cauca); 2</w:t>
      </w:r>
      <w:r>
        <w:rPr>
          <w:rFonts w:ascii="Verdana" w:eastAsia="Times New Roman" w:hAnsi="Verdana"/>
          <w:sz w:val="14"/>
          <w:szCs w:val="16"/>
          <w:lang w:val="es-ES" w:eastAsia="es-ES"/>
        </w:rPr>
        <w:t>8</w:t>
      </w:r>
      <w:r w:rsidRPr="00126214">
        <w:rPr>
          <w:rFonts w:ascii="Verdana" w:eastAsia="Times New Roman" w:hAnsi="Verdana"/>
          <w:sz w:val="14"/>
          <w:szCs w:val="16"/>
          <w:lang w:val="es-ES" w:eastAsia="es-ES"/>
        </w:rPr>
        <w:t>)Comu</w:t>
      </w:r>
      <w:r>
        <w:rPr>
          <w:rFonts w:ascii="Verdana" w:eastAsia="Times New Roman" w:hAnsi="Verdana"/>
          <w:sz w:val="14"/>
          <w:szCs w:val="16"/>
          <w:lang w:val="es-ES" w:eastAsia="es-ES"/>
        </w:rPr>
        <w:t>na 18 Cali (Valle del Cauca); 29</w:t>
      </w:r>
      <w:r w:rsidRPr="00126214">
        <w:rPr>
          <w:rFonts w:ascii="Verdana" w:eastAsia="Times New Roman" w:hAnsi="Verdana"/>
          <w:sz w:val="14"/>
          <w:szCs w:val="16"/>
          <w:lang w:val="es-ES" w:eastAsia="es-ES"/>
        </w:rPr>
        <w:t>) Comuna 5 Bugalagrande (Valle del Cauca); 3</w:t>
      </w:r>
      <w:r>
        <w:rPr>
          <w:rFonts w:ascii="Verdana" w:eastAsia="Times New Roman" w:hAnsi="Verdana"/>
          <w:sz w:val="14"/>
          <w:szCs w:val="16"/>
          <w:lang w:val="es-ES" w:eastAsia="es-ES"/>
        </w:rPr>
        <w:t>0</w:t>
      </w:r>
      <w:r w:rsidRPr="00126214">
        <w:rPr>
          <w:rFonts w:ascii="Verdana" w:eastAsia="Times New Roman" w:hAnsi="Verdana"/>
          <w:sz w:val="14"/>
          <w:szCs w:val="16"/>
          <w:lang w:val="es-ES" w:eastAsia="es-ES"/>
        </w:rPr>
        <w:t>)Barrancabermeja (Santander); 3</w:t>
      </w:r>
      <w:r>
        <w:rPr>
          <w:rFonts w:ascii="Verdana" w:eastAsia="Times New Roman" w:hAnsi="Verdana"/>
          <w:sz w:val="14"/>
          <w:szCs w:val="16"/>
          <w:lang w:val="es-ES" w:eastAsia="es-ES"/>
        </w:rPr>
        <w:t>1</w:t>
      </w:r>
      <w:r w:rsidRPr="00126214">
        <w:rPr>
          <w:rFonts w:ascii="Verdana" w:eastAsia="Times New Roman" w:hAnsi="Verdana"/>
          <w:sz w:val="14"/>
          <w:szCs w:val="16"/>
          <w:lang w:val="es-ES" w:eastAsia="es-ES"/>
        </w:rPr>
        <w:t>) Santa Barú - Cartagena (Bolívar); 3</w:t>
      </w:r>
      <w:r>
        <w:rPr>
          <w:rFonts w:ascii="Verdana" w:eastAsia="Times New Roman" w:hAnsi="Verdana"/>
          <w:sz w:val="14"/>
          <w:szCs w:val="16"/>
          <w:lang w:val="es-ES" w:eastAsia="es-ES"/>
        </w:rPr>
        <w:t>2</w:t>
      </w:r>
      <w:r w:rsidRPr="00126214">
        <w:rPr>
          <w:rFonts w:ascii="Verdana" w:eastAsia="Times New Roman" w:hAnsi="Verdana"/>
          <w:sz w:val="14"/>
          <w:szCs w:val="16"/>
          <w:lang w:val="es-ES" w:eastAsia="es-ES"/>
        </w:rPr>
        <w:t>) Pasacaballos- Cartagena (Bolívar); 3</w:t>
      </w:r>
      <w:r>
        <w:rPr>
          <w:rFonts w:ascii="Verdana" w:eastAsia="Times New Roman" w:hAnsi="Verdana"/>
          <w:sz w:val="14"/>
          <w:szCs w:val="16"/>
          <w:lang w:val="es-ES" w:eastAsia="es-ES"/>
        </w:rPr>
        <w:t>3</w:t>
      </w:r>
      <w:r w:rsidRPr="00126214">
        <w:rPr>
          <w:rFonts w:ascii="Verdana" w:eastAsia="Times New Roman" w:hAnsi="Verdana"/>
          <w:sz w:val="14"/>
          <w:szCs w:val="16"/>
          <w:lang w:val="es-ES" w:eastAsia="es-ES"/>
        </w:rPr>
        <w:t>) La Palmita- la Jagua de Ibirico (Cesar); 3</w:t>
      </w:r>
      <w:r>
        <w:rPr>
          <w:rFonts w:ascii="Verdana" w:eastAsia="Times New Roman" w:hAnsi="Verdana"/>
          <w:sz w:val="14"/>
          <w:szCs w:val="16"/>
          <w:lang w:val="es-ES" w:eastAsia="es-ES"/>
        </w:rPr>
        <w:t>4) Modelia- Ibagué (Tolima); 35</w:t>
      </w:r>
      <w:r w:rsidRPr="00126214">
        <w:rPr>
          <w:rFonts w:ascii="Verdana" w:eastAsia="Times New Roman" w:hAnsi="Verdana"/>
          <w:sz w:val="14"/>
          <w:szCs w:val="16"/>
          <w:lang w:val="es-ES" w:eastAsia="es-ES"/>
        </w:rPr>
        <w:t>)Puerto Tejada (Cauca); 3</w:t>
      </w:r>
      <w:r>
        <w:rPr>
          <w:rFonts w:ascii="Verdana" w:eastAsia="Times New Roman" w:hAnsi="Verdana"/>
          <w:sz w:val="14"/>
          <w:szCs w:val="16"/>
          <w:lang w:val="es-ES" w:eastAsia="es-ES"/>
        </w:rPr>
        <w:t>6</w:t>
      </w:r>
      <w:r w:rsidRPr="00126214">
        <w:rPr>
          <w:rFonts w:ascii="Verdana" w:eastAsia="Times New Roman" w:hAnsi="Verdana"/>
          <w:sz w:val="14"/>
          <w:szCs w:val="16"/>
          <w:lang w:val="es-ES" w:eastAsia="es-ES"/>
        </w:rPr>
        <w:t>) Persia - Manizales (Caldas);</w:t>
      </w:r>
      <w:r>
        <w:rPr>
          <w:rFonts w:ascii="Verdana" w:eastAsia="Times New Roman" w:hAnsi="Verdana"/>
          <w:sz w:val="14"/>
          <w:szCs w:val="16"/>
          <w:lang w:val="es-ES" w:eastAsia="es-ES"/>
        </w:rPr>
        <w:t xml:space="preserve"> </w:t>
      </w:r>
      <w:r w:rsidRPr="00126214">
        <w:rPr>
          <w:rFonts w:ascii="Verdana" w:eastAsia="Times New Roman" w:hAnsi="Verdana"/>
          <w:sz w:val="14"/>
          <w:szCs w:val="16"/>
          <w:lang w:val="es-ES" w:eastAsia="es-ES"/>
        </w:rPr>
        <w:t>3</w:t>
      </w:r>
      <w:r>
        <w:rPr>
          <w:rFonts w:ascii="Verdana" w:eastAsia="Times New Roman" w:hAnsi="Verdana"/>
          <w:sz w:val="14"/>
          <w:szCs w:val="16"/>
          <w:lang w:val="es-ES" w:eastAsia="es-ES"/>
        </w:rPr>
        <w:t>7</w:t>
      </w:r>
      <w:r w:rsidRPr="00126214">
        <w:rPr>
          <w:rFonts w:ascii="Verdana" w:eastAsia="Times New Roman" w:hAnsi="Verdana"/>
          <w:sz w:val="14"/>
          <w:szCs w:val="16"/>
          <w:lang w:val="es-ES" w:eastAsia="es-ES"/>
        </w:rPr>
        <w:t>)Pueblo Viejo (Magdalena); 3</w:t>
      </w:r>
      <w:r>
        <w:rPr>
          <w:rFonts w:ascii="Verdana" w:eastAsia="Times New Roman" w:hAnsi="Verdana"/>
          <w:sz w:val="14"/>
          <w:szCs w:val="16"/>
          <w:lang w:val="es-ES" w:eastAsia="es-ES"/>
        </w:rPr>
        <w:t>8</w:t>
      </w:r>
      <w:r w:rsidRPr="00126214">
        <w:rPr>
          <w:rFonts w:ascii="Verdana" w:eastAsia="Times New Roman" w:hAnsi="Verdana"/>
          <w:sz w:val="14"/>
          <w:szCs w:val="16"/>
          <w:lang w:val="es-ES" w:eastAsia="es-ES"/>
        </w:rPr>
        <w:t xml:space="preserve">) Puerto López (Meta); </w:t>
      </w:r>
      <w:r>
        <w:rPr>
          <w:rFonts w:ascii="Verdana" w:eastAsia="Times New Roman" w:hAnsi="Verdana"/>
          <w:sz w:val="14"/>
          <w:szCs w:val="16"/>
          <w:lang w:val="es-ES" w:eastAsia="es-ES"/>
        </w:rPr>
        <w:t>39</w:t>
      </w:r>
      <w:r w:rsidRPr="00126214">
        <w:rPr>
          <w:rFonts w:ascii="Verdana" w:eastAsia="Times New Roman" w:hAnsi="Verdana"/>
          <w:sz w:val="14"/>
          <w:szCs w:val="16"/>
          <w:lang w:val="es-ES" w:eastAsia="es-ES"/>
        </w:rPr>
        <w:t xml:space="preserve">) Caimalito- Pereira (Risaralda).  </w:t>
      </w:r>
    </w:p>
  </w:footnote>
  <w:footnote w:id="6">
    <w:p w:rsidR="00F33CF6" w:rsidRPr="004A278D" w:rsidRDefault="00F33CF6" w:rsidP="00FC7F0E">
      <w:pPr>
        <w:pStyle w:val="Textonotapie"/>
        <w:rPr>
          <w:lang w:val="es-MX"/>
        </w:rPr>
      </w:pPr>
      <w:r>
        <w:rPr>
          <w:rStyle w:val="Refdenotaalpie"/>
        </w:rPr>
        <w:footnoteRef/>
      </w:r>
      <w:r>
        <w:t xml:space="preserve"> </w:t>
      </w:r>
      <w:r w:rsidRPr="00821D6F">
        <w:rPr>
          <w:sz w:val="16"/>
          <w:szCs w:val="16"/>
          <w:lang w:val="es-MX"/>
        </w:rPr>
        <w:t xml:space="preserve">Ver Manual de Lineamientos: </w:t>
      </w:r>
      <w:hyperlink r:id="rId1" w:history="1">
        <w:r w:rsidRPr="00821D6F">
          <w:rPr>
            <w:rStyle w:val="Hipervnculo"/>
            <w:lang w:val="es-MX"/>
          </w:rPr>
          <w:t>http://www.anspe.gov.co/sites/default/files/documentos/lineamientos_estrategia_zolip_03.pdf</w:t>
        </w:r>
      </w:hyperlink>
      <w:r>
        <w:rPr>
          <w:lang w:val="es-MX"/>
        </w:rPr>
        <w:t xml:space="preserve"> </w:t>
      </w:r>
    </w:p>
  </w:footnote>
  <w:footnote w:id="7">
    <w:p w:rsidR="00F33CF6" w:rsidRPr="002A419E" w:rsidRDefault="00F33CF6" w:rsidP="00FC7F0E">
      <w:pPr>
        <w:jc w:val="both"/>
        <w:rPr>
          <w:rFonts w:ascii="Verdana" w:eastAsia="Times New Roman" w:hAnsi="Verdana" w:cs="Times New Roman"/>
          <w:sz w:val="14"/>
          <w:szCs w:val="16"/>
          <w:lang w:val="es-ES" w:eastAsia="es-ES"/>
        </w:rPr>
      </w:pPr>
      <w:r w:rsidRPr="002A419E">
        <w:rPr>
          <w:rFonts w:ascii="Verdana" w:eastAsia="Times New Roman" w:hAnsi="Verdana" w:cs="Times New Roman"/>
          <w:sz w:val="14"/>
          <w:szCs w:val="16"/>
          <w:lang w:val="es-ES" w:eastAsia="es-ES"/>
        </w:rPr>
        <w:footnoteRef/>
      </w:r>
      <w:r w:rsidRPr="002A419E">
        <w:rPr>
          <w:rFonts w:ascii="Verdana" w:eastAsia="Times New Roman" w:hAnsi="Verdana" w:cs="Times New Roman"/>
          <w:sz w:val="14"/>
          <w:szCs w:val="16"/>
          <w:lang w:val="es-ES" w:eastAsia="es-ES"/>
        </w:rPr>
        <w:t xml:space="preserve"> Asociación Nacional de Industriales – ANDI; Asociaciones locales de empresarios; Asocolflores, Fundaciones: Bavaria, Semana, Carvajal, Holcim, Puerto Bahía, Tenaris TuboCaribe, Karibana, Carlos y Sonia Haime, Alpina, Fundauniban, Cargoban, Catalina Muñoz; Colombia es responsable; Asociación Colombiana de Minería- Cerrejón, Drummond, Prodeco, Grand Colombia Gold; Sector de hidrocarburos –Hocol, Equion, Ecopetrol; Universidades: Católica del Norte, Minuto de Dios, Católica de Colombia, UNAD; Cajas de Compensación: Comfenalco Antioquia – Comfandi Valle; Proantioquia, Belcorp; SI99, Ladrilleras Yomasa, Prisma, Alemana, Arcillas de Colombia; Pequeñas empresas: Ferreterías en Paipa; Comité departamental de cafeteros de Antioquia, Caffe Devottion, entre otros.</w:t>
      </w:r>
    </w:p>
  </w:footnote>
  <w:footnote w:id="8">
    <w:p w:rsidR="00F33CF6" w:rsidRDefault="00F33CF6" w:rsidP="00FC7F0E">
      <w:pPr>
        <w:pStyle w:val="Textonotapie"/>
      </w:pPr>
      <w:r w:rsidRPr="002A419E">
        <w:rPr>
          <w:rFonts w:ascii="Verdana" w:eastAsia="Times New Roman" w:hAnsi="Verdana"/>
          <w:sz w:val="14"/>
          <w:szCs w:val="16"/>
          <w:lang w:val="es-ES" w:eastAsia="es-ES"/>
        </w:rPr>
        <w:footnoteRef/>
      </w:r>
      <w:r w:rsidRPr="002A419E">
        <w:rPr>
          <w:rFonts w:ascii="Verdana" w:eastAsia="Times New Roman" w:hAnsi="Verdana"/>
          <w:sz w:val="14"/>
          <w:szCs w:val="16"/>
          <w:lang w:val="es-ES" w:eastAsia="es-ES"/>
        </w:rPr>
        <w:t xml:space="preserve"> entre ellos</w:t>
      </w:r>
      <w:r>
        <w:rPr>
          <w:rFonts w:ascii="Verdana" w:eastAsia="Times New Roman" w:hAnsi="Verdana"/>
          <w:sz w:val="14"/>
          <w:szCs w:val="16"/>
          <w:lang w:val="es-ES" w:eastAsia="es-ES"/>
        </w:rPr>
        <w:t xml:space="preserve">: </w:t>
      </w:r>
      <w:r w:rsidRPr="002A419E">
        <w:rPr>
          <w:rFonts w:ascii="Verdana" w:eastAsia="Times New Roman" w:hAnsi="Verdana"/>
          <w:sz w:val="14"/>
          <w:szCs w:val="16"/>
          <w:lang w:val="es-ES" w:eastAsia="es-ES"/>
        </w:rPr>
        <w:t>4 Gobernaciones; 27 Alcaldías municipales y entidades del orden Nacional que hacen pate de la red Unidos como SENA, DPS, Unidad de Consolidación Territorial, ICBF, ICETEX, UARIV, Organizaciones Solidarias.</w:t>
      </w:r>
    </w:p>
  </w:footnote>
  <w:footnote w:id="9">
    <w:p w:rsidR="00F33CF6" w:rsidRPr="00242A8A" w:rsidRDefault="00F33CF6" w:rsidP="00071815">
      <w:pPr>
        <w:spacing w:after="0" w:line="240" w:lineRule="auto"/>
        <w:jc w:val="both"/>
        <w:rPr>
          <w:sz w:val="16"/>
          <w:szCs w:val="16"/>
        </w:rPr>
      </w:pPr>
      <w:r w:rsidRPr="00242A8A">
        <w:rPr>
          <w:rStyle w:val="Refdenotaalpie"/>
          <w:sz w:val="16"/>
          <w:szCs w:val="16"/>
        </w:rPr>
        <w:footnoteRef/>
      </w:r>
      <w:r w:rsidRPr="00242A8A">
        <w:rPr>
          <w:rFonts w:ascii="Verdana" w:hAnsi="Verdana"/>
          <w:sz w:val="16"/>
          <w:szCs w:val="16"/>
        </w:rPr>
        <w:t xml:space="preserve"> Estos indicadores n</w:t>
      </w:r>
      <w:r w:rsidRPr="00242A8A">
        <w:rPr>
          <w:rFonts w:ascii="Verdana" w:hAnsi="Verdana"/>
          <w:color w:val="000000" w:themeColor="text1"/>
          <w:sz w:val="16"/>
          <w:szCs w:val="16"/>
        </w:rPr>
        <w:t xml:space="preserve">o </w:t>
      </w:r>
      <w:r>
        <w:rPr>
          <w:rFonts w:ascii="Verdana" w:hAnsi="Verdana"/>
          <w:color w:val="000000" w:themeColor="text1"/>
          <w:sz w:val="16"/>
          <w:szCs w:val="16"/>
        </w:rPr>
        <w:t xml:space="preserve">presentan </w:t>
      </w:r>
      <w:r w:rsidRPr="00242A8A">
        <w:rPr>
          <w:rFonts w:ascii="Verdana" w:hAnsi="Verdana"/>
          <w:color w:val="000000" w:themeColor="text1"/>
          <w:sz w:val="16"/>
          <w:szCs w:val="16"/>
        </w:rPr>
        <w:t xml:space="preserve">meta </w:t>
      </w:r>
      <w:r>
        <w:rPr>
          <w:rFonts w:ascii="Verdana" w:hAnsi="Verdana"/>
          <w:color w:val="000000" w:themeColor="text1"/>
          <w:sz w:val="16"/>
          <w:szCs w:val="16"/>
        </w:rPr>
        <w:t xml:space="preserve">específica </w:t>
      </w:r>
      <w:r w:rsidRPr="00242A8A">
        <w:rPr>
          <w:rFonts w:ascii="Verdana" w:hAnsi="Verdana"/>
          <w:color w:val="000000" w:themeColor="text1"/>
          <w:sz w:val="16"/>
          <w:szCs w:val="16"/>
        </w:rPr>
        <w:t xml:space="preserve">para 2014. </w:t>
      </w:r>
    </w:p>
    <w:p w:rsidR="00F33CF6" w:rsidRDefault="00F33CF6" w:rsidP="00071815">
      <w:pPr>
        <w:pStyle w:val="Textonotapie"/>
      </w:pPr>
    </w:p>
  </w:footnote>
  <w:footnote w:id="10">
    <w:p w:rsidR="00F33CF6" w:rsidRDefault="00F33CF6" w:rsidP="00482241">
      <w:pPr>
        <w:pStyle w:val="Textonotapie"/>
        <w:jc w:val="both"/>
      </w:pPr>
      <w:r>
        <w:rPr>
          <w:rStyle w:val="Refdenotaalpie"/>
        </w:rPr>
        <w:footnoteRef/>
      </w:r>
      <w:r>
        <w:t xml:space="preserve"> </w:t>
      </w:r>
      <w:r>
        <w:rPr>
          <w:rFonts w:ascii="Tahoma" w:hAnsi="Tahoma" w:cs="Tahoma"/>
        </w:rPr>
        <w:t xml:space="preserve">La ejecución de los recursos del rubro A-3-6-3-12 Recurso 26 Fondo Para La Reparacion De Las Victimas (Art.54 Ley 975 De 2005) depende de las Sentencias proferidas por la Magistratura de Justicia y Paz, las cuales </w:t>
      </w:r>
      <w:r w:rsidRPr="00F129DD">
        <w:rPr>
          <w:rFonts w:ascii="Tahoma" w:hAnsi="Tahoma" w:cs="Tahoma"/>
        </w:rPr>
        <w:t>no han sido sobre los postulados y bienes entregados por los mismos y que cuentan con extinción de dominio, razón por la cual, no se han realizado monetizaciones de títulos de tesorería o bienes para realizar los pagos de las indemnizaciones a las víctimas del conflicto armado.</w:t>
      </w:r>
    </w:p>
  </w:footnote>
  <w:footnote w:id="11">
    <w:p w:rsidR="00F33CF6" w:rsidRPr="00DF4D17" w:rsidRDefault="00F33CF6" w:rsidP="00482241">
      <w:pPr>
        <w:pStyle w:val="Textonotapie"/>
        <w:jc w:val="both"/>
        <w:rPr>
          <w:rFonts w:asciiTheme="minorHAnsi" w:hAnsiTheme="minorHAnsi" w:cs="Arial"/>
          <w:sz w:val="16"/>
        </w:rPr>
      </w:pPr>
      <w:r w:rsidRPr="00DF4D17">
        <w:rPr>
          <w:rStyle w:val="Refdenotaalpie"/>
          <w:rFonts w:asciiTheme="minorHAnsi" w:eastAsia="Kaiti SC Regular" w:hAnsiTheme="minorHAnsi"/>
          <w:sz w:val="16"/>
        </w:rPr>
        <w:footnoteRef/>
      </w:r>
      <w:r w:rsidRPr="00DF4D17">
        <w:rPr>
          <w:rFonts w:asciiTheme="minorHAnsi" w:hAnsiTheme="minorHAnsi"/>
          <w:sz w:val="16"/>
        </w:rPr>
        <w:t xml:space="preserve"> </w:t>
      </w:r>
      <w:r w:rsidRPr="00DF4D17">
        <w:rPr>
          <w:rFonts w:asciiTheme="minorHAnsi" w:hAnsiTheme="minorHAnsi" w:cs="Arial"/>
          <w:sz w:val="16"/>
        </w:rPr>
        <w:t xml:space="preserve">El marco para la interoperabilidad, es definido por Gobierno en Línea y establece las recomendaciones y lineamientos para el intercambio eficiente de información entre entidades del estado. </w:t>
      </w:r>
    </w:p>
    <w:p w:rsidR="00F33CF6" w:rsidRPr="0019022E" w:rsidRDefault="00F33CF6" w:rsidP="00482241">
      <w:pPr>
        <w:pStyle w:val="Textonotapie"/>
        <w:rPr>
          <w:sz w:val="2"/>
        </w:rPr>
      </w:pPr>
    </w:p>
  </w:footnote>
  <w:footnote w:id="12">
    <w:p w:rsidR="00F33CF6" w:rsidRPr="005C13A7" w:rsidRDefault="00F33CF6" w:rsidP="00C310DF">
      <w:pPr>
        <w:pStyle w:val="Textonotapie"/>
        <w:rPr>
          <w:rFonts w:ascii="Arial Narrow" w:hAnsi="Arial Narrow"/>
        </w:rPr>
      </w:pPr>
      <w:r w:rsidRPr="005C13A7">
        <w:rPr>
          <w:rStyle w:val="Refdenotaalpie"/>
          <w:rFonts w:ascii="Arial Narrow" w:hAnsi="Arial Narrow"/>
        </w:rPr>
        <w:footnoteRef/>
      </w:r>
      <w:r w:rsidRPr="005C13A7">
        <w:rPr>
          <w:rFonts w:ascii="Arial Narrow" w:hAnsi="Arial Narrow"/>
        </w:rPr>
        <w:t xml:space="preserve"> Centro Nacional de Memoria Histórica, 1; Entidades Públicas, 8; Organismo Internacional, 1; Organizaciones de la Sociedad Civil, 4 y Personas Naturales, 6.</w:t>
      </w:r>
    </w:p>
  </w:footnote>
  <w:footnote w:id="13">
    <w:p w:rsidR="00F33CF6" w:rsidRPr="005C13A7" w:rsidRDefault="00F33CF6" w:rsidP="00C310DF">
      <w:pPr>
        <w:spacing w:after="0" w:line="240" w:lineRule="auto"/>
        <w:jc w:val="both"/>
        <w:rPr>
          <w:rFonts w:ascii="Arial Narrow" w:hAnsi="Arial Narrow"/>
          <w:sz w:val="20"/>
          <w:szCs w:val="20"/>
        </w:rPr>
      </w:pPr>
      <w:r w:rsidRPr="005C13A7">
        <w:rPr>
          <w:rStyle w:val="Refdenotaalpie"/>
          <w:rFonts w:ascii="Arial Narrow" w:hAnsi="Arial Narrow"/>
          <w:sz w:val="20"/>
          <w:szCs w:val="20"/>
        </w:rPr>
        <w:footnoteRef/>
      </w:r>
      <w:r w:rsidRPr="005C13A7">
        <w:rPr>
          <w:rFonts w:ascii="Arial Narrow" w:hAnsi="Arial Narrow"/>
          <w:sz w:val="20"/>
          <w:szCs w:val="20"/>
        </w:rPr>
        <w:t xml:space="preserve"> Guías de identificación y localización de archivos de DDHH y MH: Guía Rama Ejecutiva Nacional, Guía Rama Ejecutiva nivel Departamental, Guía Rama Ejecutiva nivel Municipal, Guía Rama Judicial, Guía Rama Legislativa, Guía Organismos Autónomos e Independientes, Guía personas naturales y jurídicas de la sociedad civil, Guía de comunidades indígenas, Guía de comunidades afrodescendientes, palenqueras y raizales. En proceso de elaboración: Guía organizaciones internacionales, Guía Especial de la Rama Ejecutiva – Fuerzas Públicas</w:t>
      </w:r>
    </w:p>
    <w:p w:rsidR="00F33CF6" w:rsidRPr="005C13A7" w:rsidRDefault="00F33CF6" w:rsidP="00C310DF">
      <w:pPr>
        <w:pStyle w:val="Textonotapie"/>
        <w:rPr>
          <w:rFonts w:ascii="Arial Narrow" w:hAnsi="Arial Narrow"/>
        </w:rPr>
      </w:pPr>
    </w:p>
  </w:footnote>
  <w:footnote w:id="14">
    <w:p w:rsidR="00F33CF6" w:rsidRPr="005C13A7" w:rsidRDefault="00F33CF6" w:rsidP="00C310DF">
      <w:pPr>
        <w:pStyle w:val="Textonotapie"/>
        <w:jc w:val="both"/>
        <w:rPr>
          <w:rFonts w:ascii="Arial Narrow" w:hAnsi="Arial Narrow"/>
        </w:rPr>
      </w:pPr>
      <w:r w:rsidRPr="005C13A7">
        <w:rPr>
          <w:rStyle w:val="Refdenotaalpie"/>
          <w:rFonts w:ascii="Arial Narrow" w:hAnsi="Arial Narrow"/>
        </w:rPr>
        <w:footnoteRef/>
      </w:r>
      <w:r w:rsidRPr="005C13A7">
        <w:rPr>
          <w:rFonts w:ascii="Arial Narrow" w:hAnsi="Arial Narrow"/>
        </w:rPr>
        <w:t xml:space="preserve"> Ésta busca dar a conocer la exención en la prestación del servicio militar para las víctimas que se encuentran incluidas en el Registro Único de Víctimas.</w:t>
      </w:r>
    </w:p>
  </w:footnote>
  <w:footnote w:id="15">
    <w:p w:rsidR="00F33CF6" w:rsidRPr="00E05AC7" w:rsidRDefault="00F33CF6" w:rsidP="00AB08E1">
      <w:pPr>
        <w:pStyle w:val="Textonotapie"/>
        <w:jc w:val="both"/>
      </w:pPr>
      <w:r>
        <w:rPr>
          <w:rStyle w:val="Refdenotaalpie"/>
        </w:rPr>
        <w:footnoteRef/>
      </w:r>
      <w:r>
        <w:t xml:space="preserve"> Región Centro Sur: Amazonas, Caquetá, Huila, Putumayo y Tolima. Región Caribe: Atlántico, Bolivar, Cesar, Córdoba, Guajira, Magdalena, San Andres y Providencia y Sucre. Región Eje Cafetero: Antioquia, Caldas, Quindío y Risaralda. Región Centro Oriente: Boyacá, Cundinamarca, Santander y Norte de Santander. Región Pacífico: Cauca, Choco, Nariño y Valle del Cauca. Región Llanos: Arauca, Casanare, Guainía, Guaviare, Meta, Vaupés y Vichada.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CF6" w:rsidRDefault="00F33CF6" w:rsidP="005228F6">
    <w:pPr>
      <w:pStyle w:val="Encabezado"/>
      <w:jc w:val="center"/>
      <w:rPr>
        <w:rFonts w:ascii="Verdana" w:hAnsi="Verdana"/>
        <w:b/>
        <w:color w:val="A6A6A6" w:themeColor="background1" w:themeShade="A6"/>
      </w:rPr>
    </w:pPr>
    <w:r>
      <w:rPr>
        <w:rFonts w:ascii="Verdana" w:hAnsi="Verdana"/>
        <w:b/>
        <w:noProof/>
        <w:color w:val="A6A6A6" w:themeColor="background1" w:themeShade="A6"/>
        <w:lang w:eastAsia="es-CO"/>
      </w:rPr>
      <w:drawing>
        <wp:anchor distT="0" distB="0" distL="114300" distR="114300" simplePos="0" relativeHeight="251667456" behindDoc="0" locked="0" layoutInCell="1" allowOverlap="1">
          <wp:simplePos x="0" y="0"/>
          <wp:positionH relativeFrom="column">
            <wp:posOffset>661035</wp:posOffset>
          </wp:positionH>
          <wp:positionV relativeFrom="paragraph">
            <wp:posOffset>-681990</wp:posOffset>
          </wp:positionV>
          <wp:extent cx="5095875" cy="752475"/>
          <wp:effectExtent l="19050" t="0" r="9525" b="0"/>
          <wp:wrapThrough wrapText="bothSides">
            <wp:wrapPolygon edited="0">
              <wp:start x="-81" y="0"/>
              <wp:lineTo x="-81" y="21327"/>
              <wp:lineTo x="21640" y="21327"/>
              <wp:lineTo x="21640" y="0"/>
              <wp:lineTo x="-81" y="0"/>
            </wp:wrapPolygon>
          </wp:wrapThrough>
          <wp:docPr id="13" name="Imagen 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cstate="print"/>
                  <a:srcRect l="18640" t="39739" r="17874" b="46213"/>
                  <a:stretch>
                    <a:fillRect/>
                  </a:stretch>
                </pic:blipFill>
                <pic:spPr bwMode="auto">
                  <a:xfrm>
                    <a:off x="0" y="0"/>
                    <a:ext cx="5095875" cy="752475"/>
                  </a:xfrm>
                  <a:prstGeom prst="rect">
                    <a:avLst/>
                  </a:prstGeom>
                  <a:noFill/>
                  <a:ln w="9525">
                    <a:noFill/>
                    <a:miter lim="800000"/>
                    <a:headEnd/>
                    <a:tailEnd/>
                  </a:ln>
                </pic:spPr>
              </pic:pic>
            </a:graphicData>
          </a:graphic>
        </wp:anchor>
      </w:drawing>
    </w:r>
    <w:r>
      <w:rPr>
        <w:rFonts w:ascii="Verdana" w:hAnsi="Verdana"/>
        <w:b/>
        <w:noProof/>
        <w:color w:val="A6A6A6" w:themeColor="background1" w:themeShade="A6"/>
        <w:lang w:eastAsia="es-CO"/>
      </w:rPr>
      <w:drawing>
        <wp:anchor distT="0" distB="0" distL="114300" distR="114300" simplePos="0" relativeHeight="251666432" behindDoc="0" locked="0" layoutInCell="1" allowOverlap="1">
          <wp:simplePos x="0" y="0"/>
          <wp:positionH relativeFrom="column">
            <wp:posOffset>-828040</wp:posOffset>
          </wp:positionH>
          <wp:positionV relativeFrom="paragraph">
            <wp:posOffset>92710</wp:posOffset>
          </wp:positionV>
          <wp:extent cx="8896350" cy="596900"/>
          <wp:effectExtent l="19050" t="0" r="0" b="0"/>
          <wp:wrapTopAndBottom/>
          <wp:docPr id="36"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
                  <a:srcRect t="66444" r="30242" b="25435"/>
                  <a:stretch>
                    <a:fillRect/>
                  </a:stretch>
                </pic:blipFill>
                <pic:spPr bwMode="auto">
                  <a:xfrm>
                    <a:off x="0" y="0"/>
                    <a:ext cx="8896350" cy="596900"/>
                  </a:xfrm>
                  <a:prstGeom prst="rect">
                    <a:avLst/>
                  </a:prstGeom>
                  <a:noFill/>
                  <a:ln w="9525">
                    <a:noFill/>
                    <a:miter lim="800000"/>
                    <a:headEnd/>
                    <a:tailEnd/>
                  </a:ln>
                </pic:spPr>
              </pic:pic>
            </a:graphicData>
          </a:graphic>
        </wp:anchor>
      </w:drawing>
    </w:r>
  </w:p>
  <w:p w:rsidR="00F33CF6" w:rsidRDefault="00F33CF6" w:rsidP="005228F6">
    <w:pPr>
      <w:pStyle w:val="Encabezado"/>
      <w:jc w:val="center"/>
      <w:rPr>
        <w:rFonts w:ascii="Verdana" w:hAnsi="Verdana"/>
        <w:b/>
        <w:color w:val="A6A6A6" w:themeColor="background1" w:themeShade="A6"/>
      </w:rPr>
    </w:pPr>
  </w:p>
  <w:p w:rsidR="00F33CF6" w:rsidRDefault="00F33CF6" w:rsidP="005228F6">
    <w:pPr>
      <w:pStyle w:val="Encabezado"/>
      <w:jc w:val="center"/>
      <w:rPr>
        <w:rFonts w:ascii="Verdana" w:hAnsi="Verdana"/>
        <w:b/>
        <w:color w:val="A6A6A6" w:themeColor="background1" w:themeShade="A6"/>
      </w:rPr>
    </w:pPr>
  </w:p>
  <w:p w:rsidR="00F33CF6" w:rsidRDefault="00F33CF6" w:rsidP="005228F6">
    <w:pPr>
      <w:pStyle w:val="Encabezado"/>
      <w:jc w:val="center"/>
      <w:rPr>
        <w:rFonts w:ascii="Verdana" w:hAnsi="Verdana"/>
        <w:b/>
        <w:color w:val="A6A6A6" w:themeColor="background1" w:themeShade="A6"/>
      </w:rPr>
    </w:pPr>
  </w:p>
  <w:p w:rsidR="00F33CF6" w:rsidRPr="004102F2" w:rsidRDefault="00F33CF6" w:rsidP="005228F6">
    <w:pPr>
      <w:pStyle w:val="Encabezado"/>
      <w:jc w:val="center"/>
      <w:rPr>
        <w:rFonts w:ascii="Verdana" w:hAnsi="Verdana"/>
        <w:b/>
        <w:color w:val="A6A6A6" w:themeColor="background1" w:themeShade="A6"/>
      </w:rPr>
    </w:pPr>
    <w:r w:rsidRPr="004102F2">
      <w:rPr>
        <w:rFonts w:ascii="Verdana" w:hAnsi="Verdana"/>
        <w:b/>
        <w:color w:val="A6A6A6" w:themeColor="background1" w:themeShade="A6"/>
      </w:rPr>
      <w:t>RENDICION DE CUENTAS DEL SECTOR INCLUSION SOCIAL Y RECONCILIACION</w:t>
    </w:r>
    <w:r>
      <w:rPr>
        <w:rFonts w:ascii="Verdana" w:hAnsi="Verdana"/>
        <w:b/>
        <w:color w:val="A6A6A6" w:themeColor="background1" w:themeShade="A6"/>
      </w:rPr>
      <w:t xml:space="preserve"> GESTION 2014</w:t>
    </w:r>
  </w:p>
  <w:p w:rsidR="00F33CF6" w:rsidRPr="005228F6" w:rsidRDefault="00F33CF6">
    <w:pPr>
      <w:pStyle w:val="Encabezado"/>
      <w:rPr>
        <w:sz w:val="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CF6" w:rsidRDefault="00045A66" w:rsidP="00E25DCE">
    <w:pPr>
      <w:pStyle w:val="Encabezado"/>
    </w:pPr>
    <w:r w:rsidRPr="00045A66">
      <w:rPr>
        <w:rFonts w:ascii="Verdana" w:hAnsi="Verdana"/>
        <w:noProof/>
        <w:sz w:val="36"/>
        <w:szCs w:val="36"/>
        <w:lang w:eastAsia="es-CO"/>
      </w:rPr>
      <w:drawing>
        <wp:anchor distT="0" distB="0" distL="114300" distR="114300" simplePos="0" relativeHeight="251669504" behindDoc="0" locked="0" layoutInCell="1" allowOverlap="1">
          <wp:simplePos x="0" y="0"/>
          <wp:positionH relativeFrom="column">
            <wp:posOffset>808355</wp:posOffset>
          </wp:positionH>
          <wp:positionV relativeFrom="paragraph">
            <wp:posOffset>-449580</wp:posOffset>
          </wp:positionV>
          <wp:extent cx="5095875" cy="754380"/>
          <wp:effectExtent l="19050" t="0" r="9525" b="0"/>
          <wp:wrapThrough wrapText="bothSides">
            <wp:wrapPolygon edited="0">
              <wp:start x="-81" y="0"/>
              <wp:lineTo x="-81" y="21273"/>
              <wp:lineTo x="21640" y="21273"/>
              <wp:lineTo x="21640" y="0"/>
              <wp:lineTo x="-81" y="0"/>
            </wp:wrapPolygon>
          </wp:wrapThrough>
          <wp:docPr id="452" name="Imagen 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cstate="print"/>
                  <a:srcRect l="18640" t="39739" r="17874" b="46213"/>
                  <a:stretch>
                    <a:fillRect/>
                  </a:stretch>
                </pic:blipFill>
                <pic:spPr bwMode="auto">
                  <a:xfrm>
                    <a:off x="0" y="0"/>
                    <a:ext cx="5095875" cy="754380"/>
                  </a:xfrm>
                  <a:prstGeom prst="rect">
                    <a:avLst/>
                  </a:prstGeom>
                  <a:noFill/>
                  <a:ln w="9525">
                    <a:noFill/>
                    <a:miter lim="800000"/>
                    <a:headEnd/>
                    <a:tailEnd/>
                  </a:ln>
                </pic:spPr>
              </pic:pic>
            </a:graphicData>
          </a:graphic>
        </wp:anchor>
      </w:drawing>
    </w:r>
  </w:p>
  <w:p w:rsidR="00F33CF6" w:rsidRDefault="00F33CF6" w:rsidP="00E25DCE">
    <w:pPr>
      <w:pStyle w:val="Encabezado"/>
    </w:pPr>
  </w:p>
  <w:p w:rsidR="00F33CF6" w:rsidRDefault="00F33CF6" w:rsidP="00E25DCE">
    <w:pPr>
      <w:pStyle w:val="Encabezado"/>
    </w:pPr>
    <w:r>
      <w:rPr>
        <w:noProof/>
        <w:lang w:eastAsia="es-CO"/>
      </w:rPr>
      <w:drawing>
        <wp:anchor distT="0" distB="0" distL="114300" distR="114300" simplePos="0" relativeHeight="251659264" behindDoc="0" locked="0" layoutInCell="1" allowOverlap="1">
          <wp:simplePos x="0" y="0"/>
          <wp:positionH relativeFrom="column">
            <wp:posOffset>-666750</wp:posOffset>
          </wp:positionH>
          <wp:positionV relativeFrom="paragraph">
            <wp:posOffset>22225</wp:posOffset>
          </wp:positionV>
          <wp:extent cx="8896350" cy="596900"/>
          <wp:effectExtent l="19050" t="0" r="0" b="0"/>
          <wp:wrapTopAndBottom/>
          <wp:docPr id="25"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
                  <a:srcRect t="66444" r="30242" b="25435"/>
                  <a:stretch>
                    <a:fillRect/>
                  </a:stretch>
                </pic:blipFill>
                <pic:spPr bwMode="auto">
                  <a:xfrm>
                    <a:off x="0" y="0"/>
                    <a:ext cx="8896350" cy="596900"/>
                  </a:xfrm>
                  <a:prstGeom prst="rect">
                    <a:avLst/>
                  </a:prstGeom>
                  <a:noFill/>
                  <a:ln w="9525">
                    <a:noFill/>
                    <a:miter lim="800000"/>
                    <a:headEnd/>
                    <a:tailEnd/>
                  </a:ln>
                </pic:spPr>
              </pic:pic>
            </a:graphicData>
          </a:graphic>
        </wp:anchor>
      </w:drawing>
    </w:r>
  </w:p>
  <w:p w:rsidR="00F33CF6" w:rsidRDefault="00F33CF6" w:rsidP="00E25DCE">
    <w:pPr>
      <w:pStyle w:val="Encabezado"/>
      <w:rPr>
        <w:b/>
        <w:color w:val="A6A6A6" w:themeColor="background1" w:themeShade="A6"/>
        <w:sz w:val="24"/>
      </w:rPr>
    </w:pPr>
  </w:p>
  <w:p w:rsidR="00F33CF6" w:rsidRDefault="00F33CF6" w:rsidP="00E25DCE">
    <w:pPr>
      <w:pStyle w:val="Encabezado"/>
      <w:rPr>
        <w:b/>
        <w:color w:val="A6A6A6" w:themeColor="background1" w:themeShade="A6"/>
        <w:sz w:val="24"/>
      </w:rPr>
    </w:pPr>
  </w:p>
  <w:p w:rsidR="00F33CF6" w:rsidRDefault="00F33CF6" w:rsidP="00E25DCE">
    <w:pPr>
      <w:pStyle w:val="Encabezado"/>
      <w:rPr>
        <w:b/>
        <w:color w:val="A6A6A6" w:themeColor="background1" w:themeShade="A6"/>
        <w:sz w:val="24"/>
      </w:rPr>
    </w:pPr>
  </w:p>
  <w:p w:rsidR="00F33CF6" w:rsidRDefault="00F33CF6" w:rsidP="004102F2">
    <w:pPr>
      <w:pStyle w:val="Encabezado"/>
      <w:jc w:val="center"/>
      <w:rPr>
        <w:rFonts w:ascii="Verdana" w:hAnsi="Verdana"/>
        <w:b/>
        <w:color w:val="A6A6A6" w:themeColor="background1" w:themeShade="A6"/>
      </w:rPr>
    </w:pPr>
    <w:r w:rsidRPr="004102F2">
      <w:rPr>
        <w:rFonts w:ascii="Verdana" w:hAnsi="Verdana"/>
        <w:b/>
        <w:color w:val="A6A6A6" w:themeColor="background1" w:themeShade="A6"/>
      </w:rPr>
      <w:t>RENDICION DE CUENTAS DEL SECTOR INCLUSION SOCIAL Y RECONCILIACION</w:t>
    </w:r>
    <w:r>
      <w:rPr>
        <w:rFonts w:ascii="Verdana" w:hAnsi="Verdana"/>
        <w:b/>
        <w:color w:val="A6A6A6" w:themeColor="background1" w:themeShade="A6"/>
      </w:rPr>
      <w:t xml:space="preserve"> GESTION 2014</w:t>
    </w:r>
  </w:p>
  <w:p w:rsidR="00F33CF6" w:rsidRPr="0046368D" w:rsidRDefault="00F33CF6" w:rsidP="004102F2">
    <w:pPr>
      <w:pStyle w:val="Encabezado"/>
      <w:jc w:val="center"/>
      <w:rPr>
        <w:rFonts w:ascii="Verdana" w:hAnsi="Verdana"/>
        <w:b/>
        <w:color w:val="A6A6A6" w:themeColor="background1" w:themeShade="A6"/>
        <w:sz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22AEF"/>
    <w:multiLevelType w:val="hybridMultilevel"/>
    <w:tmpl w:val="B492FC54"/>
    <w:lvl w:ilvl="0" w:tplc="0C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nsid w:val="02FD5D3E"/>
    <w:multiLevelType w:val="hybridMultilevel"/>
    <w:tmpl w:val="46F22004"/>
    <w:lvl w:ilvl="0" w:tplc="240A0001">
      <w:start w:val="1"/>
      <w:numFmt w:val="bullet"/>
      <w:lvlText w:val=""/>
      <w:lvlJc w:val="left"/>
      <w:pPr>
        <w:ind w:left="1068" w:hanging="360"/>
      </w:pPr>
      <w:rPr>
        <w:rFonts w:ascii="Symbol" w:hAnsi="Symbol"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
    <w:nsid w:val="031C6D4C"/>
    <w:multiLevelType w:val="hybridMultilevel"/>
    <w:tmpl w:val="7E68E6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48A62BF"/>
    <w:multiLevelType w:val="hybridMultilevel"/>
    <w:tmpl w:val="E8AA82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4A607B7"/>
    <w:multiLevelType w:val="hybridMultilevel"/>
    <w:tmpl w:val="1528EB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4CD4F57"/>
    <w:multiLevelType w:val="hybridMultilevel"/>
    <w:tmpl w:val="F354A2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64A0472"/>
    <w:multiLevelType w:val="hybridMultilevel"/>
    <w:tmpl w:val="A1EE95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6E95189"/>
    <w:multiLevelType w:val="hybridMultilevel"/>
    <w:tmpl w:val="782CB2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08AA222E"/>
    <w:multiLevelType w:val="hybridMultilevel"/>
    <w:tmpl w:val="F8021906"/>
    <w:lvl w:ilvl="0" w:tplc="34760820">
      <w:start w:val="2"/>
      <w:numFmt w:val="bullet"/>
      <w:lvlText w:val="-"/>
      <w:lvlJc w:val="left"/>
      <w:pPr>
        <w:ind w:left="1080" w:hanging="360"/>
      </w:pPr>
      <w:rPr>
        <w:rFonts w:ascii="Arial Narrow" w:eastAsia="Calibri" w:hAnsi="Arial Narrow"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nsid w:val="096B0785"/>
    <w:multiLevelType w:val="hybridMultilevel"/>
    <w:tmpl w:val="7932DF76"/>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09B0661E"/>
    <w:multiLevelType w:val="hybridMultilevel"/>
    <w:tmpl w:val="13366620"/>
    <w:lvl w:ilvl="0" w:tplc="1D048A8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09CE4F3D"/>
    <w:multiLevelType w:val="hybridMultilevel"/>
    <w:tmpl w:val="BD60A77C"/>
    <w:lvl w:ilvl="0" w:tplc="0C0A0005">
      <w:start w:val="1"/>
      <w:numFmt w:val="bullet"/>
      <w:lvlText w:val=""/>
      <w:lvlJc w:val="left"/>
      <w:pPr>
        <w:ind w:left="720" w:hanging="360"/>
      </w:pPr>
      <w:rPr>
        <w:rFonts w:ascii="Wingdings" w:hAnsi="Wingdings" w:hint="default"/>
        <w:b/>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12">
    <w:nsid w:val="0A260BE7"/>
    <w:multiLevelType w:val="hybridMultilevel"/>
    <w:tmpl w:val="9138B000"/>
    <w:lvl w:ilvl="0" w:tplc="7DFE1A0A">
      <w:start w:val="1"/>
      <w:numFmt w:val="bullet"/>
      <w:lvlText w:val="•"/>
      <w:lvlJc w:val="left"/>
      <w:pPr>
        <w:tabs>
          <w:tab w:val="num" w:pos="720"/>
        </w:tabs>
        <w:ind w:left="720" w:hanging="360"/>
      </w:pPr>
      <w:rPr>
        <w:rFonts w:ascii="Times New Roman" w:hAnsi="Times New Roman" w:hint="default"/>
      </w:rPr>
    </w:lvl>
    <w:lvl w:ilvl="1" w:tplc="328EE94C" w:tentative="1">
      <w:start w:val="1"/>
      <w:numFmt w:val="bullet"/>
      <w:lvlText w:val="•"/>
      <w:lvlJc w:val="left"/>
      <w:pPr>
        <w:tabs>
          <w:tab w:val="num" w:pos="1440"/>
        </w:tabs>
        <w:ind w:left="1440" w:hanging="360"/>
      </w:pPr>
      <w:rPr>
        <w:rFonts w:ascii="Times New Roman" w:hAnsi="Times New Roman" w:hint="default"/>
      </w:rPr>
    </w:lvl>
    <w:lvl w:ilvl="2" w:tplc="C59A219A" w:tentative="1">
      <w:start w:val="1"/>
      <w:numFmt w:val="bullet"/>
      <w:lvlText w:val="•"/>
      <w:lvlJc w:val="left"/>
      <w:pPr>
        <w:tabs>
          <w:tab w:val="num" w:pos="2160"/>
        </w:tabs>
        <w:ind w:left="2160" w:hanging="360"/>
      </w:pPr>
      <w:rPr>
        <w:rFonts w:ascii="Times New Roman" w:hAnsi="Times New Roman" w:hint="default"/>
      </w:rPr>
    </w:lvl>
    <w:lvl w:ilvl="3" w:tplc="897242CC" w:tentative="1">
      <w:start w:val="1"/>
      <w:numFmt w:val="bullet"/>
      <w:lvlText w:val="•"/>
      <w:lvlJc w:val="left"/>
      <w:pPr>
        <w:tabs>
          <w:tab w:val="num" w:pos="2880"/>
        </w:tabs>
        <w:ind w:left="2880" w:hanging="360"/>
      </w:pPr>
      <w:rPr>
        <w:rFonts w:ascii="Times New Roman" w:hAnsi="Times New Roman" w:hint="default"/>
      </w:rPr>
    </w:lvl>
    <w:lvl w:ilvl="4" w:tplc="0526D3D8" w:tentative="1">
      <w:start w:val="1"/>
      <w:numFmt w:val="bullet"/>
      <w:lvlText w:val="•"/>
      <w:lvlJc w:val="left"/>
      <w:pPr>
        <w:tabs>
          <w:tab w:val="num" w:pos="3600"/>
        </w:tabs>
        <w:ind w:left="3600" w:hanging="360"/>
      </w:pPr>
      <w:rPr>
        <w:rFonts w:ascii="Times New Roman" w:hAnsi="Times New Roman" w:hint="default"/>
      </w:rPr>
    </w:lvl>
    <w:lvl w:ilvl="5" w:tplc="8C6C92D2" w:tentative="1">
      <w:start w:val="1"/>
      <w:numFmt w:val="bullet"/>
      <w:lvlText w:val="•"/>
      <w:lvlJc w:val="left"/>
      <w:pPr>
        <w:tabs>
          <w:tab w:val="num" w:pos="4320"/>
        </w:tabs>
        <w:ind w:left="4320" w:hanging="360"/>
      </w:pPr>
      <w:rPr>
        <w:rFonts w:ascii="Times New Roman" w:hAnsi="Times New Roman" w:hint="default"/>
      </w:rPr>
    </w:lvl>
    <w:lvl w:ilvl="6" w:tplc="EBB88428" w:tentative="1">
      <w:start w:val="1"/>
      <w:numFmt w:val="bullet"/>
      <w:lvlText w:val="•"/>
      <w:lvlJc w:val="left"/>
      <w:pPr>
        <w:tabs>
          <w:tab w:val="num" w:pos="5040"/>
        </w:tabs>
        <w:ind w:left="5040" w:hanging="360"/>
      </w:pPr>
      <w:rPr>
        <w:rFonts w:ascii="Times New Roman" w:hAnsi="Times New Roman" w:hint="default"/>
      </w:rPr>
    </w:lvl>
    <w:lvl w:ilvl="7" w:tplc="621C50BA" w:tentative="1">
      <w:start w:val="1"/>
      <w:numFmt w:val="bullet"/>
      <w:lvlText w:val="•"/>
      <w:lvlJc w:val="left"/>
      <w:pPr>
        <w:tabs>
          <w:tab w:val="num" w:pos="5760"/>
        </w:tabs>
        <w:ind w:left="5760" w:hanging="360"/>
      </w:pPr>
      <w:rPr>
        <w:rFonts w:ascii="Times New Roman" w:hAnsi="Times New Roman" w:hint="default"/>
      </w:rPr>
    </w:lvl>
    <w:lvl w:ilvl="8" w:tplc="81C2834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0B741C15"/>
    <w:multiLevelType w:val="hybridMultilevel"/>
    <w:tmpl w:val="BA085478"/>
    <w:lvl w:ilvl="0" w:tplc="0C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4">
    <w:nsid w:val="0BDA4FBD"/>
    <w:multiLevelType w:val="hybridMultilevel"/>
    <w:tmpl w:val="829064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0F3B09E7"/>
    <w:multiLevelType w:val="hybridMultilevel"/>
    <w:tmpl w:val="47EA6E1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0FF84C2E"/>
    <w:multiLevelType w:val="hybridMultilevel"/>
    <w:tmpl w:val="7194B7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11DD7BD4"/>
    <w:multiLevelType w:val="hybridMultilevel"/>
    <w:tmpl w:val="86F844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11F04C24"/>
    <w:multiLevelType w:val="hybridMultilevel"/>
    <w:tmpl w:val="9800BA8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14897839"/>
    <w:multiLevelType w:val="hybridMultilevel"/>
    <w:tmpl w:val="2286BFAC"/>
    <w:lvl w:ilvl="0" w:tplc="240A0001">
      <w:start w:val="1"/>
      <w:numFmt w:val="bullet"/>
      <w:lvlText w:val=""/>
      <w:lvlJc w:val="left"/>
      <w:pPr>
        <w:ind w:left="720" w:hanging="360"/>
      </w:pPr>
      <w:rPr>
        <w:rFonts w:ascii="Symbol" w:hAnsi="Symbo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149C53AC"/>
    <w:multiLevelType w:val="hybridMultilevel"/>
    <w:tmpl w:val="44327F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15CC77D8"/>
    <w:multiLevelType w:val="hybridMultilevel"/>
    <w:tmpl w:val="D8500284"/>
    <w:lvl w:ilvl="0" w:tplc="2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nsid w:val="17DE6498"/>
    <w:multiLevelType w:val="hybridMultilevel"/>
    <w:tmpl w:val="E11A3D80"/>
    <w:lvl w:ilvl="0" w:tplc="2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7FE252A"/>
    <w:multiLevelType w:val="hybridMultilevel"/>
    <w:tmpl w:val="42B6A3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18262655"/>
    <w:multiLevelType w:val="multilevel"/>
    <w:tmpl w:val="3AB83926"/>
    <w:lvl w:ilvl="0">
      <w:start w:val="1"/>
      <w:numFmt w:val="upperRoman"/>
      <w:lvlText w:val="%1."/>
      <w:lvlJc w:val="left"/>
      <w:pPr>
        <w:ind w:left="1440" w:hanging="1080"/>
      </w:pPr>
      <w:rPr>
        <w:rFonts w:hint="default"/>
      </w:rPr>
    </w:lvl>
    <w:lvl w:ilvl="1">
      <w:start w:val="8"/>
      <w:numFmt w:val="decimal"/>
      <w:isLgl/>
      <w:lvlText w:val="%1.%2"/>
      <w:lvlJc w:val="left"/>
      <w:pPr>
        <w:ind w:left="1470" w:hanging="75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5040" w:hanging="252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25">
    <w:nsid w:val="183013C3"/>
    <w:multiLevelType w:val="hybridMultilevel"/>
    <w:tmpl w:val="A95CDC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191E5C67"/>
    <w:multiLevelType w:val="hybridMultilevel"/>
    <w:tmpl w:val="94BC8C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19BB59BA"/>
    <w:multiLevelType w:val="hybridMultilevel"/>
    <w:tmpl w:val="0D7EE602"/>
    <w:lvl w:ilvl="0" w:tplc="240A000F">
      <w:start w:val="1"/>
      <w:numFmt w:val="decimal"/>
      <w:lvlText w:val="%1."/>
      <w:lvlJc w:val="left"/>
      <w:pPr>
        <w:ind w:left="1440" w:hanging="360"/>
      </w:pPr>
      <w:rPr>
        <w:rFont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nsid w:val="1B1F1E67"/>
    <w:multiLevelType w:val="hybridMultilevel"/>
    <w:tmpl w:val="BB9E4D9C"/>
    <w:lvl w:ilvl="0" w:tplc="A4D29FE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1B467110"/>
    <w:multiLevelType w:val="hybridMultilevel"/>
    <w:tmpl w:val="7FA6AC5C"/>
    <w:lvl w:ilvl="0" w:tplc="240A0001">
      <w:start w:val="1"/>
      <w:numFmt w:val="bullet"/>
      <w:lvlText w:val=""/>
      <w:lvlJc w:val="left"/>
      <w:pPr>
        <w:ind w:left="810" w:hanging="360"/>
      </w:pPr>
      <w:rPr>
        <w:rFonts w:ascii="Symbol" w:hAnsi="Symbol" w:hint="default"/>
      </w:rPr>
    </w:lvl>
    <w:lvl w:ilvl="1" w:tplc="240A0003" w:tentative="1">
      <w:start w:val="1"/>
      <w:numFmt w:val="bullet"/>
      <w:lvlText w:val="o"/>
      <w:lvlJc w:val="left"/>
      <w:pPr>
        <w:ind w:left="1530" w:hanging="360"/>
      </w:pPr>
      <w:rPr>
        <w:rFonts w:ascii="Courier New" w:hAnsi="Courier New" w:cs="Courier New" w:hint="default"/>
      </w:rPr>
    </w:lvl>
    <w:lvl w:ilvl="2" w:tplc="240A0005" w:tentative="1">
      <w:start w:val="1"/>
      <w:numFmt w:val="bullet"/>
      <w:lvlText w:val=""/>
      <w:lvlJc w:val="left"/>
      <w:pPr>
        <w:ind w:left="2250" w:hanging="360"/>
      </w:pPr>
      <w:rPr>
        <w:rFonts w:ascii="Wingdings" w:hAnsi="Wingdings" w:hint="default"/>
      </w:rPr>
    </w:lvl>
    <w:lvl w:ilvl="3" w:tplc="240A0001" w:tentative="1">
      <w:start w:val="1"/>
      <w:numFmt w:val="bullet"/>
      <w:lvlText w:val=""/>
      <w:lvlJc w:val="left"/>
      <w:pPr>
        <w:ind w:left="2970" w:hanging="360"/>
      </w:pPr>
      <w:rPr>
        <w:rFonts w:ascii="Symbol" w:hAnsi="Symbol" w:hint="default"/>
      </w:rPr>
    </w:lvl>
    <w:lvl w:ilvl="4" w:tplc="240A0003" w:tentative="1">
      <w:start w:val="1"/>
      <w:numFmt w:val="bullet"/>
      <w:lvlText w:val="o"/>
      <w:lvlJc w:val="left"/>
      <w:pPr>
        <w:ind w:left="3690" w:hanging="360"/>
      </w:pPr>
      <w:rPr>
        <w:rFonts w:ascii="Courier New" w:hAnsi="Courier New" w:cs="Courier New" w:hint="default"/>
      </w:rPr>
    </w:lvl>
    <w:lvl w:ilvl="5" w:tplc="240A0005" w:tentative="1">
      <w:start w:val="1"/>
      <w:numFmt w:val="bullet"/>
      <w:lvlText w:val=""/>
      <w:lvlJc w:val="left"/>
      <w:pPr>
        <w:ind w:left="4410" w:hanging="360"/>
      </w:pPr>
      <w:rPr>
        <w:rFonts w:ascii="Wingdings" w:hAnsi="Wingdings" w:hint="default"/>
      </w:rPr>
    </w:lvl>
    <w:lvl w:ilvl="6" w:tplc="240A0001" w:tentative="1">
      <w:start w:val="1"/>
      <w:numFmt w:val="bullet"/>
      <w:lvlText w:val=""/>
      <w:lvlJc w:val="left"/>
      <w:pPr>
        <w:ind w:left="5130" w:hanging="360"/>
      </w:pPr>
      <w:rPr>
        <w:rFonts w:ascii="Symbol" w:hAnsi="Symbol" w:hint="default"/>
      </w:rPr>
    </w:lvl>
    <w:lvl w:ilvl="7" w:tplc="240A0003" w:tentative="1">
      <w:start w:val="1"/>
      <w:numFmt w:val="bullet"/>
      <w:lvlText w:val="o"/>
      <w:lvlJc w:val="left"/>
      <w:pPr>
        <w:ind w:left="5850" w:hanging="360"/>
      </w:pPr>
      <w:rPr>
        <w:rFonts w:ascii="Courier New" w:hAnsi="Courier New" w:cs="Courier New" w:hint="default"/>
      </w:rPr>
    </w:lvl>
    <w:lvl w:ilvl="8" w:tplc="240A0005" w:tentative="1">
      <w:start w:val="1"/>
      <w:numFmt w:val="bullet"/>
      <w:lvlText w:val=""/>
      <w:lvlJc w:val="left"/>
      <w:pPr>
        <w:ind w:left="6570" w:hanging="360"/>
      </w:pPr>
      <w:rPr>
        <w:rFonts w:ascii="Wingdings" w:hAnsi="Wingdings" w:hint="default"/>
      </w:rPr>
    </w:lvl>
  </w:abstractNum>
  <w:abstractNum w:abstractNumId="30">
    <w:nsid w:val="1BFF2BCC"/>
    <w:multiLevelType w:val="hybridMultilevel"/>
    <w:tmpl w:val="BAA83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1C616D0F"/>
    <w:multiLevelType w:val="hybridMultilevel"/>
    <w:tmpl w:val="60F6266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2">
    <w:nsid w:val="1D145116"/>
    <w:multiLevelType w:val="hybridMultilevel"/>
    <w:tmpl w:val="51E4FCC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3">
    <w:nsid w:val="1D394AE8"/>
    <w:multiLevelType w:val="hybridMultilevel"/>
    <w:tmpl w:val="FC2E1882"/>
    <w:lvl w:ilvl="0" w:tplc="34760820">
      <w:start w:val="2"/>
      <w:numFmt w:val="bullet"/>
      <w:lvlText w:val="-"/>
      <w:lvlJc w:val="left"/>
      <w:pPr>
        <w:ind w:left="720" w:hanging="360"/>
      </w:pPr>
      <w:rPr>
        <w:rFonts w:ascii="Arial Narrow" w:eastAsia="Calibri"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1D7B27FC"/>
    <w:multiLevelType w:val="hybridMultilevel"/>
    <w:tmpl w:val="771852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1DD5388C"/>
    <w:multiLevelType w:val="hybridMultilevel"/>
    <w:tmpl w:val="3F261B96"/>
    <w:lvl w:ilvl="0" w:tplc="24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1ED51637"/>
    <w:multiLevelType w:val="hybridMultilevel"/>
    <w:tmpl w:val="040A5FF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7">
    <w:nsid w:val="1EDF082C"/>
    <w:multiLevelType w:val="hybridMultilevel"/>
    <w:tmpl w:val="32CE886C"/>
    <w:lvl w:ilvl="0" w:tplc="240A0001">
      <w:start w:val="1"/>
      <w:numFmt w:val="bullet"/>
      <w:lvlText w:val=""/>
      <w:lvlJc w:val="left"/>
      <w:pPr>
        <w:ind w:left="861" w:hanging="360"/>
      </w:pPr>
      <w:rPr>
        <w:rFonts w:ascii="Symbol" w:hAnsi="Symbol" w:hint="default"/>
      </w:rPr>
    </w:lvl>
    <w:lvl w:ilvl="1" w:tplc="240A0003">
      <w:start w:val="1"/>
      <w:numFmt w:val="bullet"/>
      <w:lvlText w:val="o"/>
      <w:lvlJc w:val="left"/>
      <w:pPr>
        <w:ind w:left="1581" w:hanging="360"/>
      </w:pPr>
      <w:rPr>
        <w:rFonts w:ascii="Courier New" w:hAnsi="Courier New" w:cs="Courier New" w:hint="default"/>
      </w:rPr>
    </w:lvl>
    <w:lvl w:ilvl="2" w:tplc="240A0005" w:tentative="1">
      <w:start w:val="1"/>
      <w:numFmt w:val="bullet"/>
      <w:lvlText w:val=""/>
      <w:lvlJc w:val="left"/>
      <w:pPr>
        <w:ind w:left="2301" w:hanging="360"/>
      </w:pPr>
      <w:rPr>
        <w:rFonts w:ascii="Wingdings" w:hAnsi="Wingdings" w:hint="default"/>
      </w:rPr>
    </w:lvl>
    <w:lvl w:ilvl="3" w:tplc="240A0001" w:tentative="1">
      <w:start w:val="1"/>
      <w:numFmt w:val="bullet"/>
      <w:lvlText w:val=""/>
      <w:lvlJc w:val="left"/>
      <w:pPr>
        <w:ind w:left="3021" w:hanging="360"/>
      </w:pPr>
      <w:rPr>
        <w:rFonts w:ascii="Symbol" w:hAnsi="Symbol" w:hint="default"/>
      </w:rPr>
    </w:lvl>
    <w:lvl w:ilvl="4" w:tplc="240A0003" w:tentative="1">
      <w:start w:val="1"/>
      <w:numFmt w:val="bullet"/>
      <w:lvlText w:val="o"/>
      <w:lvlJc w:val="left"/>
      <w:pPr>
        <w:ind w:left="3741" w:hanging="360"/>
      </w:pPr>
      <w:rPr>
        <w:rFonts w:ascii="Courier New" w:hAnsi="Courier New" w:cs="Courier New" w:hint="default"/>
      </w:rPr>
    </w:lvl>
    <w:lvl w:ilvl="5" w:tplc="240A0005" w:tentative="1">
      <w:start w:val="1"/>
      <w:numFmt w:val="bullet"/>
      <w:lvlText w:val=""/>
      <w:lvlJc w:val="left"/>
      <w:pPr>
        <w:ind w:left="4461" w:hanging="360"/>
      </w:pPr>
      <w:rPr>
        <w:rFonts w:ascii="Wingdings" w:hAnsi="Wingdings" w:hint="default"/>
      </w:rPr>
    </w:lvl>
    <w:lvl w:ilvl="6" w:tplc="240A0001" w:tentative="1">
      <w:start w:val="1"/>
      <w:numFmt w:val="bullet"/>
      <w:lvlText w:val=""/>
      <w:lvlJc w:val="left"/>
      <w:pPr>
        <w:ind w:left="5181" w:hanging="360"/>
      </w:pPr>
      <w:rPr>
        <w:rFonts w:ascii="Symbol" w:hAnsi="Symbol" w:hint="default"/>
      </w:rPr>
    </w:lvl>
    <w:lvl w:ilvl="7" w:tplc="240A0003" w:tentative="1">
      <w:start w:val="1"/>
      <w:numFmt w:val="bullet"/>
      <w:lvlText w:val="o"/>
      <w:lvlJc w:val="left"/>
      <w:pPr>
        <w:ind w:left="5901" w:hanging="360"/>
      </w:pPr>
      <w:rPr>
        <w:rFonts w:ascii="Courier New" w:hAnsi="Courier New" w:cs="Courier New" w:hint="default"/>
      </w:rPr>
    </w:lvl>
    <w:lvl w:ilvl="8" w:tplc="240A0005" w:tentative="1">
      <w:start w:val="1"/>
      <w:numFmt w:val="bullet"/>
      <w:lvlText w:val=""/>
      <w:lvlJc w:val="left"/>
      <w:pPr>
        <w:ind w:left="6621" w:hanging="360"/>
      </w:pPr>
      <w:rPr>
        <w:rFonts w:ascii="Wingdings" w:hAnsi="Wingdings" w:hint="default"/>
      </w:rPr>
    </w:lvl>
  </w:abstractNum>
  <w:abstractNum w:abstractNumId="38">
    <w:nsid w:val="1F64079E"/>
    <w:multiLevelType w:val="hybridMultilevel"/>
    <w:tmpl w:val="B2A874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1FF10AAA"/>
    <w:multiLevelType w:val="hybridMultilevel"/>
    <w:tmpl w:val="E788E308"/>
    <w:lvl w:ilvl="0" w:tplc="A4D29FE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20A5016F"/>
    <w:multiLevelType w:val="hybridMultilevel"/>
    <w:tmpl w:val="21A66A08"/>
    <w:lvl w:ilvl="0" w:tplc="240A000F">
      <w:start w:val="1"/>
      <w:numFmt w:val="decimal"/>
      <w:lvlText w:val="%1."/>
      <w:lvlJc w:val="left"/>
      <w:pPr>
        <w:ind w:left="720" w:hanging="360"/>
      </w:pPr>
      <w:rPr>
        <w:rFonts w:hint="default"/>
      </w:rPr>
    </w:lvl>
    <w:lvl w:ilvl="1" w:tplc="35A0BBE2">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23CE4503"/>
    <w:multiLevelType w:val="hybridMultilevel"/>
    <w:tmpl w:val="B90A4F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24515FA0"/>
    <w:multiLevelType w:val="hybridMultilevel"/>
    <w:tmpl w:val="6DF60E6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nsid w:val="24A626F4"/>
    <w:multiLevelType w:val="hybridMultilevel"/>
    <w:tmpl w:val="520E52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251D0EAF"/>
    <w:multiLevelType w:val="hybridMultilevel"/>
    <w:tmpl w:val="DE4821A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5">
    <w:nsid w:val="25EB6CE8"/>
    <w:multiLevelType w:val="hybridMultilevel"/>
    <w:tmpl w:val="B8D2F480"/>
    <w:lvl w:ilvl="0" w:tplc="0C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25FC798F"/>
    <w:multiLevelType w:val="hybridMultilevel"/>
    <w:tmpl w:val="74D0DD78"/>
    <w:lvl w:ilvl="0" w:tplc="34760820">
      <w:start w:val="2"/>
      <w:numFmt w:val="bullet"/>
      <w:lvlText w:val="-"/>
      <w:lvlJc w:val="left"/>
      <w:pPr>
        <w:ind w:left="1068" w:hanging="360"/>
      </w:pPr>
      <w:rPr>
        <w:rFonts w:ascii="Arial Narrow" w:eastAsia="Calibri" w:hAnsi="Arial Narrow" w:cs="Times New Roman"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7">
    <w:nsid w:val="272D2ACB"/>
    <w:multiLevelType w:val="hybridMultilevel"/>
    <w:tmpl w:val="49C0C37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8">
    <w:nsid w:val="278B32DD"/>
    <w:multiLevelType w:val="hybridMultilevel"/>
    <w:tmpl w:val="4F86507C"/>
    <w:lvl w:ilvl="0" w:tplc="CA768B2C">
      <w:numFmt w:val="bullet"/>
      <w:lvlText w:val="•"/>
      <w:lvlJc w:val="left"/>
      <w:pPr>
        <w:ind w:left="1410" w:hanging="705"/>
      </w:pPr>
      <w:rPr>
        <w:rFonts w:ascii="Verdana" w:eastAsia="Calibri" w:hAnsi="Verdan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2845149B"/>
    <w:multiLevelType w:val="hybridMultilevel"/>
    <w:tmpl w:val="7CB846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29945E61"/>
    <w:multiLevelType w:val="hybridMultilevel"/>
    <w:tmpl w:val="DF38FC2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1">
    <w:nsid w:val="2A746706"/>
    <w:multiLevelType w:val="hybridMultilevel"/>
    <w:tmpl w:val="AD8A2C6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2">
    <w:nsid w:val="2B0F0974"/>
    <w:multiLevelType w:val="hybridMultilevel"/>
    <w:tmpl w:val="A0880EF2"/>
    <w:lvl w:ilvl="0" w:tplc="240A0001">
      <w:start w:val="1"/>
      <w:numFmt w:val="bullet"/>
      <w:lvlText w:val=""/>
      <w:lvlJc w:val="left"/>
      <w:pPr>
        <w:tabs>
          <w:tab w:val="num" w:pos="720"/>
        </w:tabs>
        <w:ind w:left="720" w:hanging="360"/>
      </w:pPr>
      <w:rPr>
        <w:rFonts w:ascii="Symbol" w:hAnsi="Symbol" w:hint="default"/>
      </w:rPr>
    </w:lvl>
    <w:lvl w:ilvl="1" w:tplc="7CF06E20" w:tentative="1">
      <w:start w:val="1"/>
      <w:numFmt w:val="decimal"/>
      <w:lvlText w:val="%2)"/>
      <w:lvlJc w:val="left"/>
      <w:pPr>
        <w:tabs>
          <w:tab w:val="num" w:pos="1440"/>
        </w:tabs>
        <w:ind w:left="1440" w:hanging="360"/>
      </w:pPr>
    </w:lvl>
    <w:lvl w:ilvl="2" w:tplc="340294E4" w:tentative="1">
      <w:start w:val="1"/>
      <w:numFmt w:val="decimal"/>
      <w:lvlText w:val="%3)"/>
      <w:lvlJc w:val="left"/>
      <w:pPr>
        <w:tabs>
          <w:tab w:val="num" w:pos="2160"/>
        </w:tabs>
        <w:ind w:left="2160" w:hanging="360"/>
      </w:pPr>
    </w:lvl>
    <w:lvl w:ilvl="3" w:tplc="5876288C" w:tentative="1">
      <w:start w:val="1"/>
      <w:numFmt w:val="decimal"/>
      <w:lvlText w:val="%4)"/>
      <w:lvlJc w:val="left"/>
      <w:pPr>
        <w:tabs>
          <w:tab w:val="num" w:pos="2880"/>
        </w:tabs>
        <w:ind w:left="2880" w:hanging="360"/>
      </w:pPr>
    </w:lvl>
    <w:lvl w:ilvl="4" w:tplc="FBE40906" w:tentative="1">
      <w:start w:val="1"/>
      <w:numFmt w:val="decimal"/>
      <w:lvlText w:val="%5)"/>
      <w:lvlJc w:val="left"/>
      <w:pPr>
        <w:tabs>
          <w:tab w:val="num" w:pos="3600"/>
        </w:tabs>
        <w:ind w:left="3600" w:hanging="360"/>
      </w:pPr>
    </w:lvl>
    <w:lvl w:ilvl="5" w:tplc="940E633E" w:tentative="1">
      <w:start w:val="1"/>
      <w:numFmt w:val="decimal"/>
      <w:lvlText w:val="%6)"/>
      <w:lvlJc w:val="left"/>
      <w:pPr>
        <w:tabs>
          <w:tab w:val="num" w:pos="4320"/>
        </w:tabs>
        <w:ind w:left="4320" w:hanging="360"/>
      </w:pPr>
    </w:lvl>
    <w:lvl w:ilvl="6" w:tplc="A33A6994" w:tentative="1">
      <w:start w:val="1"/>
      <w:numFmt w:val="decimal"/>
      <w:lvlText w:val="%7)"/>
      <w:lvlJc w:val="left"/>
      <w:pPr>
        <w:tabs>
          <w:tab w:val="num" w:pos="5040"/>
        </w:tabs>
        <w:ind w:left="5040" w:hanging="360"/>
      </w:pPr>
    </w:lvl>
    <w:lvl w:ilvl="7" w:tplc="CCE28880" w:tentative="1">
      <w:start w:val="1"/>
      <w:numFmt w:val="decimal"/>
      <w:lvlText w:val="%8)"/>
      <w:lvlJc w:val="left"/>
      <w:pPr>
        <w:tabs>
          <w:tab w:val="num" w:pos="5760"/>
        </w:tabs>
        <w:ind w:left="5760" w:hanging="360"/>
      </w:pPr>
    </w:lvl>
    <w:lvl w:ilvl="8" w:tplc="FB7EB8B6" w:tentative="1">
      <w:start w:val="1"/>
      <w:numFmt w:val="decimal"/>
      <w:lvlText w:val="%9)"/>
      <w:lvlJc w:val="left"/>
      <w:pPr>
        <w:tabs>
          <w:tab w:val="num" w:pos="6480"/>
        </w:tabs>
        <w:ind w:left="6480" w:hanging="360"/>
      </w:pPr>
    </w:lvl>
  </w:abstractNum>
  <w:abstractNum w:abstractNumId="53">
    <w:nsid w:val="2DF72A56"/>
    <w:multiLevelType w:val="hybridMultilevel"/>
    <w:tmpl w:val="4FE456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nsid w:val="30C665B8"/>
    <w:multiLevelType w:val="hybridMultilevel"/>
    <w:tmpl w:val="1778A496"/>
    <w:lvl w:ilvl="0" w:tplc="240A000F">
      <w:start w:val="1"/>
      <w:numFmt w:val="decimal"/>
      <w:lvlText w:val="%1."/>
      <w:lvlJc w:val="left"/>
      <w:pPr>
        <w:ind w:left="1440" w:hanging="360"/>
      </w:pPr>
      <w:rPr>
        <w:rFont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5">
    <w:nsid w:val="32C02366"/>
    <w:multiLevelType w:val="hybridMultilevel"/>
    <w:tmpl w:val="4C6656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nsid w:val="32E005AE"/>
    <w:multiLevelType w:val="hybridMultilevel"/>
    <w:tmpl w:val="C518DC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nsid w:val="32FB130F"/>
    <w:multiLevelType w:val="hybridMultilevel"/>
    <w:tmpl w:val="B53419AE"/>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332B38F5"/>
    <w:multiLevelType w:val="hybridMultilevel"/>
    <w:tmpl w:val="9634AEFE"/>
    <w:lvl w:ilvl="0" w:tplc="240A0001">
      <w:start w:val="1"/>
      <w:numFmt w:val="bullet"/>
      <w:lvlText w:val=""/>
      <w:lvlJc w:val="left"/>
      <w:pPr>
        <w:ind w:left="741" w:hanging="720"/>
      </w:pPr>
      <w:rPr>
        <w:rFonts w:ascii="Symbol" w:hAnsi="Symbol" w:hint="default"/>
      </w:rPr>
    </w:lvl>
    <w:lvl w:ilvl="1" w:tplc="0C0A0019">
      <w:start w:val="1"/>
      <w:numFmt w:val="lowerLetter"/>
      <w:lvlText w:val="%2."/>
      <w:lvlJc w:val="left"/>
      <w:pPr>
        <w:ind w:left="1101" w:hanging="360"/>
      </w:pPr>
    </w:lvl>
    <w:lvl w:ilvl="2" w:tplc="0C0A001B" w:tentative="1">
      <w:start w:val="1"/>
      <w:numFmt w:val="lowerRoman"/>
      <w:lvlText w:val="%3."/>
      <w:lvlJc w:val="right"/>
      <w:pPr>
        <w:ind w:left="1821" w:hanging="180"/>
      </w:pPr>
    </w:lvl>
    <w:lvl w:ilvl="3" w:tplc="0C0A000F" w:tentative="1">
      <w:start w:val="1"/>
      <w:numFmt w:val="decimal"/>
      <w:lvlText w:val="%4."/>
      <w:lvlJc w:val="left"/>
      <w:pPr>
        <w:ind w:left="2541" w:hanging="360"/>
      </w:pPr>
    </w:lvl>
    <w:lvl w:ilvl="4" w:tplc="0C0A0019" w:tentative="1">
      <w:start w:val="1"/>
      <w:numFmt w:val="lowerLetter"/>
      <w:lvlText w:val="%5."/>
      <w:lvlJc w:val="left"/>
      <w:pPr>
        <w:ind w:left="3261" w:hanging="360"/>
      </w:pPr>
    </w:lvl>
    <w:lvl w:ilvl="5" w:tplc="0C0A001B" w:tentative="1">
      <w:start w:val="1"/>
      <w:numFmt w:val="lowerRoman"/>
      <w:lvlText w:val="%6."/>
      <w:lvlJc w:val="right"/>
      <w:pPr>
        <w:ind w:left="3981" w:hanging="180"/>
      </w:pPr>
    </w:lvl>
    <w:lvl w:ilvl="6" w:tplc="0C0A000F" w:tentative="1">
      <w:start w:val="1"/>
      <w:numFmt w:val="decimal"/>
      <w:lvlText w:val="%7."/>
      <w:lvlJc w:val="left"/>
      <w:pPr>
        <w:ind w:left="4701" w:hanging="360"/>
      </w:pPr>
    </w:lvl>
    <w:lvl w:ilvl="7" w:tplc="0C0A0019" w:tentative="1">
      <w:start w:val="1"/>
      <w:numFmt w:val="lowerLetter"/>
      <w:lvlText w:val="%8."/>
      <w:lvlJc w:val="left"/>
      <w:pPr>
        <w:ind w:left="5421" w:hanging="360"/>
      </w:pPr>
    </w:lvl>
    <w:lvl w:ilvl="8" w:tplc="0C0A001B" w:tentative="1">
      <w:start w:val="1"/>
      <w:numFmt w:val="lowerRoman"/>
      <w:lvlText w:val="%9."/>
      <w:lvlJc w:val="right"/>
      <w:pPr>
        <w:ind w:left="6141" w:hanging="180"/>
      </w:pPr>
    </w:lvl>
  </w:abstractNum>
  <w:abstractNum w:abstractNumId="59">
    <w:nsid w:val="341417EC"/>
    <w:multiLevelType w:val="hybridMultilevel"/>
    <w:tmpl w:val="ED161386"/>
    <w:lvl w:ilvl="0" w:tplc="0C0A0005">
      <w:start w:val="1"/>
      <w:numFmt w:val="bullet"/>
      <w:lvlText w:val=""/>
      <w:lvlJc w:val="left"/>
      <w:pPr>
        <w:ind w:left="2844" w:hanging="360"/>
      </w:pPr>
      <w:rPr>
        <w:rFonts w:ascii="Wingdings" w:hAnsi="Wingdings"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60">
    <w:nsid w:val="35216A69"/>
    <w:multiLevelType w:val="hybridMultilevel"/>
    <w:tmpl w:val="FAE025B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nsid w:val="368B207D"/>
    <w:multiLevelType w:val="hybridMultilevel"/>
    <w:tmpl w:val="05BC5A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nsid w:val="36A34D70"/>
    <w:multiLevelType w:val="multilevel"/>
    <w:tmpl w:val="2CAAC7E6"/>
    <w:lvl w:ilvl="0">
      <w:start w:val="1"/>
      <w:numFmt w:val="bullet"/>
      <w:lvlText w:val=""/>
      <w:lvlJc w:val="left"/>
      <w:pPr>
        <w:ind w:left="720" w:hanging="360"/>
      </w:pPr>
      <w:rPr>
        <w:rFonts w:ascii="Symbol" w:hAnsi="Symbol" w:cs="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3">
    <w:nsid w:val="387A6664"/>
    <w:multiLevelType w:val="hybridMultilevel"/>
    <w:tmpl w:val="BC685E72"/>
    <w:lvl w:ilvl="0" w:tplc="A4D29FE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nsid w:val="39D73411"/>
    <w:multiLevelType w:val="hybridMultilevel"/>
    <w:tmpl w:val="1EEE0D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nsid w:val="3A8E2236"/>
    <w:multiLevelType w:val="hybridMultilevel"/>
    <w:tmpl w:val="5E3CB03E"/>
    <w:lvl w:ilvl="0" w:tplc="240A0001">
      <w:start w:val="1"/>
      <w:numFmt w:val="bullet"/>
      <w:lvlText w:val=""/>
      <w:lvlJc w:val="left"/>
      <w:pPr>
        <w:ind w:left="360" w:hanging="360"/>
      </w:pPr>
      <w:rPr>
        <w:rFonts w:ascii="Symbol" w:hAnsi="Symbol" w:hint="default"/>
        <w:color w:val="auto"/>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66">
    <w:nsid w:val="3AB55E9A"/>
    <w:multiLevelType w:val="hybridMultilevel"/>
    <w:tmpl w:val="5114F6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nsid w:val="3D330274"/>
    <w:multiLevelType w:val="hybridMultilevel"/>
    <w:tmpl w:val="C05E72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nsid w:val="3E6E4CF9"/>
    <w:multiLevelType w:val="hybridMultilevel"/>
    <w:tmpl w:val="BA9A3E10"/>
    <w:lvl w:ilvl="0" w:tplc="0C0A0005">
      <w:start w:val="1"/>
      <w:numFmt w:val="bullet"/>
      <w:lvlText w:val=""/>
      <w:lvlJc w:val="left"/>
      <w:pPr>
        <w:ind w:left="360" w:hanging="360"/>
      </w:pPr>
      <w:rPr>
        <w:rFonts w:ascii="Wingdings" w:hAnsi="Wingdings" w:hint="default"/>
        <w:color w:val="auto"/>
      </w:rPr>
    </w:lvl>
    <w:lvl w:ilvl="1" w:tplc="0C0A0019">
      <w:start w:val="1"/>
      <w:numFmt w:val="lowerLetter"/>
      <w:lvlText w:val="%2."/>
      <w:lvlJc w:val="left"/>
      <w:pPr>
        <w:ind w:left="1080" w:hanging="360"/>
      </w:pPr>
      <w:rPr>
        <w:rFont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9">
    <w:nsid w:val="3E964419"/>
    <w:multiLevelType w:val="hybridMultilevel"/>
    <w:tmpl w:val="C8561A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nsid w:val="43F130C1"/>
    <w:multiLevelType w:val="hybridMultilevel"/>
    <w:tmpl w:val="2C7A8930"/>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458F3156"/>
    <w:multiLevelType w:val="hybridMultilevel"/>
    <w:tmpl w:val="B6DA58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60A3E30"/>
    <w:multiLevelType w:val="hybridMultilevel"/>
    <w:tmpl w:val="658413F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3">
    <w:nsid w:val="472E7EA2"/>
    <w:multiLevelType w:val="hybridMultilevel"/>
    <w:tmpl w:val="A45CFA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4">
    <w:nsid w:val="49F9175F"/>
    <w:multiLevelType w:val="multilevel"/>
    <w:tmpl w:val="9F4003A4"/>
    <w:lvl w:ilvl="0">
      <w:start w:val="1"/>
      <w:numFmt w:val="bullet"/>
      <w:lvlText w:val=""/>
      <w:lvlJc w:val="left"/>
      <w:pPr>
        <w:ind w:left="72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5">
    <w:nsid w:val="4B716D51"/>
    <w:multiLevelType w:val="hybridMultilevel"/>
    <w:tmpl w:val="261A17F4"/>
    <w:lvl w:ilvl="0" w:tplc="A4D29FEC">
      <w:numFmt w:val="bullet"/>
      <w:lvlText w:val="-"/>
      <w:lvlJc w:val="left"/>
      <w:pPr>
        <w:ind w:left="1080" w:hanging="360"/>
      </w:pPr>
      <w:rPr>
        <w:rFonts w:ascii="Calibri" w:eastAsia="Calibri" w:hAnsi="Calibri"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6">
    <w:nsid w:val="4BEE39A0"/>
    <w:multiLevelType w:val="hybridMultilevel"/>
    <w:tmpl w:val="D5C6B89E"/>
    <w:lvl w:ilvl="0" w:tplc="A4D29FEC">
      <w:numFmt w:val="bullet"/>
      <w:lvlText w:val="-"/>
      <w:lvlJc w:val="left"/>
      <w:pPr>
        <w:ind w:left="741" w:hanging="720"/>
      </w:pPr>
      <w:rPr>
        <w:rFonts w:ascii="Calibri" w:eastAsia="Calibri" w:hAnsi="Calibri" w:cs="Times New Roman" w:hint="default"/>
      </w:rPr>
    </w:lvl>
    <w:lvl w:ilvl="1" w:tplc="0C0A0019">
      <w:start w:val="1"/>
      <w:numFmt w:val="lowerLetter"/>
      <w:lvlText w:val="%2."/>
      <w:lvlJc w:val="left"/>
      <w:pPr>
        <w:ind w:left="1101" w:hanging="360"/>
      </w:pPr>
    </w:lvl>
    <w:lvl w:ilvl="2" w:tplc="0C0A001B">
      <w:start w:val="1"/>
      <w:numFmt w:val="lowerRoman"/>
      <w:lvlText w:val="%3."/>
      <w:lvlJc w:val="right"/>
      <w:pPr>
        <w:ind w:left="1821" w:hanging="180"/>
      </w:pPr>
    </w:lvl>
    <w:lvl w:ilvl="3" w:tplc="0C0A000F" w:tentative="1">
      <w:start w:val="1"/>
      <w:numFmt w:val="decimal"/>
      <w:lvlText w:val="%4."/>
      <w:lvlJc w:val="left"/>
      <w:pPr>
        <w:ind w:left="2541" w:hanging="360"/>
      </w:pPr>
    </w:lvl>
    <w:lvl w:ilvl="4" w:tplc="0C0A0019" w:tentative="1">
      <w:start w:val="1"/>
      <w:numFmt w:val="lowerLetter"/>
      <w:lvlText w:val="%5."/>
      <w:lvlJc w:val="left"/>
      <w:pPr>
        <w:ind w:left="3261" w:hanging="360"/>
      </w:pPr>
    </w:lvl>
    <w:lvl w:ilvl="5" w:tplc="0C0A001B" w:tentative="1">
      <w:start w:val="1"/>
      <w:numFmt w:val="lowerRoman"/>
      <w:lvlText w:val="%6."/>
      <w:lvlJc w:val="right"/>
      <w:pPr>
        <w:ind w:left="3981" w:hanging="180"/>
      </w:pPr>
    </w:lvl>
    <w:lvl w:ilvl="6" w:tplc="0C0A000F" w:tentative="1">
      <w:start w:val="1"/>
      <w:numFmt w:val="decimal"/>
      <w:lvlText w:val="%7."/>
      <w:lvlJc w:val="left"/>
      <w:pPr>
        <w:ind w:left="4701" w:hanging="360"/>
      </w:pPr>
    </w:lvl>
    <w:lvl w:ilvl="7" w:tplc="0C0A0019" w:tentative="1">
      <w:start w:val="1"/>
      <w:numFmt w:val="lowerLetter"/>
      <w:lvlText w:val="%8."/>
      <w:lvlJc w:val="left"/>
      <w:pPr>
        <w:ind w:left="5421" w:hanging="360"/>
      </w:pPr>
    </w:lvl>
    <w:lvl w:ilvl="8" w:tplc="0C0A001B" w:tentative="1">
      <w:start w:val="1"/>
      <w:numFmt w:val="lowerRoman"/>
      <w:lvlText w:val="%9."/>
      <w:lvlJc w:val="right"/>
      <w:pPr>
        <w:ind w:left="6141" w:hanging="180"/>
      </w:pPr>
    </w:lvl>
  </w:abstractNum>
  <w:abstractNum w:abstractNumId="77">
    <w:nsid w:val="4CA93BFD"/>
    <w:multiLevelType w:val="hybridMultilevel"/>
    <w:tmpl w:val="13AC23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nsid w:val="4CC26751"/>
    <w:multiLevelType w:val="hybridMultilevel"/>
    <w:tmpl w:val="AF3AEB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nsid w:val="4D88227E"/>
    <w:multiLevelType w:val="hybridMultilevel"/>
    <w:tmpl w:val="FB2A111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0">
    <w:nsid w:val="4DFB5FF1"/>
    <w:multiLevelType w:val="hybridMultilevel"/>
    <w:tmpl w:val="72C461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nsid w:val="4E1F34FE"/>
    <w:multiLevelType w:val="hybridMultilevel"/>
    <w:tmpl w:val="081A3FA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2">
    <w:nsid w:val="50120DE5"/>
    <w:multiLevelType w:val="hybridMultilevel"/>
    <w:tmpl w:val="2804994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nsid w:val="50784BDF"/>
    <w:multiLevelType w:val="hybridMultilevel"/>
    <w:tmpl w:val="A83E00F4"/>
    <w:lvl w:ilvl="0" w:tplc="CA768B2C">
      <w:numFmt w:val="bullet"/>
      <w:lvlText w:val="•"/>
      <w:lvlJc w:val="left"/>
      <w:pPr>
        <w:ind w:left="1410" w:hanging="705"/>
      </w:pPr>
      <w:rPr>
        <w:rFonts w:ascii="Verdana" w:eastAsia="Calibri" w:hAnsi="Verdana" w:cs="Times New Roman" w:hint="default"/>
      </w:rPr>
    </w:lvl>
    <w:lvl w:ilvl="1" w:tplc="240A0003" w:tentative="1">
      <w:start w:val="1"/>
      <w:numFmt w:val="bullet"/>
      <w:lvlText w:val="o"/>
      <w:lvlJc w:val="left"/>
      <w:pPr>
        <w:ind w:left="1785" w:hanging="360"/>
      </w:pPr>
      <w:rPr>
        <w:rFonts w:ascii="Courier New" w:hAnsi="Courier New" w:cs="Courier New" w:hint="default"/>
      </w:rPr>
    </w:lvl>
    <w:lvl w:ilvl="2" w:tplc="240A0005" w:tentative="1">
      <w:start w:val="1"/>
      <w:numFmt w:val="bullet"/>
      <w:lvlText w:val=""/>
      <w:lvlJc w:val="left"/>
      <w:pPr>
        <w:ind w:left="2505" w:hanging="360"/>
      </w:pPr>
      <w:rPr>
        <w:rFonts w:ascii="Wingdings" w:hAnsi="Wingdings" w:hint="default"/>
      </w:rPr>
    </w:lvl>
    <w:lvl w:ilvl="3" w:tplc="240A0001" w:tentative="1">
      <w:start w:val="1"/>
      <w:numFmt w:val="bullet"/>
      <w:lvlText w:val=""/>
      <w:lvlJc w:val="left"/>
      <w:pPr>
        <w:ind w:left="3225" w:hanging="360"/>
      </w:pPr>
      <w:rPr>
        <w:rFonts w:ascii="Symbol" w:hAnsi="Symbol" w:hint="default"/>
      </w:rPr>
    </w:lvl>
    <w:lvl w:ilvl="4" w:tplc="240A0003" w:tentative="1">
      <w:start w:val="1"/>
      <w:numFmt w:val="bullet"/>
      <w:lvlText w:val="o"/>
      <w:lvlJc w:val="left"/>
      <w:pPr>
        <w:ind w:left="3945" w:hanging="360"/>
      </w:pPr>
      <w:rPr>
        <w:rFonts w:ascii="Courier New" w:hAnsi="Courier New" w:cs="Courier New" w:hint="default"/>
      </w:rPr>
    </w:lvl>
    <w:lvl w:ilvl="5" w:tplc="240A0005" w:tentative="1">
      <w:start w:val="1"/>
      <w:numFmt w:val="bullet"/>
      <w:lvlText w:val=""/>
      <w:lvlJc w:val="left"/>
      <w:pPr>
        <w:ind w:left="4665" w:hanging="360"/>
      </w:pPr>
      <w:rPr>
        <w:rFonts w:ascii="Wingdings" w:hAnsi="Wingdings" w:hint="default"/>
      </w:rPr>
    </w:lvl>
    <w:lvl w:ilvl="6" w:tplc="240A0001" w:tentative="1">
      <w:start w:val="1"/>
      <w:numFmt w:val="bullet"/>
      <w:lvlText w:val=""/>
      <w:lvlJc w:val="left"/>
      <w:pPr>
        <w:ind w:left="5385" w:hanging="360"/>
      </w:pPr>
      <w:rPr>
        <w:rFonts w:ascii="Symbol" w:hAnsi="Symbol" w:hint="default"/>
      </w:rPr>
    </w:lvl>
    <w:lvl w:ilvl="7" w:tplc="240A0003" w:tentative="1">
      <w:start w:val="1"/>
      <w:numFmt w:val="bullet"/>
      <w:lvlText w:val="o"/>
      <w:lvlJc w:val="left"/>
      <w:pPr>
        <w:ind w:left="6105" w:hanging="360"/>
      </w:pPr>
      <w:rPr>
        <w:rFonts w:ascii="Courier New" w:hAnsi="Courier New" w:cs="Courier New" w:hint="default"/>
      </w:rPr>
    </w:lvl>
    <w:lvl w:ilvl="8" w:tplc="240A0005" w:tentative="1">
      <w:start w:val="1"/>
      <w:numFmt w:val="bullet"/>
      <w:lvlText w:val=""/>
      <w:lvlJc w:val="left"/>
      <w:pPr>
        <w:ind w:left="6825" w:hanging="360"/>
      </w:pPr>
      <w:rPr>
        <w:rFonts w:ascii="Wingdings" w:hAnsi="Wingdings" w:hint="default"/>
      </w:rPr>
    </w:lvl>
  </w:abstractNum>
  <w:abstractNum w:abstractNumId="84">
    <w:nsid w:val="50AB7D7D"/>
    <w:multiLevelType w:val="hybridMultilevel"/>
    <w:tmpl w:val="15F49B1C"/>
    <w:lvl w:ilvl="0" w:tplc="0ED6955E">
      <w:start w:val="1"/>
      <w:numFmt w:val="bullet"/>
      <w:lvlText w:val="•"/>
      <w:lvlJc w:val="left"/>
      <w:pPr>
        <w:tabs>
          <w:tab w:val="num" w:pos="720"/>
        </w:tabs>
        <w:ind w:left="720" w:hanging="360"/>
      </w:pPr>
      <w:rPr>
        <w:rFonts w:ascii="Arial" w:hAnsi="Arial" w:hint="default"/>
      </w:rPr>
    </w:lvl>
    <w:lvl w:ilvl="1" w:tplc="E2DE0D0E" w:tentative="1">
      <w:start w:val="1"/>
      <w:numFmt w:val="bullet"/>
      <w:lvlText w:val="•"/>
      <w:lvlJc w:val="left"/>
      <w:pPr>
        <w:tabs>
          <w:tab w:val="num" w:pos="1440"/>
        </w:tabs>
        <w:ind w:left="1440" w:hanging="360"/>
      </w:pPr>
      <w:rPr>
        <w:rFonts w:ascii="Arial" w:hAnsi="Arial" w:hint="default"/>
      </w:rPr>
    </w:lvl>
    <w:lvl w:ilvl="2" w:tplc="4EEC0A10" w:tentative="1">
      <w:start w:val="1"/>
      <w:numFmt w:val="bullet"/>
      <w:lvlText w:val="•"/>
      <w:lvlJc w:val="left"/>
      <w:pPr>
        <w:tabs>
          <w:tab w:val="num" w:pos="2160"/>
        </w:tabs>
        <w:ind w:left="2160" w:hanging="360"/>
      </w:pPr>
      <w:rPr>
        <w:rFonts w:ascii="Arial" w:hAnsi="Arial" w:hint="default"/>
      </w:rPr>
    </w:lvl>
    <w:lvl w:ilvl="3" w:tplc="4F4695D6" w:tentative="1">
      <w:start w:val="1"/>
      <w:numFmt w:val="bullet"/>
      <w:lvlText w:val="•"/>
      <w:lvlJc w:val="left"/>
      <w:pPr>
        <w:tabs>
          <w:tab w:val="num" w:pos="2880"/>
        </w:tabs>
        <w:ind w:left="2880" w:hanging="360"/>
      </w:pPr>
      <w:rPr>
        <w:rFonts w:ascii="Arial" w:hAnsi="Arial" w:hint="default"/>
      </w:rPr>
    </w:lvl>
    <w:lvl w:ilvl="4" w:tplc="99B68348" w:tentative="1">
      <w:start w:val="1"/>
      <w:numFmt w:val="bullet"/>
      <w:lvlText w:val="•"/>
      <w:lvlJc w:val="left"/>
      <w:pPr>
        <w:tabs>
          <w:tab w:val="num" w:pos="3600"/>
        </w:tabs>
        <w:ind w:left="3600" w:hanging="360"/>
      </w:pPr>
      <w:rPr>
        <w:rFonts w:ascii="Arial" w:hAnsi="Arial" w:hint="default"/>
      </w:rPr>
    </w:lvl>
    <w:lvl w:ilvl="5" w:tplc="DFD8E9E8" w:tentative="1">
      <w:start w:val="1"/>
      <w:numFmt w:val="bullet"/>
      <w:lvlText w:val="•"/>
      <w:lvlJc w:val="left"/>
      <w:pPr>
        <w:tabs>
          <w:tab w:val="num" w:pos="4320"/>
        </w:tabs>
        <w:ind w:left="4320" w:hanging="360"/>
      </w:pPr>
      <w:rPr>
        <w:rFonts w:ascii="Arial" w:hAnsi="Arial" w:hint="default"/>
      </w:rPr>
    </w:lvl>
    <w:lvl w:ilvl="6" w:tplc="0234E15C" w:tentative="1">
      <w:start w:val="1"/>
      <w:numFmt w:val="bullet"/>
      <w:lvlText w:val="•"/>
      <w:lvlJc w:val="left"/>
      <w:pPr>
        <w:tabs>
          <w:tab w:val="num" w:pos="5040"/>
        </w:tabs>
        <w:ind w:left="5040" w:hanging="360"/>
      </w:pPr>
      <w:rPr>
        <w:rFonts w:ascii="Arial" w:hAnsi="Arial" w:hint="default"/>
      </w:rPr>
    </w:lvl>
    <w:lvl w:ilvl="7" w:tplc="139EE0CA" w:tentative="1">
      <w:start w:val="1"/>
      <w:numFmt w:val="bullet"/>
      <w:lvlText w:val="•"/>
      <w:lvlJc w:val="left"/>
      <w:pPr>
        <w:tabs>
          <w:tab w:val="num" w:pos="5760"/>
        </w:tabs>
        <w:ind w:left="5760" w:hanging="360"/>
      </w:pPr>
      <w:rPr>
        <w:rFonts w:ascii="Arial" w:hAnsi="Arial" w:hint="default"/>
      </w:rPr>
    </w:lvl>
    <w:lvl w:ilvl="8" w:tplc="45CAAF86" w:tentative="1">
      <w:start w:val="1"/>
      <w:numFmt w:val="bullet"/>
      <w:lvlText w:val="•"/>
      <w:lvlJc w:val="left"/>
      <w:pPr>
        <w:tabs>
          <w:tab w:val="num" w:pos="6480"/>
        </w:tabs>
        <w:ind w:left="6480" w:hanging="360"/>
      </w:pPr>
      <w:rPr>
        <w:rFonts w:ascii="Arial" w:hAnsi="Arial" w:hint="default"/>
      </w:rPr>
    </w:lvl>
  </w:abstractNum>
  <w:abstractNum w:abstractNumId="85">
    <w:nsid w:val="51380514"/>
    <w:multiLevelType w:val="hybridMultilevel"/>
    <w:tmpl w:val="10E8EFC8"/>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86">
    <w:nsid w:val="51765A8E"/>
    <w:multiLevelType w:val="hybridMultilevel"/>
    <w:tmpl w:val="64EE65B4"/>
    <w:lvl w:ilvl="0" w:tplc="0C0A0001">
      <w:start w:val="1"/>
      <w:numFmt w:val="bullet"/>
      <w:lvlText w:val=""/>
      <w:lvlJc w:val="left"/>
      <w:pPr>
        <w:ind w:left="360" w:hanging="360"/>
      </w:pPr>
      <w:rPr>
        <w:rFonts w:ascii="Symbol" w:hAnsi="Symbol" w:hint="default"/>
      </w:rPr>
    </w:lvl>
    <w:lvl w:ilvl="1" w:tplc="0C0A0001">
      <w:start w:val="1"/>
      <w:numFmt w:val="bullet"/>
      <w:lvlText w:val=""/>
      <w:lvlJc w:val="left"/>
      <w:pPr>
        <w:ind w:left="1080" w:hanging="360"/>
      </w:pPr>
      <w:rPr>
        <w:rFonts w:ascii="Symbol" w:hAnsi="Symbol" w:hint="default"/>
      </w:rPr>
    </w:lvl>
    <w:lvl w:ilvl="2" w:tplc="A4D29FEC">
      <w:numFmt w:val="bullet"/>
      <w:lvlText w:val="-"/>
      <w:lvlJc w:val="left"/>
      <w:pPr>
        <w:ind w:left="1800" w:hanging="360"/>
      </w:pPr>
      <w:rPr>
        <w:rFonts w:ascii="Calibri" w:eastAsia="Calibri" w:hAnsi="Calibri" w:cs="Times New Roman"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7">
    <w:nsid w:val="519574FC"/>
    <w:multiLevelType w:val="hybridMultilevel"/>
    <w:tmpl w:val="924023A4"/>
    <w:lvl w:ilvl="0" w:tplc="240A0001">
      <w:start w:val="1"/>
      <w:numFmt w:val="bullet"/>
      <w:lvlText w:val=""/>
      <w:lvlJc w:val="left"/>
      <w:pPr>
        <w:ind w:left="741" w:hanging="720"/>
      </w:pPr>
      <w:rPr>
        <w:rFonts w:ascii="Symbol" w:hAnsi="Symbol" w:hint="default"/>
      </w:rPr>
    </w:lvl>
    <w:lvl w:ilvl="1" w:tplc="0C0A0019">
      <w:start w:val="1"/>
      <w:numFmt w:val="lowerLetter"/>
      <w:lvlText w:val="%2."/>
      <w:lvlJc w:val="left"/>
      <w:pPr>
        <w:ind w:left="1101" w:hanging="360"/>
      </w:pPr>
    </w:lvl>
    <w:lvl w:ilvl="2" w:tplc="0C0A001B">
      <w:start w:val="1"/>
      <w:numFmt w:val="lowerRoman"/>
      <w:lvlText w:val="%3."/>
      <w:lvlJc w:val="right"/>
      <w:pPr>
        <w:ind w:left="1821" w:hanging="180"/>
      </w:pPr>
    </w:lvl>
    <w:lvl w:ilvl="3" w:tplc="0C0A000F" w:tentative="1">
      <w:start w:val="1"/>
      <w:numFmt w:val="decimal"/>
      <w:lvlText w:val="%4."/>
      <w:lvlJc w:val="left"/>
      <w:pPr>
        <w:ind w:left="2541" w:hanging="360"/>
      </w:pPr>
    </w:lvl>
    <w:lvl w:ilvl="4" w:tplc="0C0A0019" w:tentative="1">
      <w:start w:val="1"/>
      <w:numFmt w:val="lowerLetter"/>
      <w:lvlText w:val="%5."/>
      <w:lvlJc w:val="left"/>
      <w:pPr>
        <w:ind w:left="3261" w:hanging="360"/>
      </w:pPr>
    </w:lvl>
    <w:lvl w:ilvl="5" w:tplc="0C0A001B" w:tentative="1">
      <w:start w:val="1"/>
      <w:numFmt w:val="lowerRoman"/>
      <w:lvlText w:val="%6."/>
      <w:lvlJc w:val="right"/>
      <w:pPr>
        <w:ind w:left="3981" w:hanging="180"/>
      </w:pPr>
    </w:lvl>
    <w:lvl w:ilvl="6" w:tplc="0C0A000F" w:tentative="1">
      <w:start w:val="1"/>
      <w:numFmt w:val="decimal"/>
      <w:lvlText w:val="%7."/>
      <w:lvlJc w:val="left"/>
      <w:pPr>
        <w:ind w:left="4701" w:hanging="360"/>
      </w:pPr>
    </w:lvl>
    <w:lvl w:ilvl="7" w:tplc="0C0A0019" w:tentative="1">
      <w:start w:val="1"/>
      <w:numFmt w:val="lowerLetter"/>
      <w:lvlText w:val="%8."/>
      <w:lvlJc w:val="left"/>
      <w:pPr>
        <w:ind w:left="5421" w:hanging="360"/>
      </w:pPr>
    </w:lvl>
    <w:lvl w:ilvl="8" w:tplc="0C0A001B" w:tentative="1">
      <w:start w:val="1"/>
      <w:numFmt w:val="lowerRoman"/>
      <w:lvlText w:val="%9."/>
      <w:lvlJc w:val="right"/>
      <w:pPr>
        <w:ind w:left="6141" w:hanging="180"/>
      </w:pPr>
    </w:lvl>
  </w:abstractNum>
  <w:abstractNum w:abstractNumId="88">
    <w:nsid w:val="5212477E"/>
    <w:multiLevelType w:val="hybridMultilevel"/>
    <w:tmpl w:val="E2D0C756"/>
    <w:lvl w:ilvl="0" w:tplc="AC7C8A38">
      <w:start w:val="1"/>
      <w:numFmt w:val="bullet"/>
      <w:lvlText w:val="•"/>
      <w:lvlJc w:val="left"/>
      <w:pPr>
        <w:tabs>
          <w:tab w:val="num" w:pos="720"/>
        </w:tabs>
        <w:ind w:left="720" w:hanging="360"/>
      </w:pPr>
      <w:rPr>
        <w:rFonts w:ascii="Arial" w:hAnsi="Arial" w:hint="default"/>
      </w:rPr>
    </w:lvl>
    <w:lvl w:ilvl="1" w:tplc="1D5CA648" w:tentative="1">
      <w:start w:val="1"/>
      <w:numFmt w:val="bullet"/>
      <w:lvlText w:val="•"/>
      <w:lvlJc w:val="left"/>
      <w:pPr>
        <w:tabs>
          <w:tab w:val="num" w:pos="1440"/>
        </w:tabs>
        <w:ind w:left="1440" w:hanging="360"/>
      </w:pPr>
      <w:rPr>
        <w:rFonts w:ascii="Arial" w:hAnsi="Arial" w:hint="default"/>
      </w:rPr>
    </w:lvl>
    <w:lvl w:ilvl="2" w:tplc="859A087E" w:tentative="1">
      <w:start w:val="1"/>
      <w:numFmt w:val="bullet"/>
      <w:lvlText w:val="•"/>
      <w:lvlJc w:val="left"/>
      <w:pPr>
        <w:tabs>
          <w:tab w:val="num" w:pos="2160"/>
        </w:tabs>
        <w:ind w:left="2160" w:hanging="360"/>
      </w:pPr>
      <w:rPr>
        <w:rFonts w:ascii="Arial" w:hAnsi="Arial" w:hint="default"/>
      </w:rPr>
    </w:lvl>
    <w:lvl w:ilvl="3" w:tplc="3592A992" w:tentative="1">
      <w:start w:val="1"/>
      <w:numFmt w:val="bullet"/>
      <w:lvlText w:val="•"/>
      <w:lvlJc w:val="left"/>
      <w:pPr>
        <w:tabs>
          <w:tab w:val="num" w:pos="2880"/>
        </w:tabs>
        <w:ind w:left="2880" w:hanging="360"/>
      </w:pPr>
      <w:rPr>
        <w:rFonts w:ascii="Arial" w:hAnsi="Arial" w:hint="default"/>
      </w:rPr>
    </w:lvl>
    <w:lvl w:ilvl="4" w:tplc="DD325D92" w:tentative="1">
      <w:start w:val="1"/>
      <w:numFmt w:val="bullet"/>
      <w:lvlText w:val="•"/>
      <w:lvlJc w:val="left"/>
      <w:pPr>
        <w:tabs>
          <w:tab w:val="num" w:pos="3600"/>
        </w:tabs>
        <w:ind w:left="3600" w:hanging="360"/>
      </w:pPr>
      <w:rPr>
        <w:rFonts w:ascii="Arial" w:hAnsi="Arial" w:hint="default"/>
      </w:rPr>
    </w:lvl>
    <w:lvl w:ilvl="5" w:tplc="FF54CB1A" w:tentative="1">
      <w:start w:val="1"/>
      <w:numFmt w:val="bullet"/>
      <w:lvlText w:val="•"/>
      <w:lvlJc w:val="left"/>
      <w:pPr>
        <w:tabs>
          <w:tab w:val="num" w:pos="4320"/>
        </w:tabs>
        <w:ind w:left="4320" w:hanging="360"/>
      </w:pPr>
      <w:rPr>
        <w:rFonts w:ascii="Arial" w:hAnsi="Arial" w:hint="default"/>
      </w:rPr>
    </w:lvl>
    <w:lvl w:ilvl="6" w:tplc="1E2CF260" w:tentative="1">
      <w:start w:val="1"/>
      <w:numFmt w:val="bullet"/>
      <w:lvlText w:val="•"/>
      <w:lvlJc w:val="left"/>
      <w:pPr>
        <w:tabs>
          <w:tab w:val="num" w:pos="5040"/>
        </w:tabs>
        <w:ind w:left="5040" w:hanging="360"/>
      </w:pPr>
      <w:rPr>
        <w:rFonts w:ascii="Arial" w:hAnsi="Arial" w:hint="default"/>
      </w:rPr>
    </w:lvl>
    <w:lvl w:ilvl="7" w:tplc="CF64BE46" w:tentative="1">
      <w:start w:val="1"/>
      <w:numFmt w:val="bullet"/>
      <w:lvlText w:val="•"/>
      <w:lvlJc w:val="left"/>
      <w:pPr>
        <w:tabs>
          <w:tab w:val="num" w:pos="5760"/>
        </w:tabs>
        <w:ind w:left="5760" w:hanging="360"/>
      </w:pPr>
      <w:rPr>
        <w:rFonts w:ascii="Arial" w:hAnsi="Arial" w:hint="default"/>
      </w:rPr>
    </w:lvl>
    <w:lvl w:ilvl="8" w:tplc="2544F810" w:tentative="1">
      <w:start w:val="1"/>
      <w:numFmt w:val="bullet"/>
      <w:lvlText w:val="•"/>
      <w:lvlJc w:val="left"/>
      <w:pPr>
        <w:tabs>
          <w:tab w:val="num" w:pos="6480"/>
        </w:tabs>
        <w:ind w:left="6480" w:hanging="360"/>
      </w:pPr>
      <w:rPr>
        <w:rFonts w:ascii="Arial" w:hAnsi="Arial" w:hint="default"/>
      </w:rPr>
    </w:lvl>
  </w:abstractNum>
  <w:abstractNum w:abstractNumId="89">
    <w:nsid w:val="531B7816"/>
    <w:multiLevelType w:val="hybridMultilevel"/>
    <w:tmpl w:val="9D1A9AC8"/>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0">
    <w:nsid w:val="537164E2"/>
    <w:multiLevelType w:val="hybridMultilevel"/>
    <w:tmpl w:val="E424EE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nsid w:val="541D229B"/>
    <w:multiLevelType w:val="hybridMultilevel"/>
    <w:tmpl w:val="A1060B30"/>
    <w:lvl w:ilvl="0" w:tplc="2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55DD3C3E"/>
    <w:multiLevelType w:val="hybridMultilevel"/>
    <w:tmpl w:val="D0FE23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nsid w:val="55E921DD"/>
    <w:multiLevelType w:val="hybridMultilevel"/>
    <w:tmpl w:val="B57E5198"/>
    <w:lvl w:ilvl="0" w:tplc="240A0001">
      <w:start w:val="1"/>
      <w:numFmt w:val="bullet"/>
      <w:lvlText w:val=""/>
      <w:lvlJc w:val="left"/>
      <w:pPr>
        <w:ind w:left="535" w:hanging="360"/>
      </w:pPr>
      <w:rPr>
        <w:rFonts w:ascii="Symbol" w:hAnsi="Symbol" w:hint="default"/>
      </w:rPr>
    </w:lvl>
    <w:lvl w:ilvl="1" w:tplc="0C0A0019" w:tentative="1">
      <w:start w:val="1"/>
      <w:numFmt w:val="lowerLetter"/>
      <w:lvlText w:val="%2."/>
      <w:lvlJc w:val="left"/>
      <w:pPr>
        <w:ind w:left="1255" w:hanging="360"/>
      </w:pPr>
    </w:lvl>
    <w:lvl w:ilvl="2" w:tplc="0C0A001B" w:tentative="1">
      <w:start w:val="1"/>
      <w:numFmt w:val="lowerRoman"/>
      <w:lvlText w:val="%3."/>
      <w:lvlJc w:val="right"/>
      <w:pPr>
        <w:ind w:left="1975" w:hanging="180"/>
      </w:pPr>
    </w:lvl>
    <w:lvl w:ilvl="3" w:tplc="0C0A000F" w:tentative="1">
      <w:start w:val="1"/>
      <w:numFmt w:val="decimal"/>
      <w:lvlText w:val="%4."/>
      <w:lvlJc w:val="left"/>
      <w:pPr>
        <w:ind w:left="2695" w:hanging="360"/>
      </w:pPr>
    </w:lvl>
    <w:lvl w:ilvl="4" w:tplc="0C0A0019" w:tentative="1">
      <w:start w:val="1"/>
      <w:numFmt w:val="lowerLetter"/>
      <w:lvlText w:val="%5."/>
      <w:lvlJc w:val="left"/>
      <w:pPr>
        <w:ind w:left="3415" w:hanging="360"/>
      </w:pPr>
    </w:lvl>
    <w:lvl w:ilvl="5" w:tplc="0C0A001B" w:tentative="1">
      <w:start w:val="1"/>
      <w:numFmt w:val="lowerRoman"/>
      <w:lvlText w:val="%6."/>
      <w:lvlJc w:val="right"/>
      <w:pPr>
        <w:ind w:left="4135" w:hanging="180"/>
      </w:pPr>
    </w:lvl>
    <w:lvl w:ilvl="6" w:tplc="0C0A000F" w:tentative="1">
      <w:start w:val="1"/>
      <w:numFmt w:val="decimal"/>
      <w:lvlText w:val="%7."/>
      <w:lvlJc w:val="left"/>
      <w:pPr>
        <w:ind w:left="4855" w:hanging="360"/>
      </w:pPr>
    </w:lvl>
    <w:lvl w:ilvl="7" w:tplc="0C0A0019" w:tentative="1">
      <w:start w:val="1"/>
      <w:numFmt w:val="lowerLetter"/>
      <w:lvlText w:val="%8."/>
      <w:lvlJc w:val="left"/>
      <w:pPr>
        <w:ind w:left="5575" w:hanging="360"/>
      </w:pPr>
    </w:lvl>
    <w:lvl w:ilvl="8" w:tplc="0C0A001B" w:tentative="1">
      <w:start w:val="1"/>
      <w:numFmt w:val="lowerRoman"/>
      <w:lvlText w:val="%9."/>
      <w:lvlJc w:val="right"/>
      <w:pPr>
        <w:ind w:left="6295" w:hanging="180"/>
      </w:pPr>
    </w:lvl>
  </w:abstractNum>
  <w:abstractNum w:abstractNumId="94">
    <w:nsid w:val="55F010EC"/>
    <w:multiLevelType w:val="hybridMultilevel"/>
    <w:tmpl w:val="DC564F9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5">
    <w:nsid w:val="56320356"/>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563C0E82"/>
    <w:multiLevelType w:val="hybridMultilevel"/>
    <w:tmpl w:val="46489D6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7">
    <w:nsid w:val="564F5A6A"/>
    <w:multiLevelType w:val="hybridMultilevel"/>
    <w:tmpl w:val="A3080A94"/>
    <w:lvl w:ilvl="0" w:tplc="240A0017">
      <w:start w:val="1"/>
      <w:numFmt w:val="lowerLetter"/>
      <w:lvlText w:val="%1)"/>
      <w:lvlJc w:val="left"/>
      <w:pPr>
        <w:ind w:left="810" w:hanging="360"/>
      </w:pPr>
    </w:lvl>
    <w:lvl w:ilvl="1" w:tplc="240A0019" w:tentative="1">
      <w:start w:val="1"/>
      <w:numFmt w:val="lowerLetter"/>
      <w:lvlText w:val="%2."/>
      <w:lvlJc w:val="left"/>
      <w:pPr>
        <w:ind w:left="1530" w:hanging="360"/>
      </w:pPr>
    </w:lvl>
    <w:lvl w:ilvl="2" w:tplc="240A001B" w:tentative="1">
      <w:start w:val="1"/>
      <w:numFmt w:val="lowerRoman"/>
      <w:lvlText w:val="%3."/>
      <w:lvlJc w:val="right"/>
      <w:pPr>
        <w:ind w:left="2250" w:hanging="180"/>
      </w:pPr>
    </w:lvl>
    <w:lvl w:ilvl="3" w:tplc="240A000F" w:tentative="1">
      <w:start w:val="1"/>
      <w:numFmt w:val="decimal"/>
      <w:lvlText w:val="%4."/>
      <w:lvlJc w:val="left"/>
      <w:pPr>
        <w:ind w:left="2970" w:hanging="360"/>
      </w:pPr>
    </w:lvl>
    <w:lvl w:ilvl="4" w:tplc="240A0019" w:tentative="1">
      <w:start w:val="1"/>
      <w:numFmt w:val="lowerLetter"/>
      <w:lvlText w:val="%5."/>
      <w:lvlJc w:val="left"/>
      <w:pPr>
        <w:ind w:left="3690" w:hanging="360"/>
      </w:pPr>
    </w:lvl>
    <w:lvl w:ilvl="5" w:tplc="240A001B" w:tentative="1">
      <w:start w:val="1"/>
      <w:numFmt w:val="lowerRoman"/>
      <w:lvlText w:val="%6."/>
      <w:lvlJc w:val="right"/>
      <w:pPr>
        <w:ind w:left="4410" w:hanging="180"/>
      </w:pPr>
    </w:lvl>
    <w:lvl w:ilvl="6" w:tplc="240A000F" w:tentative="1">
      <w:start w:val="1"/>
      <w:numFmt w:val="decimal"/>
      <w:lvlText w:val="%7."/>
      <w:lvlJc w:val="left"/>
      <w:pPr>
        <w:ind w:left="5130" w:hanging="360"/>
      </w:pPr>
    </w:lvl>
    <w:lvl w:ilvl="7" w:tplc="240A0019" w:tentative="1">
      <w:start w:val="1"/>
      <w:numFmt w:val="lowerLetter"/>
      <w:lvlText w:val="%8."/>
      <w:lvlJc w:val="left"/>
      <w:pPr>
        <w:ind w:left="5850" w:hanging="360"/>
      </w:pPr>
    </w:lvl>
    <w:lvl w:ilvl="8" w:tplc="240A001B" w:tentative="1">
      <w:start w:val="1"/>
      <w:numFmt w:val="lowerRoman"/>
      <w:lvlText w:val="%9."/>
      <w:lvlJc w:val="right"/>
      <w:pPr>
        <w:ind w:left="6570" w:hanging="180"/>
      </w:pPr>
    </w:lvl>
  </w:abstractNum>
  <w:abstractNum w:abstractNumId="98">
    <w:nsid w:val="57412DCF"/>
    <w:multiLevelType w:val="hybridMultilevel"/>
    <w:tmpl w:val="F3CC7F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9">
    <w:nsid w:val="574A09D7"/>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nsid w:val="57DC68F0"/>
    <w:multiLevelType w:val="hybridMultilevel"/>
    <w:tmpl w:val="03A41E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nsid w:val="58027B32"/>
    <w:multiLevelType w:val="hybridMultilevel"/>
    <w:tmpl w:val="08F2A6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2">
    <w:nsid w:val="58C840D9"/>
    <w:multiLevelType w:val="hybridMultilevel"/>
    <w:tmpl w:val="DFC4DBAA"/>
    <w:lvl w:ilvl="0" w:tplc="9E92EF02">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3">
    <w:nsid w:val="58CB3CD6"/>
    <w:multiLevelType w:val="hybridMultilevel"/>
    <w:tmpl w:val="490EF59C"/>
    <w:lvl w:ilvl="0" w:tplc="240A0001">
      <w:start w:val="1"/>
      <w:numFmt w:val="bullet"/>
      <w:lvlText w:val=""/>
      <w:lvlJc w:val="left"/>
      <w:pPr>
        <w:ind w:left="741" w:hanging="720"/>
      </w:pPr>
      <w:rPr>
        <w:rFonts w:ascii="Symbol" w:hAnsi="Symbol" w:hint="default"/>
      </w:rPr>
    </w:lvl>
    <w:lvl w:ilvl="1" w:tplc="0C0A0019">
      <w:start w:val="1"/>
      <w:numFmt w:val="lowerLetter"/>
      <w:lvlText w:val="%2."/>
      <w:lvlJc w:val="left"/>
      <w:pPr>
        <w:ind w:left="1101" w:hanging="360"/>
      </w:pPr>
    </w:lvl>
    <w:lvl w:ilvl="2" w:tplc="0C0A001B" w:tentative="1">
      <w:start w:val="1"/>
      <w:numFmt w:val="lowerRoman"/>
      <w:lvlText w:val="%3."/>
      <w:lvlJc w:val="right"/>
      <w:pPr>
        <w:ind w:left="1821" w:hanging="180"/>
      </w:pPr>
    </w:lvl>
    <w:lvl w:ilvl="3" w:tplc="0C0A000F" w:tentative="1">
      <w:start w:val="1"/>
      <w:numFmt w:val="decimal"/>
      <w:lvlText w:val="%4."/>
      <w:lvlJc w:val="left"/>
      <w:pPr>
        <w:ind w:left="2541" w:hanging="360"/>
      </w:pPr>
    </w:lvl>
    <w:lvl w:ilvl="4" w:tplc="0C0A0019" w:tentative="1">
      <w:start w:val="1"/>
      <w:numFmt w:val="lowerLetter"/>
      <w:lvlText w:val="%5."/>
      <w:lvlJc w:val="left"/>
      <w:pPr>
        <w:ind w:left="3261" w:hanging="360"/>
      </w:pPr>
    </w:lvl>
    <w:lvl w:ilvl="5" w:tplc="0C0A001B" w:tentative="1">
      <w:start w:val="1"/>
      <w:numFmt w:val="lowerRoman"/>
      <w:lvlText w:val="%6."/>
      <w:lvlJc w:val="right"/>
      <w:pPr>
        <w:ind w:left="3981" w:hanging="180"/>
      </w:pPr>
    </w:lvl>
    <w:lvl w:ilvl="6" w:tplc="0C0A000F" w:tentative="1">
      <w:start w:val="1"/>
      <w:numFmt w:val="decimal"/>
      <w:lvlText w:val="%7."/>
      <w:lvlJc w:val="left"/>
      <w:pPr>
        <w:ind w:left="4701" w:hanging="360"/>
      </w:pPr>
    </w:lvl>
    <w:lvl w:ilvl="7" w:tplc="0C0A0019" w:tentative="1">
      <w:start w:val="1"/>
      <w:numFmt w:val="lowerLetter"/>
      <w:lvlText w:val="%8."/>
      <w:lvlJc w:val="left"/>
      <w:pPr>
        <w:ind w:left="5421" w:hanging="360"/>
      </w:pPr>
    </w:lvl>
    <w:lvl w:ilvl="8" w:tplc="0C0A001B" w:tentative="1">
      <w:start w:val="1"/>
      <w:numFmt w:val="lowerRoman"/>
      <w:lvlText w:val="%9."/>
      <w:lvlJc w:val="right"/>
      <w:pPr>
        <w:ind w:left="6141" w:hanging="180"/>
      </w:pPr>
    </w:lvl>
  </w:abstractNum>
  <w:abstractNum w:abstractNumId="104">
    <w:nsid w:val="59391A42"/>
    <w:multiLevelType w:val="hybridMultilevel"/>
    <w:tmpl w:val="E1FE8A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5">
    <w:nsid w:val="5A5820AC"/>
    <w:multiLevelType w:val="hybridMultilevel"/>
    <w:tmpl w:val="ACEA2682"/>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6">
    <w:nsid w:val="5B866078"/>
    <w:multiLevelType w:val="hybridMultilevel"/>
    <w:tmpl w:val="3CCA9656"/>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07">
    <w:nsid w:val="5E3861A5"/>
    <w:multiLevelType w:val="hybridMultilevel"/>
    <w:tmpl w:val="9B9AF2D0"/>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8">
    <w:nsid w:val="5E9A0D5F"/>
    <w:multiLevelType w:val="hybridMultilevel"/>
    <w:tmpl w:val="486E0D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9">
    <w:nsid w:val="5F417DFD"/>
    <w:multiLevelType w:val="hybridMultilevel"/>
    <w:tmpl w:val="2F7C374E"/>
    <w:lvl w:ilvl="0" w:tplc="A4D29FEC">
      <w:numFmt w:val="bullet"/>
      <w:lvlText w:val="-"/>
      <w:lvlJc w:val="left"/>
      <w:pPr>
        <w:ind w:left="360" w:hanging="360"/>
      </w:pPr>
      <w:rPr>
        <w:rFonts w:ascii="Calibri" w:eastAsia="Calibri" w:hAnsi="Calibri" w:cs="Times New Roman"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0">
    <w:nsid w:val="5F465467"/>
    <w:multiLevelType w:val="hybridMultilevel"/>
    <w:tmpl w:val="AFDE81A0"/>
    <w:lvl w:ilvl="0" w:tplc="240A0001">
      <w:start w:val="1"/>
      <w:numFmt w:val="bullet"/>
      <w:lvlText w:val=""/>
      <w:lvlJc w:val="left"/>
      <w:pPr>
        <w:ind w:left="741" w:hanging="720"/>
      </w:pPr>
      <w:rPr>
        <w:rFonts w:ascii="Symbol" w:hAnsi="Symbol" w:hint="default"/>
      </w:rPr>
    </w:lvl>
    <w:lvl w:ilvl="1" w:tplc="0C0A0019">
      <w:start w:val="1"/>
      <w:numFmt w:val="lowerLetter"/>
      <w:lvlText w:val="%2."/>
      <w:lvlJc w:val="left"/>
      <w:pPr>
        <w:ind w:left="1101" w:hanging="360"/>
      </w:pPr>
    </w:lvl>
    <w:lvl w:ilvl="2" w:tplc="0C0A001B" w:tentative="1">
      <w:start w:val="1"/>
      <w:numFmt w:val="lowerRoman"/>
      <w:lvlText w:val="%3."/>
      <w:lvlJc w:val="right"/>
      <w:pPr>
        <w:ind w:left="1821" w:hanging="180"/>
      </w:pPr>
    </w:lvl>
    <w:lvl w:ilvl="3" w:tplc="0C0A000F" w:tentative="1">
      <w:start w:val="1"/>
      <w:numFmt w:val="decimal"/>
      <w:lvlText w:val="%4."/>
      <w:lvlJc w:val="left"/>
      <w:pPr>
        <w:ind w:left="2541" w:hanging="360"/>
      </w:pPr>
    </w:lvl>
    <w:lvl w:ilvl="4" w:tplc="0C0A0019" w:tentative="1">
      <w:start w:val="1"/>
      <w:numFmt w:val="lowerLetter"/>
      <w:lvlText w:val="%5."/>
      <w:lvlJc w:val="left"/>
      <w:pPr>
        <w:ind w:left="3261" w:hanging="360"/>
      </w:pPr>
    </w:lvl>
    <w:lvl w:ilvl="5" w:tplc="0C0A001B" w:tentative="1">
      <w:start w:val="1"/>
      <w:numFmt w:val="lowerRoman"/>
      <w:lvlText w:val="%6."/>
      <w:lvlJc w:val="right"/>
      <w:pPr>
        <w:ind w:left="3981" w:hanging="180"/>
      </w:pPr>
    </w:lvl>
    <w:lvl w:ilvl="6" w:tplc="0C0A000F" w:tentative="1">
      <w:start w:val="1"/>
      <w:numFmt w:val="decimal"/>
      <w:lvlText w:val="%7."/>
      <w:lvlJc w:val="left"/>
      <w:pPr>
        <w:ind w:left="4701" w:hanging="360"/>
      </w:pPr>
    </w:lvl>
    <w:lvl w:ilvl="7" w:tplc="0C0A0019" w:tentative="1">
      <w:start w:val="1"/>
      <w:numFmt w:val="lowerLetter"/>
      <w:lvlText w:val="%8."/>
      <w:lvlJc w:val="left"/>
      <w:pPr>
        <w:ind w:left="5421" w:hanging="360"/>
      </w:pPr>
    </w:lvl>
    <w:lvl w:ilvl="8" w:tplc="0C0A001B" w:tentative="1">
      <w:start w:val="1"/>
      <w:numFmt w:val="lowerRoman"/>
      <w:lvlText w:val="%9."/>
      <w:lvlJc w:val="right"/>
      <w:pPr>
        <w:ind w:left="6141" w:hanging="180"/>
      </w:pPr>
    </w:lvl>
  </w:abstractNum>
  <w:abstractNum w:abstractNumId="111">
    <w:nsid w:val="5F8547B0"/>
    <w:multiLevelType w:val="hybridMultilevel"/>
    <w:tmpl w:val="E3C0B8D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2">
    <w:nsid w:val="60C24B0A"/>
    <w:multiLevelType w:val="hybridMultilevel"/>
    <w:tmpl w:val="0CA6BD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3">
    <w:nsid w:val="627F6AD9"/>
    <w:multiLevelType w:val="hybridMultilevel"/>
    <w:tmpl w:val="1A440FC8"/>
    <w:lvl w:ilvl="0" w:tplc="0E1A434C">
      <w:start w:val="1"/>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4">
    <w:nsid w:val="62E249EC"/>
    <w:multiLevelType w:val="hybridMultilevel"/>
    <w:tmpl w:val="672EDD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5">
    <w:nsid w:val="63311A51"/>
    <w:multiLevelType w:val="hybridMultilevel"/>
    <w:tmpl w:val="94AADF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6">
    <w:nsid w:val="64D62DEA"/>
    <w:multiLevelType w:val="multilevel"/>
    <w:tmpl w:val="62362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66935E6D"/>
    <w:multiLevelType w:val="hybridMultilevel"/>
    <w:tmpl w:val="7DC2F0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8">
    <w:nsid w:val="6701642A"/>
    <w:multiLevelType w:val="hybridMultilevel"/>
    <w:tmpl w:val="F0847E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9">
    <w:nsid w:val="67363EC2"/>
    <w:multiLevelType w:val="hybridMultilevel"/>
    <w:tmpl w:val="9994415C"/>
    <w:lvl w:ilvl="0" w:tplc="2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nsid w:val="6B613551"/>
    <w:multiLevelType w:val="hybridMultilevel"/>
    <w:tmpl w:val="5BEAB9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1">
    <w:nsid w:val="6BC22F90"/>
    <w:multiLevelType w:val="hybridMultilevel"/>
    <w:tmpl w:val="D2F0D9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2">
    <w:nsid w:val="6CEB4253"/>
    <w:multiLevelType w:val="multilevel"/>
    <w:tmpl w:val="636A6102"/>
    <w:lvl w:ilvl="0">
      <w:start w:val="1"/>
      <w:numFmt w:val="bullet"/>
      <w:lvlText w:val=""/>
      <w:lvlJc w:val="left"/>
      <w:pPr>
        <w:ind w:left="72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3">
    <w:nsid w:val="6CF365A0"/>
    <w:multiLevelType w:val="hybridMultilevel"/>
    <w:tmpl w:val="82FEC3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4">
    <w:nsid w:val="6ED22FFA"/>
    <w:multiLevelType w:val="hybridMultilevel"/>
    <w:tmpl w:val="575261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5">
    <w:nsid w:val="6F304DF3"/>
    <w:multiLevelType w:val="hybridMultilevel"/>
    <w:tmpl w:val="1310B5D6"/>
    <w:lvl w:ilvl="0" w:tplc="0C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26">
    <w:nsid w:val="6F5E3C11"/>
    <w:multiLevelType w:val="hybridMultilevel"/>
    <w:tmpl w:val="2D0A58C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7">
    <w:nsid w:val="6FBC5582"/>
    <w:multiLevelType w:val="hybridMultilevel"/>
    <w:tmpl w:val="4498CC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8">
    <w:nsid w:val="6FEF781A"/>
    <w:multiLevelType w:val="hybridMultilevel"/>
    <w:tmpl w:val="8D741A42"/>
    <w:lvl w:ilvl="0" w:tplc="240A0001">
      <w:start w:val="1"/>
      <w:numFmt w:val="bullet"/>
      <w:lvlText w:val=""/>
      <w:lvlJc w:val="left"/>
      <w:pPr>
        <w:ind w:left="1065" w:hanging="360"/>
      </w:pPr>
      <w:rPr>
        <w:rFonts w:ascii="Symbol" w:hAnsi="Symbol" w:hint="default"/>
      </w:rPr>
    </w:lvl>
    <w:lvl w:ilvl="1" w:tplc="240A0003" w:tentative="1">
      <w:start w:val="1"/>
      <w:numFmt w:val="bullet"/>
      <w:lvlText w:val="o"/>
      <w:lvlJc w:val="left"/>
      <w:pPr>
        <w:ind w:left="1785" w:hanging="360"/>
      </w:pPr>
      <w:rPr>
        <w:rFonts w:ascii="Courier New" w:hAnsi="Courier New" w:cs="Courier New" w:hint="default"/>
      </w:rPr>
    </w:lvl>
    <w:lvl w:ilvl="2" w:tplc="240A0005" w:tentative="1">
      <w:start w:val="1"/>
      <w:numFmt w:val="bullet"/>
      <w:lvlText w:val=""/>
      <w:lvlJc w:val="left"/>
      <w:pPr>
        <w:ind w:left="2505" w:hanging="360"/>
      </w:pPr>
      <w:rPr>
        <w:rFonts w:ascii="Wingdings" w:hAnsi="Wingdings" w:hint="default"/>
      </w:rPr>
    </w:lvl>
    <w:lvl w:ilvl="3" w:tplc="240A0001" w:tentative="1">
      <w:start w:val="1"/>
      <w:numFmt w:val="bullet"/>
      <w:lvlText w:val=""/>
      <w:lvlJc w:val="left"/>
      <w:pPr>
        <w:ind w:left="3225" w:hanging="360"/>
      </w:pPr>
      <w:rPr>
        <w:rFonts w:ascii="Symbol" w:hAnsi="Symbol" w:hint="default"/>
      </w:rPr>
    </w:lvl>
    <w:lvl w:ilvl="4" w:tplc="240A0003" w:tentative="1">
      <w:start w:val="1"/>
      <w:numFmt w:val="bullet"/>
      <w:lvlText w:val="o"/>
      <w:lvlJc w:val="left"/>
      <w:pPr>
        <w:ind w:left="3945" w:hanging="360"/>
      </w:pPr>
      <w:rPr>
        <w:rFonts w:ascii="Courier New" w:hAnsi="Courier New" w:cs="Courier New" w:hint="default"/>
      </w:rPr>
    </w:lvl>
    <w:lvl w:ilvl="5" w:tplc="240A0005" w:tentative="1">
      <w:start w:val="1"/>
      <w:numFmt w:val="bullet"/>
      <w:lvlText w:val=""/>
      <w:lvlJc w:val="left"/>
      <w:pPr>
        <w:ind w:left="4665" w:hanging="360"/>
      </w:pPr>
      <w:rPr>
        <w:rFonts w:ascii="Wingdings" w:hAnsi="Wingdings" w:hint="default"/>
      </w:rPr>
    </w:lvl>
    <w:lvl w:ilvl="6" w:tplc="240A0001" w:tentative="1">
      <w:start w:val="1"/>
      <w:numFmt w:val="bullet"/>
      <w:lvlText w:val=""/>
      <w:lvlJc w:val="left"/>
      <w:pPr>
        <w:ind w:left="5385" w:hanging="360"/>
      </w:pPr>
      <w:rPr>
        <w:rFonts w:ascii="Symbol" w:hAnsi="Symbol" w:hint="default"/>
      </w:rPr>
    </w:lvl>
    <w:lvl w:ilvl="7" w:tplc="240A0003" w:tentative="1">
      <w:start w:val="1"/>
      <w:numFmt w:val="bullet"/>
      <w:lvlText w:val="o"/>
      <w:lvlJc w:val="left"/>
      <w:pPr>
        <w:ind w:left="6105" w:hanging="360"/>
      </w:pPr>
      <w:rPr>
        <w:rFonts w:ascii="Courier New" w:hAnsi="Courier New" w:cs="Courier New" w:hint="default"/>
      </w:rPr>
    </w:lvl>
    <w:lvl w:ilvl="8" w:tplc="240A0005" w:tentative="1">
      <w:start w:val="1"/>
      <w:numFmt w:val="bullet"/>
      <w:lvlText w:val=""/>
      <w:lvlJc w:val="left"/>
      <w:pPr>
        <w:ind w:left="6825" w:hanging="360"/>
      </w:pPr>
      <w:rPr>
        <w:rFonts w:ascii="Wingdings" w:hAnsi="Wingdings" w:hint="default"/>
      </w:rPr>
    </w:lvl>
  </w:abstractNum>
  <w:abstractNum w:abstractNumId="129">
    <w:nsid w:val="70245B3F"/>
    <w:multiLevelType w:val="hybridMultilevel"/>
    <w:tmpl w:val="9D740A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0">
    <w:nsid w:val="70D328E1"/>
    <w:multiLevelType w:val="hybridMultilevel"/>
    <w:tmpl w:val="16C49D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1">
    <w:nsid w:val="71A06266"/>
    <w:multiLevelType w:val="hybridMultilevel"/>
    <w:tmpl w:val="4E5C9C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2">
    <w:nsid w:val="722C4321"/>
    <w:multiLevelType w:val="hybridMultilevel"/>
    <w:tmpl w:val="F55E9E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3">
    <w:nsid w:val="72962FE0"/>
    <w:multiLevelType w:val="hybridMultilevel"/>
    <w:tmpl w:val="0A9446D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4">
    <w:nsid w:val="747212A0"/>
    <w:multiLevelType w:val="hybridMultilevel"/>
    <w:tmpl w:val="5FAE03F2"/>
    <w:lvl w:ilvl="0" w:tplc="A4D29FEC">
      <w:numFmt w:val="bullet"/>
      <w:lvlText w:val="-"/>
      <w:lvlJc w:val="left"/>
      <w:pPr>
        <w:ind w:left="1440" w:hanging="360"/>
      </w:pPr>
      <w:rPr>
        <w:rFonts w:ascii="Calibri" w:eastAsia="Calibri" w:hAnsi="Calibri" w:cs="Times New Roman"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5">
    <w:nsid w:val="75755D89"/>
    <w:multiLevelType w:val="hybridMultilevel"/>
    <w:tmpl w:val="5D5E70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6">
    <w:nsid w:val="763A69AE"/>
    <w:multiLevelType w:val="hybridMultilevel"/>
    <w:tmpl w:val="8D624BFC"/>
    <w:lvl w:ilvl="0" w:tplc="240A0001">
      <w:start w:val="1"/>
      <w:numFmt w:val="bullet"/>
      <w:lvlText w:val=""/>
      <w:lvlJc w:val="left"/>
      <w:pPr>
        <w:ind w:left="730" w:hanging="360"/>
      </w:pPr>
      <w:rPr>
        <w:rFonts w:ascii="Symbol" w:hAnsi="Symbol" w:hint="default"/>
        <w:b/>
      </w:rPr>
    </w:lvl>
    <w:lvl w:ilvl="1" w:tplc="240A0019" w:tentative="1">
      <w:start w:val="1"/>
      <w:numFmt w:val="lowerLetter"/>
      <w:lvlText w:val="%2."/>
      <w:lvlJc w:val="left"/>
      <w:pPr>
        <w:ind w:left="1450" w:hanging="360"/>
      </w:pPr>
    </w:lvl>
    <w:lvl w:ilvl="2" w:tplc="240A001B" w:tentative="1">
      <w:start w:val="1"/>
      <w:numFmt w:val="lowerRoman"/>
      <w:lvlText w:val="%3."/>
      <w:lvlJc w:val="right"/>
      <w:pPr>
        <w:ind w:left="2170" w:hanging="180"/>
      </w:pPr>
    </w:lvl>
    <w:lvl w:ilvl="3" w:tplc="240A000F" w:tentative="1">
      <w:start w:val="1"/>
      <w:numFmt w:val="decimal"/>
      <w:lvlText w:val="%4."/>
      <w:lvlJc w:val="left"/>
      <w:pPr>
        <w:ind w:left="2890" w:hanging="360"/>
      </w:pPr>
    </w:lvl>
    <w:lvl w:ilvl="4" w:tplc="240A0019" w:tentative="1">
      <w:start w:val="1"/>
      <w:numFmt w:val="lowerLetter"/>
      <w:lvlText w:val="%5."/>
      <w:lvlJc w:val="left"/>
      <w:pPr>
        <w:ind w:left="3610" w:hanging="360"/>
      </w:pPr>
    </w:lvl>
    <w:lvl w:ilvl="5" w:tplc="240A001B" w:tentative="1">
      <w:start w:val="1"/>
      <w:numFmt w:val="lowerRoman"/>
      <w:lvlText w:val="%6."/>
      <w:lvlJc w:val="right"/>
      <w:pPr>
        <w:ind w:left="4330" w:hanging="180"/>
      </w:pPr>
    </w:lvl>
    <w:lvl w:ilvl="6" w:tplc="240A000F" w:tentative="1">
      <w:start w:val="1"/>
      <w:numFmt w:val="decimal"/>
      <w:lvlText w:val="%7."/>
      <w:lvlJc w:val="left"/>
      <w:pPr>
        <w:ind w:left="5050" w:hanging="360"/>
      </w:pPr>
    </w:lvl>
    <w:lvl w:ilvl="7" w:tplc="240A0019" w:tentative="1">
      <w:start w:val="1"/>
      <w:numFmt w:val="lowerLetter"/>
      <w:lvlText w:val="%8."/>
      <w:lvlJc w:val="left"/>
      <w:pPr>
        <w:ind w:left="5770" w:hanging="360"/>
      </w:pPr>
    </w:lvl>
    <w:lvl w:ilvl="8" w:tplc="240A001B" w:tentative="1">
      <w:start w:val="1"/>
      <w:numFmt w:val="lowerRoman"/>
      <w:lvlText w:val="%9."/>
      <w:lvlJc w:val="right"/>
      <w:pPr>
        <w:ind w:left="6490" w:hanging="180"/>
      </w:pPr>
    </w:lvl>
  </w:abstractNum>
  <w:abstractNum w:abstractNumId="137">
    <w:nsid w:val="76BE2033"/>
    <w:multiLevelType w:val="hybridMultilevel"/>
    <w:tmpl w:val="0DCA71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8">
    <w:nsid w:val="773C112B"/>
    <w:multiLevelType w:val="hybridMultilevel"/>
    <w:tmpl w:val="A04E4D92"/>
    <w:lvl w:ilvl="0" w:tplc="A4D29FEC">
      <w:numFmt w:val="bullet"/>
      <w:lvlText w:val="-"/>
      <w:lvlJc w:val="left"/>
      <w:pPr>
        <w:ind w:left="1002" w:hanging="360"/>
      </w:pPr>
      <w:rPr>
        <w:rFonts w:ascii="Calibri" w:eastAsia="Calibri" w:hAnsi="Calibri" w:cs="Times New Roman" w:hint="default"/>
      </w:rPr>
    </w:lvl>
    <w:lvl w:ilvl="1" w:tplc="240A0003" w:tentative="1">
      <w:start w:val="1"/>
      <w:numFmt w:val="bullet"/>
      <w:lvlText w:val="o"/>
      <w:lvlJc w:val="left"/>
      <w:pPr>
        <w:ind w:left="1722" w:hanging="360"/>
      </w:pPr>
      <w:rPr>
        <w:rFonts w:ascii="Courier New" w:hAnsi="Courier New" w:cs="Courier New" w:hint="default"/>
      </w:rPr>
    </w:lvl>
    <w:lvl w:ilvl="2" w:tplc="240A0005" w:tentative="1">
      <w:start w:val="1"/>
      <w:numFmt w:val="bullet"/>
      <w:lvlText w:val=""/>
      <w:lvlJc w:val="left"/>
      <w:pPr>
        <w:ind w:left="2442" w:hanging="360"/>
      </w:pPr>
      <w:rPr>
        <w:rFonts w:ascii="Wingdings" w:hAnsi="Wingdings" w:hint="default"/>
      </w:rPr>
    </w:lvl>
    <w:lvl w:ilvl="3" w:tplc="240A0001" w:tentative="1">
      <w:start w:val="1"/>
      <w:numFmt w:val="bullet"/>
      <w:lvlText w:val=""/>
      <w:lvlJc w:val="left"/>
      <w:pPr>
        <w:ind w:left="3162" w:hanging="360"/>
      </w:pPr>
      <w:rPr>
        <w:rFonts w:ascii="Symbol" w:hAnsi="Symbol" w:hint="default"/>
      </w:rPr>
    </w:lvl>
    <w:lvl w:ilvl="4" w:tplc="240A0003" w:tentative="1">
      <w:start w:val="1"/>
      <w:numFmt w:val="bullet"/>
      <w:lvlText w:val="o"/>
      <w:lvlJc w:val="left"/>
      <w:pPr>
        <w:ind w:left="3882" w:hanging="360"/>
      </w:pPr>
      <w:rPr>
        <w:rFonts w:ascii="Courier New" w:hAnsi="Courier New" w:cs="Courier New" w:hint="default"/>
      </w:rPr>
    </w:lvl>
    <w:lvl w:ilvl="5" w:tplc="240A0005" w:tentative="1">
      <w:start w:val="1"/>
      <w:numFmt w:val="bullet"/>
      <w:lvlText w:val=""/>
      <w:lvlJc w:val="left"/>
      <w:pPr>
        <w:ind w:left="4602" w:hanging="360"/>
      </w:pPr>
      <w:rPr>
        <w:rFonts w:ascii="Wingdings" w:hAnsi="Wingdings" w:hint="default"/>
      </w:rPr>
    </w:lvl>
    <w:lvl w:ilvl="6" w:tplc="240A0001" w:tentative="1">
      <w:start w:val="1"/>
      <w:numFmt w:val="bullet"/>
      <w:lvlText w:val=""/>
      <w:lvlJc w:val="left"/>
      <w:pPr>
        <w:ind w:left="5322" w:hanging="360"/>
      </w:pPr>
      <w:rPr>
        <w:rFonts w:ascii="Symbol" w:hAnsi="Symbol" w:hint="default"/>
      </w:rPr>
    </w:lvl>
    <w:lvl w:ilvl="7" w:tplc="240A0003" w:tentative="1">
      <w:start w:val="1"/>
      <w:numFmt w:val="bullet"/>
      <w:lvlText w:val="o"/>
      <w:lvlJc w:val="left"/>
      <w:pPr>
        <w:ind w:left="6042" w:hanging="360"/>
      </w:pPr>
      <w:rPr>
        <w:rFonts w:ascii="Courier New" w:hAnsi="Courier New" w:cs="Courier New" w:hint="default"/>
      </w:rPr>
    </w:lvl>
    <w:lvl w:ilvl="8" w:tplc="240A0005" w:tentative="1">
      <w:start w:val="1"/>
      <w:numFmt w:val="bullet"/>
      <w:lvlText w:val=""/>
      <w:lvlJc w:val="left"/>
      <w:pPr>
        <w:ind w:left="6762" w:hanging="360"/>
      </w:pPr>
      <w:rPr>
        <w:rFonts w:ascii="Wingdings" w:hAnsi="Wingdings" w:hint="default"/>
      </w:rPr>
    </w:lvl>
  </w:abstractNum>
  <w:abstractNum w:abstractNumId="139">
    <w:nsid w:val="7796019F"/>
    <w:multiLevelType w:val="hybridMultilevel"/>
    <w:tmpl w:val="9CEA46A6"/>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40">
    <w:nsid w:val="781E67BE"/>
    <w:multiLevelType w:val="hybridMultilevel"/>
    <w:tmpl w:val="7B027E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1">
    <w:nsid w:val="791C6FD5"/>
    <w:multiLevelType w:val="hybridMultilevel"/>
    <w:tmpl w:val="1C6CDF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2">
    <w:nsid w:val="79DF3B66"/>
    <w:multiLevelType w:val="hybridMultilevel"/>
    <w:tmpl w:val="D57811D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3">
    <w:nsid w:val="7A893ECD"/>
    <w:multiLevelType w:val="hybridMultilevel"/>
    <w:tmpl w:val="8D2EA0E6"/>
    <w:lvl w:ilvl="0" w:tplc="6F36D136">
      <w:start w:val="1"/>
      <w:numFmt w:val="lowerLetter"/>
      <w:lvlText w:val="%1."/>
      <w:lvlJc w:val="left"/>
      <w:pPr>
        <w:ind w:left="1110" w:hanging="405"/>
      </w:pPr>
      <w:rPr>
        <w:rFonts w:hint="default"/>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144">
    <w:nsid w:val="7AC7033A"/>
    <w:multiLevelType w:val="multilevel"/>
    <w:tmpl w:val="C8A4E872"/>
    <w:lvl w:ilvl="0">
      <w:start w:val="1"/>
      <w:numFmt w:val="decimal"/>
      <w:lvlText w:val="%1."/>
      <w:lvlJc w:val="left"/>
      <w:pPr>
        <w:ind w:left="360" w:hanging="360"/>
      </w:pPr>
    </w:lvl>
    <w:lvl w:ilvl="1">
      <w:start w:val="3"/>
      <w:numFmt w:val="decimal"/>
      <w:isLgl/>
      <w:lvlText w:val="%1.%2"/>
      <w:lvlJc w:val="left"/>
      <w:pPr>
        <w:ind w:left="1800" w:hanging="720"/>
      </w:pPr>
      <w:rPr>
        <w:rFonts w:hint="default"/>
      </w:rPr>
    </w:lvl>
    <w:lvl w:ilvl="2">
      <w:start w:val="1"/>
      <w:numFmt w:val="decimal"/>
      <w:isLgl/>
      <w:lvlText w:val="%1.%2.%3"/>
      <w:lvlJc w:val="left"/>
      <w:pPr>
        <w:ind w:left="3240" w:hanging="1080"/>
      </w:pPr>
      <w:rPr>
        <w:rFonts w:hint="default"/>
      </w:rPr>
    </w:lvl>
    <w:lvl w:ilvl="3">
      <w:start w:val="1"/>
      <w:numFmt w:val="decimal"/>
      <w:isLgl/>
      <w:lvlText w:val="%1.%2.%3.%4"/>
      <w:lvlJc w:val="left"/>
      <w:pPr>
        <w:ind w:left="4680" w:hanging="1440"/>
      </w:pPr>
      <w:rPr>
        <w:rFonts w:hint="default"/>
      </w:rPr>
    </w:lvl>
    <w:lvl w:ilvl="4">
      <w:start w:val="1"/>
      <w:numFmt w:val="decimal"/>
      <w:isLgl/>
      <w:lvlText w:val="%1.%2.%3.%4.%5"/>
      <w:lvlJc w:val="left"/>
      <w:pPr>
        <w:ind w:left="5760" w:hanging="1440"/>
      </w:pPr>
      <w:rPr>
        <w:rFonts w:hint="default"/>
      </w:rPr>
    </w:lvl>
    <w:lvl w:ilvl="5">
      <w:start w:val="1"/>
      <w:numFmt w:val="decimal"/>
      <w:isLgl/>
      <w:lvlText w:val="%1.%2.%3.%4.%5.%6"/>
      <w:lvlJc w:val="left"/>
      <w:pPr>
        <w:ind w:left="7200" w:hanging="1800"/>
      </w:pPr>
      <w:rPr>
        <w:rFonts w:hint="default"/>
      </w:rPr>
    </w:lvl>
    <w:lvl w:ilvl="6">
      <w:start w:val="1"/>
      <w:numFmt w:val="decimal"/>
      <w:isLgl/>
      <w:lvlText w:val="%1.%2.%3.%4.%5.%6.%7"/>
      <w:lvlJc w:val="left"/>
      <w:pPr>
        <w:ind w:left="8640" w:hanging="2160"/>
      </w:pPr>
      <w:rPr>
        <w:rFonts w:hint="default"/>
      </w:rPr>
    </w:lvl>
    <w:lvl w:ilvl="7">
      <w:start w:val="1"/>
      <w:numFmt w:val="decimal"/>
      <w:isLgl/>
      <w:lvlText w:val="%1.%2.%3.%4.%5.%6.%7.%8"/>
      <w:lvlJc w:val="left"/>
      <w:pPr>
        <w:ind w:left="10080" w:hanging="2520"/>
      </w:pPr>
      <w:rPr>
        <w:rFonts w:hint="default"/>
      </w:rPr>
    </w:lvl>
    <w:lvl w:ilvl="8">
      <w:start w:val="1"/>
      <w:numFmt w:val="decimal"/>
      <w:isLgl/>
      <w:lvlText w:val="%1.%2.%3.%4.%5.%6.%7.%8.%9"/>
      <w:lvlJc w:val="left"/>
      <w:pPr>
        <w:ind w:left="11520" w:hanging="2880"/>
      </w:pPr>
      <w:rPr>
        <w:rFonts w:hint="default"/>
      </w:rPr>
    </w:lvl>
  </w:abstractNum>
  <w:abstractNum w:abstractNumId="145">
    <w:nsid w:val="7AF73844"/>
    <w:multiLevelType w:val="hybridMultilevel"/>
    <w:tmpl w:val="7D90715C"/>
    <w:lvl w:ilvl="0" w:tplc="8CAE6B10">
      <w:start w:val="1"/>
      <w:numFmt w:val="lowerRoman"/>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6">
    <w:nsid w:val="7B6E788B"/>
    <w:multiLevelType w:val="hybridMultilevel"/>
    <w:tmpl w:val="9FEE034E"/>
    <w:lvl w:ilvl="0" w:tplc="88B614F6">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7">
    <w:nsid w:val="7D654E37"/>
    <w:multiLevelType w:val="hybridMultilevel"/>
    <w:tmpl w:val="90C435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8">
    <w:nsid w:val="7E862E52"/>
    <w:multiLevelType w:val="hybridMultilevel"/>
    <w:tmpl w:val="5308ECBA"/>
    <w:lvl w:ilvl="0" w:tplc="12802A06">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9">
    <w:nsid w:val="7F471A2C"/>
    <w:multiLevelType w:val="hybridMultilevel"/>
    <w:tmpl w:val="894C8BD8"/>
    <w:lvl w:ilvl="0" w:tplc="240A0001">
      <w:start w:val="1"/>
      <w:numFmt w:val="bullet"/>
      <w:lvlText w:val=""/>
      <w:lvlJc w:val="left"/>
      <w:pPr>
        <w:tabs>
          <w:tab w:val="num" w:pos="720"/>
        </w:tabs>
        <w:ind w:left="720" w:hanging="360"/>
      </w:pPr>
      <w:rPr>
        <w:rFonts w:ascii="Symbol" w:hAnsi="Symbol" w:hint="default"/>
      </w:rPr>
    </w:lvl>
    <w:lvl w:ilvl="1" w:tplc="B358A92C" w:tentative="1">
      <w:start w:val="1"/>
      <w:numFmt w:val="decimal"/>
      <w:lvlText w:val="%2)"/>
      <w:lvlJc w:val="left"/>
      <w:pPr>
        <w:tabs>
          <w:tab w:val="num" w:pos="1440"/>
        </w:tabs>
        <w:ind w:left="1440" w:hanging="360"/>
      </w:pPr>
    </w:lvl>
    <w:lvl w:ilvl="2" w:tplc="9720488A" w:tentative="1">
      <w:start w:val="1"/>
      <w:numFmt w:val="decimal"/>
      <w:lvlText w:val="%3)"/>
      <w:lvlJc w:val="left"/>
      <w:pPr>
        <w:tabs>
          <w:tab w:val="num" w:pos="2160"/>
        </w:tabs>
        <w:ind w:left="2160" w:hanging="360"/>
      </w:pPr>
    </w:lvl>
    <w:lvl w:ilvl="3" w:tplc="5E206D8E" w:tentative="1">
      <w:start w:val="1"/>
      <w:numFmt w:val="decimal"/>
      <w:lvlText w:val="%4)"/>
      <w:lvlJc w:val="left"/>
      <w:pPr>
        <w:tabs>
          <w:tab w:val="num" w:pos="2880"/>
        </w:tabs>
        <w:ind w:left="2880" w:hanging="360"/>
      </w:pPr>
    </w:lvl>
    <w:lvl w:ilvl="4" w:tplc="6F9A0020" w:tentative="1">
      <w:start w:val="1"/>
      <w:numFmt w:val="decimal"/>
      <w:lvlText w:val="%5)"/>
      <w:lvlJc w:val="left"/>
      <w:pPr>
        <w:tabs>
          <w:tab w:val="num" w:pos="3600"/>
        </w:tabs>
        <w:ind w:left="3600" w:hanging="360"/>
      </w:pPr>
    </w:lvl>
    <w:lvl w:ilvl="5" w:tplc="2E527BDC" w:tentative="1">
      <w:start w:val="1"/>
      <w:numFmt w:val="decimal"/>
      <w:lvlText w:val="%6)"/>
      <w:lvlJc w:val="left"/>
      <w:pPr>
        <w:tabs>
          <w:tab w:val="num" w:pos="4320"/>
        </w:tabs>
        <w:ind w:left="4320" w:hanging="360"/>
      </w:pPr>
    </w:lvl>
    <w:lvl w:ilvl="6" w:tplc="07CC91BA" w:tentative="1">
      <w:start w:val="1"/>
      <w:numFmt w:val="decimal"/>
      <w:lvlText w:val="%7)"/>
      <w:lvlJc w:val="left"/>
      <w:pPr>
        <w:tabs>
          <w:tab w:val="num" w:pos="5040"/>
        </w:tabs>
        <w:ind w:left="5040" w:hanging="360"/>
      </w:pPr>
    </w:lvl>
    <w:lvl w:ilvl="7" w:tplc="F0C2E4DC" w:tentative="1">
      <w:start w:val="1"/>
      <w:numFmt w:val="decimal"/>
      <w:lvlText w:val="%8)"/>
      <w:lvlJc w:val="left"/>
      <w:pPr>
        <w:tabs>
          <w:tab w:val="num" w:pos="5760"/>
        </w:tabs>
        <w:ind w:left="5760" w:hanging="360"/>
      </w:pPr>
    </w:lvl>
    <w:lvl w:ilvl="8" w:tplc="6DDABEC0" w:tentative="1">
      <w:start w:val="1"/>
      <w:numFmt w:val="decimal"/>
      <w:lvlText w:val="%9)"/>
      <w:lvlJc w:val="left"/>
      <w:pPr>
        <w:tabs>
          <w:tab w:val="num" w:pos="6480"/>
        </w:tabs>
        <w:ind w:left="6480" w:hanging="360"/>
      </w:pPr>
    </w:lvl>
  </w:abstractNum>
  <w:abstractNum w:abstractNumId="150">
    <w:nsid w:val="7FE07EF9"/>
    <w:multiLevelType w:val="hybridMultilevel"/>
    <w:tmpl w:val="E976EBAC"/>
    <w:lvl w:ilvl="0" w:tplc="E2BC049A">
      <w:start w:val="1"/>
      <w:numFmt w:val="bullet"/>
      <w:lvlText w:val="•"/>
      <w:lvlJc w:val="left"/>
      <w:pPr>
        <w:tabs>
          <w:tab w:val="num" w:pos="720"/>
        </w:tabs>
        <w:ind w:left="720" w:hanging="360"/>
      </w:pPr>
      <w:rPr>
        <w:rFonts w:ascii="Arial" w:hAnsi="Arial" w:hint="default"/>
      </w:rPr>
    </w:lvl>
    <w:lvl w:ilvl="1" w:tplc="E8B61C84" w:tentative="1">
      <w:start w:val="1"/>
      <w:numFmt w:val="bullet"/>
      <w:lvlText w:val="•"/>
      <w:lvlJc w:val="left"/>
      <w:pPr>
        <w:tabs>
          <w:tab w:val="num" w:pos="1440"/>
        </w:tabs>
        <w:ind w:left="1440" w:hanging="360"/>
      </w:pPr>
      <w:rPr>
        <w:rFonts w:ascii="Arial" w:hAnsi="Arial" w:hint="default"/>
      </w:rPr>
    </w:lvl>
    <w:lvl w:ilvl="2" w:tplc="742C1580" w:tentative="1">
      <w:start w:val="1"/>
      <w:numFmt w:val="bullet"/>
      <w:lvlText w:val="•"/>
      <w:lvlJc w:val="left"/>
      <w:pPr>
        <w:tabs>
          <w:tab w:val="num" w:pos="2160"/>
        </w:tabs>
        <w:ind w:left="2160" w:hanging="360"/>
      </w:pPr>
      <w:rPr>
        <w:rFonts w:ascii="Arial" w:hAnsi="Arial" w:hint="default"/>
      </w:rPr>
    </w:lvl>
    <w:lvl w:ilvl="3" w:tplc="2FB0D764" w:tentative="1">
      <w:start w:val="1"/>
      <w:numFmt w:val="bullet"/>
      <w:lvlText w:val="•"/>
      <w:lvlJc w:val="left"/>
      <w:pPr>
        <w:tabs>
          <w:tab w:val="num" w:pos="2880"/>
        </w:tabs>
        <w:ind w:left="2880" w:hanging="360"/>
      </w:pPr>
      <w:rPr>
        <w:rFonts w:ascii="Arial" w:hAnsi="Arial" w:hint="default"/>
      </w:rPr>
    </w:lvl>
    <w:lvl w:ilvl="4" w:tplc="CABACB36" w:tentative="1">
      <w:start w:val="1"/>
      <w:numFmt w:val="bullet"/>
      <w:lvlText w:val="•"/>
      <w:lvlJc w:val="left"/>
      <w:pPr>
        <w:tabs>
          <w:tab w:val="num" w:pos="3600"/>
        </w:tabs>
        <w:ind w:left="3600" w:hanging="360"/>
      </w:pPr>
      <w:rPr>
        <w:rFonts w:ascii="Arial" w:hAnsi="Arial" w:hint="default"/>
      </w:rPr>
    </w:lvl>
    <w:lvl w:ilvl="5" w:tplc="5734F1DA" w:tentative="1">
      <w:start w:val="1"/>
      <w:numFmt w:val="bullet"/>
      <w:lvlText w:val="•"/>
      <w:lvlJc w:val="left"/>
      <w:pPr>
        <w:tabs>
          <w:tab w:val="num" w:pos="4320"/>
        </w:tabs>
        <w:ind w:left="4320" w:hanging="360"/>
      </w:pPr>
      <w:rPr>
        <w:rFonts w:ascii="Arial" w:hAnsi="Arial" w:hint="default"/>
      </w:rPr>
    </w:lvl>
    <w:lvl w:ilvl="6" w:tplc="015C8BC8" w:tentative="1">
      <w:start w:val="1"/>
      <w:numFmt w:val="bullet"/>
      <w:lvlText w:val="•"/>
      <w:lvlJc w:val="left"/>
      <w:pPr>
        <w:tabs>
          <w:tab w:val="num" w:pos="5040"/>
        </w:tabs>
        <w:ind w:left="5040" w:hanging="360"/>
      </w:pPr>
      <w:rPr>
        <w:rFonts w:ascii="Arial" w:hAnsi="Arial" w:hint="default"/>
      </w:rPr>
    </w:lvl>
    <w:lvl w:ilvl="7" w:tplc="FD7E88EC" w:tentative="1">
      <w:start w:val="1"/>
      <w:numFmt w:val="bullet"/>
      <w:lvlText w:val="•"/>
      <w:lvlJc w:val="left"/>
      <w:pPr>
        <w:tabs>
          <w:tab w:val="num" w:pos="5760"/>
        </w:tabs>
        <w:ind w:left="5760" w:hanging="360"/>
      </w:pPr>
      <w:rPr>
        <w:rFonts w:ascii="Arial" w:hAnsi="Arial" w:hint="default"/>
      </w:rPr>
    </w:lvl>
    <w:lvl w:ilvl="8" w:tplc="58F6648A" w:tentative="1">
      <w:start w:val="1"/>
      <w:numFmt w:val="bullet"/>
      <w:lvlText w:val="•"/>
      <w:lvlJc w:val="left"/>
      <w:pPr>
        <w:tabs>
          <w:tab w:val="num" w:pos="6480"/>
        </w:tabs>
        <w:ind w:left="6480" w:hanging="360"/>
      </w:pPr>
      <w:rPr>
        <w:rFonts w:ascii="Arial" w:hAnsi="Arial" w:hint="default"/>
      </w:rPr>
    </w:lvl>
  </w:abstractNum>
  <w:num w:numId="1">
    <w:abstractNumId w:val="24"/>
  </w:num>
  <w:num w:numId="2">
    <w:abstractNumId w:val="83"/>
  </w:num>
  <w:num w:numId="3">
    <w:abstractNumId w:val="48"/>
  </w:num>
  <w:num w:numId="4">
    <w:abstractNumId w:val="89"/>
  </w:num>
  <w:num w:numId="5">
    <w:abstractNumId w:val="115"/>
  </w:num>
  <w:num w:numId="6">
    <w:abstractNumId w:val="101"/>
  </w:num>
  <w:num w:numId="7">
    <w:abstractNumId w:val="19"/>
  </w:num>
  <w:num w:numId="8">
    <w:abstractNumId w:val="136"/>
  </w:num>
  <w:num w:numId="9">
    <w:abstractNumId w:val="35"/>
  </w:num>
  <w:num w:numId="10">
    <w:abstractNumId w:val="78"/>
  </w:num>
  <w:num w:numId="11">
    <w:abstractNumId w:val="40"/>
  </w:num>
  <w:num w:numId="12">
    <w:abstractNumId w:val="70"/>
  </w:num>
  <w:num w:numId="13">
    <w:abstractNumId w:val="71"/>
  </w:num>
  <w:num w:numId="14">
    <w:abstractNumId w:val="1"/>
  </w:num>
  <w:num w:numId="15">
    <w:abstractNumId w:val="13"/>
  </w:num>
  <w:num w:numId="16">
    <w:abstractNumId w:val="125"/>
  </w:num>
  <w:num w:numId="17">
    <w:abstractNumId w:val="133"/>
  </w:num>
  <w:num w:numId="18">
    <w:abstractNumId w:val="144"/>
  </w:num>
  <w:num w:numId="19">
    <w:abstractNumId w:val="96"/>
  </w:num>
  <w:num w:numId="20">
    <w:abstractNumId w:val="94"/>
  </w:num>
  <w:num w:numId="21">
    <w:abstractNumId w:val="79"/>
  </w:num>
  <w:num w:numId="22">
    <w:abstractNumId w:val="113"/>
  </w:num>
  <w:num w:numId="23">
    <w:abstractNumId w:val="28"/>
  </w:num>
  <w:num w:numId="24">
    <w:abstractNumId w:val="16"/>
  </w:num>
  <w:num w:numId="25">
    <w:abstractNumId w:val="6"/>
  </w:num>
  <w:num w:numId="26">
    <w:abstractNumId w:val="66"/>
  </w:num>
  <w:num w:numId="27">
    <w:abstractNumId w:val="69"/>
  </w:num>
  <w:num w:numId="28">
    <w:abstractNumId w:val="128"/>
  </w:num>
  <w:num w:numId="29">
    <w:abstractNumId w:val="80"/>
  </w:num>
  <w:num w:numId="30">
    <w:abstractNumId w:val="42"/>
  </w:num>
  <w:num w:numId="31">
    <w:abstractNumId w:val="64"/>
  </w:num>
  <w:num w:numId="32">
    <w:abstractNumId w:val="18"/>
  </w:num>
  <w:num w:numId="33">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7"/>
  </w:num>
  <w:num w:numId="35">
    <w:abstractNumId w:val="147"/>
  </w:num>
  <w:num w:numId="36">
    <w:abstractNumId w:val="105"/>
  </w:num>
  <w:num w:numId="37">
    <w:abstractNumId w:val="37"/>
  </w:num>
  <w:num w:numId="38">
    <w:abstractNumId w:val="112"/>
  </w:num>
  <w:num w:numId="39">
    <w:abstractNumId w:val="97"/>
  </w:num>
  <w:num w:numId="40">
    <w:abstractNumId w:val="139"/>
  </w:num>
  <w:num w:numId="41">
    <w:abstractNumId w:val="106"/>
  </w:num>
  <w:num w:numId="42">
    <w:abstractNumId w:val="0"/>
  </w:num>
  <w:num w:numId="43">
    <w:abstractNumId w:val="26"/>
  </w:num>
  <w:num w:numId="44">
    <w:abstractNumId w:val="132"/>
  </w:num>
  <w:num w:numId="45">
    <w:abstractNumId w:val="130"/>
  </w:num>
  <w:num w:numId="46">
    <w:abstractNumId w:val="135"/>
  </w:num>
  <w:num w:numId="47">
    <w:abstractNumId w:val="92"/>
  </w:num>
  <w:num w:numId="48">
    <w:abstractNumId w:val="30"/>
  </w:num>
  <w:num w:numId="49">
    <w:abstractNumId w:val="5"/>
  </w:num>
  <w:num w:numId="50">
    <w:abstractNumId w:val="126"/>
  </w:num>
  <w:num w:numId="51">
    <w:abstractNumId w:val="32"/>
  </w:num>
  <w:num w:numId="52">
    <w:abstractNumId w:val="141"/>
  </w:num>
  <w:num w:numId="53">
    <w:abstractNumId w:val="90"/>
  </w:num>
  <w:num w:numId="54">
    <w:abstractNumId w:val="142"/>
  </w:num>
  <w:num w:numId="55">
    <w:abstractNumId w:val="81"/>
  </w:num>
  <w:num w:numId="56">
    <w:abstractNumId w:val="54"/>
  </w:num>
  <w:num w:numId="57">
    <w:abstractNumId w:val="60"/>
  </w:num>
  <w:num w:numId="58">
    <w:abstractNumId w:val="36"/>
  </w:num>
  <w:num w:numId="59">
    <w:abstractNumId w:val="27"/>
  </w:num>
  <w:num w:numId="60">
    <w:abstractNumId w:val="95"/>
  </w:num>
  <w:num w:numId="61">
    <w:abstractNumId w:val="51"/>
  </w:num>
  <w:num w:numId="62">
    <w:abstractNumId w:val="111"/>
  </w:num>
  <w:num w:numId="63">
    <w:abstractNumId w:val="103"/>
  </w:num>
  <w:num w:numId="64">
    <w:abstractNumId w:val="145"/>
  </w:num>
  <w:num w:numId="65">
    <w:abstractNumId w:val="45"/>
  </w:num>
  <w:num w:numId="66">
    <w:abstractNumId w:val="120"/>
  </w:num>
  <w:num w:numId="67">
    <w:abstractNumId w:val="58"/>
  </w:num>
  <w:num w:numId="68">
    <w:abstractNumId w:val="110"/>
  </w:num>
  <w:num w:numId="69">
    <w:abstractNumId w:val="116"/>
  </w:num>
  <w:num w:numId="70">
    <w:abstractNumId w:val="100"/>
  </w:num>
  <w:num w:numId="71">
    <w:abstractNumId w:val="62"/>
  </w:num>
  <w:num w:numId="72">
    <w:abstractNumId w:val="68"/>
  </w:num>
  <w:num w:numId="73">
    <w:abstractNumId w:val="59"/>
  </w:num>
  <w:num w:numId="74">
    <w:abstractNumId w:val="57"/>
  </w:num>
  <w:num w:numId="75">
    <w:abstractNumId w:val="74"/>
  </w:num>
  <w:num w:numId="76">
    <w:abstractNumId w:val="122"/>
  </w:num>
  <w:num w:numId="77">
    <w:abstractNumId w:val="21"/>
  </w:num>
  <w:num w:numId="78">
    <w:abstractNumId w:val="65"/>
  </w:num>
  <w:num w:numId="79">
    <w:abstractNumId w:val="127"/>
  </w:num>
  <w:num w:numId="80">
    <w:abstractNumId w:val="2"/>
  </w:num>
  <w:num w:numId="81">
    <w:abstractNumId w:val="118"/>
  </w:num>
  <w:num w:numId="82">
    <w:abstractNumId w:val="61"/>
  </w:num>
  <w:num w:numId="83">
    <w:abstractNumId w:val="148"/>
  </w:num>
  <w:num w:numId="84">
    <w:abstractNumId w:val="150"/>
  </w:num>
  <w:num w:numId="85">
    <w:abstractNumId w:val="88"/>
  </w:num>
  <w:num w:numId="86">
    <w:abstractNumId w:val="143"/>
  </w:num>
  <w:num w:numId="87">
    <w:abstractNumId w:val="84"/>
  </w:num>
  <w:num w:numId="88">
    <w:abstractNumId w:val="146"/>
  </w:num>
  <w:num w:numId="89">
    <w:abstractNumId w:val="53"/>
  </w:num>
  <w:num w:numId="90">
    <w:abstractNumId w:val="72"/>
  </w:num>
  <w:num w:numId="91">
    <w:abstractNumId w:val="12"/>
  </w:num>
  <w:num w:numId="92">
    <w:abstractNumId w:val="149"/>
  </w:num>
  <w:num w:numId="93">
    <w:abstractNumId w:val="52"/>
  </w:num>
  <w:num w:numId="94">
    <w:abstractNumId w:val="3"/>
  </w:num>
  <w:num w:numId="95">
    <w:abstractNumId w:val="47"/>
  </w:num>
  <w:num w:numId="96">
    <w:abstractNumId w:val="38"/>
  </w:num>
  <w:num w:numId="97">
    <w:abstractNumId w:val="56"/>
  </w:num>
  <w:num w:numId="98">
    <w:abstractNumId w:val="15"/>
  </w:num>
  <w:num w:numId="99">
    <w:abstractNumId w:val="20"/>
  </w:num>
  <w:num w:numId="100">
    <w:abstractNumId w:val="41"/>
  </w:num>
  <w:num w:numId="101">
    <w:abstractNumId w:val="43"/>
  </w:num>
  <w:num w:numId="102">
    <w:abstractNumId w:val="55"/>
  </w:num>
  <w:num w:numId="103">
    <w:abstractNumId w:val="67"/>
  </w:num>
  <w:num w:numId="104">
    <w:abstractNumId w:val="23"/>
  </w:num>
  <w:num w:numId="105">
    <w:abstractNumId w:val="129"/>
  </w:num>
  <w:num w:numId="106">
    <w:abstractNumId w:val="98"/>
  </w:num>
  <w:num w:numId="107">
    <w:abstractNumId w:val="123"/>
  </w:num>
  <w:num w:numId="108">
    <w:abstractNumId w:val="34"/>
  </w:num>
  <w:num w:numId="109">
    <w:abstractNumId w:val="85"/>
  </w:num>
  <w:num w:numId="110">
    <w:abstractNumId w:val="8"/>
  </w:num>
  <w:num w:numId="111">
    <w:abstractNumId w:val="33"/>
  </w:num>
  <w:num w:numId="112">
    <w:abstractNumId w:val="140"/>
  </w:num>
  <w:num w:numId="113">
    <w:abstractNumId w:val="108"/>
  </w:num>
  <w:num w:numId="114">
    <w:abstractNumId w:val="124"/>
  </w:num>
  <w:num w:numId="115">
    <w:abstractNumId w:val="50"/>
  </w:num>
  <w:num w:numId="116">
    <w:abstractNumId w:val="31"/>
  </w:num>
  <w:num w:numId="117">
    <w:abstractNumId w:val="49"/>
  </w:num>
  <w:num w:numId="118">
    <w:abstractNumId w:val="7"/>
  </w:num>
  <w:num w:numId="119">
    <w:abstractNumId w:val="104"/>
  </w:num>
  <w:num w:numId="120">
    <w:abstractNumId w:val="114"/>
  </w:num>
  <w:num w:numId="121">
    <w:abstractNumId w:val="25"/>
  </w:num>
  <w:num w:numId="122">
    <w:abstractNumId w:val="10"/>
  </w:num>
  <w:num w:numId="123">
    <w:abstractNumId w:val="117"/>
  </w:num>
  <w:num w:numId="124">
    <w:abstractNumId w:val="46"/>
  </w:num>
  <w:num w:numId="125">
    <w:abstractNumId w:val="4"/>
  </w:num>
  <w:num w:numId="126">
    <w:abstractNumId w:val="29"/>
  </w:num>
  <w:num w:numId="127">
    <w:abstractNumId w:val="86"/>
  </w:num>
  <w:num w:numId="128">
    <w:abstractNumId w:val="138"/>
  </w:num>
  <w:num w:numId="129">
    <w:abstractNumId w:val="137"/>
  </w:num>
  <w:num w:numId="130">
    <w:abstractNumId w:val="121"/>
  </w:num>
  <w:num w:numId="131">
    <w:abstractNumId w:val="134"/>
  </w:num>
  <w:num w:numId="132">
    <w:abstractNumId w:val="14"/>
  </w:num>
  <w:num w:numId="133">
    <w:abstractNumId w:val="44"/>
  </w:num>
  <w:num w:numId="13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9"/>
  </w:num>
  <w:num w:numId="136">
    <w:abstractNumId w:val="99"/>
  </w:num>
  <w:num w:numId="137">
    <w:abstractNumId w:val="87"/>
  </w:num>
  <w:num w:numId="138">
    <w:abstractNumId w:val="76"/>
  </w:num>
  <w:num w:numId="139">
    <w:abstractNumId w:val="73"/>
  </w:num>
  <w:num w:numId="140">
    <w:abstractNumId w:val="9"/>
  </w:num>
  <w:num w:numId="141">
    <w:abstractNumId w:val="109"/>
  </w:num>
  <w:num w:numId="142">
    <w:abstractNumId w:val="107"/>
  </w:num>
  <w:num w:numId="143">
    <w:abstractNumId w:val="63"/>
  </w:num>
  <w:num w:numId="144">
    <w:abstractNumId w:val="75"/>
  </w:num>
  <w:num w:numId="145">
    <w:abstractNumId w:val="102"/>
  </w:num>
  <w:num w:numId="146">
    <w:abstractNumId w:val="131"/>
  </w:num>
  <w:num w:numId="147">
    <w:abstractNumId w:val="17"/>
  </w:num>
  <w:num w:numId="148">
    <w:abstractNumId w:val="119"/>
  </w:num>
  <w:num w:numId="149">
    <w:abstractNumId w:val="22"/>
  </w:num>
  <w:num w:numId="150">
    <w:abstractNumId w:val="82"/>
  </w:num>
  <w:num w:numId="151">
    <w:abstractNumId w:val="91"/>
  </w:num>
  <w:num w:numId="152">
    <w:abstractNumId w:val="93"/>
  </w:num>
  <w:num w:numId="153">
    <w:abstractNumId w:val="101"/>
  </w:num>
  <w:numIdMacAtCleanup w:val="1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50178"/>
  </w:hdrShapeDefaults>
  <w:footnotePr>
    <w:footnote w:id="-1"/>
    <w:footnote w:id="0"/>
  </w:footnotePr>
  <w:endnotePr>
    <w:endnote w:id="-1"/>
    <w:endnote w:id="0"/>
  </w:endnotePr>
  <w:compat/>
  <w:rsids>
    <w:rsidRoot w:val="00D61C44"/>
    <w:rsid w:val="0001325C"/>
    <w:rsid w:val="000210B6"/>
    <w:rsid w:val="0003107F"/>
    <w:rsid w:val="000351B9"/>
    <w:rsid w:val="00035BCC"/>
    <w:rsid w:val="000451EF"/>
    <w:rsid w:val="00045A66"/>
    <w:rsid w:val="00052794"/>
    <w:rsid w:val="000665A7"/>
    <w:rsid w:val="000709B8"/>
    <w:rsid w:val="00071815"/>
    <w:rsid w:val="0007719D"/>
    <w:rsid w:val="00085EA1"/>
    <w:rsid w:val="00090E64"/>
    <w:rsid w:val="00095026"/>
    <w:rsid w:val="000A27BA"/>
    <w:rsid w:val="000A7DE8"/>
    <w:rsid w:val="000B1CBE"/>
    <w:rsid w:val="000B3154"/>
    <w:rsid w:val="000B7DA4"/>
    <w:rsid w:val="000C569D"/>
    <w:rsid w:val="000C6B1A"/>
    <w:rsid w:val="000C6E91"/>
    <w:rsid w:val="000C7DB5"/>
    <w:rsid w:val="000E02AC"/>
    <w:rsid w:val="000E611D"/>
    <w:rsid w:val="000F075B"/>
    <w:rsid w:val="000F0D20"/>
    <w:rsid w:val="00112603"/>
    <w:rsid w:val="00114EC3"/>
    <w:rsid w:val="00121164"/>
    <w:rsid w:val="00126BC7"/>
    <w:rsid w:val="00136D7F"/>
    <w:rsid w:val="001404C1"/>
    <w:rsid w:val="00141D2F"/>
    <w:rsid w:val="001624F8"/>
    <w:rsid w:val="00175410"/>
    <w:rsid w:val="0018199F"/>
    <w:rsid w:val="00183A37"/>
    <w:rsid w:val="001845DC"/>
    <w:rsid w:val="001928B9"/>
    <w:rsid w:val="001B5C9C"/>
    <w:rsid w:val="001C4011"/>
    <w:rsid w:val="001D1B67"/>
    <w:rsid w:val="001F1B2D"/>
    <w:rsid w:val="001F35BA"/>
    <w:rsid w:val="00201A56"/>
    <w:rsid w:val="00202423"/>
    <w:rsid w:val="00202568"/>
    <w:rsid w:val="0020509F"/>
    <w:rsid w:val="00245DBC"/>
    <w:rsid w:val="00252FE2"/>
    <w:rsid w:val="00260446"/>
    <w:rsid w:val="00262FBE"/>
    <w:rsid w:val="00291250"/>
    <w:rsid w:val="002942DA"/>
    <w:rsid w:val="002955B2"/>
    <w:rsid w:val="0029650D"/>
    <w:rsid w:val="002A4ED0"/>
    <w:rsid w:val="002B617A"/>
    <w:rsid w:val="002C6903"/>
    <w:rsid w:val="002E7A21"/>
    <w:rsid w:val="0030256A"/>
    <w:rsid w:val="00304AB7"/>
    <w:rsid w:val="003275B3"/>
    <w:rsid w:val="00334E15"/>
    <w:rsid w:val="00343695"/>
    <w:rsid w:val="00344E7A"/>
    <w:rsid w:val="003641F7"/>
    <w:rsid w:val="00365BD5"/>
    <w:rsid w:val="00371486"/>
    <w:rsid w:val="003860AD"/>
    <w:rsid w:val="00387FA3"/>
    <w:rsid w:val="003A12D7"/>
    <w:rsid w:val="003B1BD8"/>
    <w:rsid w:val="003B4063"/>
    <w:rsid w:val="003E4C39"/>
    <w:rsid w:val="003F0CD2"/>
    <w:rsid w:val="00406876"/>
    <w:rsid w:val="004102F2"/>
    <w:rsid w:val="00421025"/>
    <w:rsid w:val="00421F33"/>
    <w:rsid w:val="00422A18"/>
    <w:rsid w:val="004273AC"/>
    <w:rsid w:val="004467BD"/>
    <w:rsid w:val="00447B54"/>
    <w:rsid w:val="00451818"/>
    <w:rsid w:val="00456C99"/>
    <w:rsid w:val="0046368D"/>
    <w:rsid w:val="00480DD2"/>
    <w:rsid w:val="00482241"/>
    <w:rsid w:val="004A4C17"/>
    <w:rsid w:val="004A59A7"/>
    <w:rsid w:val="004C3A40"/>
    <w:rsid w:val="004D5E37"/>
    <w:rsid w:val="0051259B"/>
    <w:rsid w:val="005228F6"/>
    <w:rsid w:val="00527D5D"/>
    <w:rsid w:val="00540515"/>
    <w:rsid w:val="00554E96"/>
    <w:rsid w:val="00563941"/>
    <w:rsid w:val="0057317C"/>
    <w:rsid w:val="005752D9"/>
    <w:rsid w:val="00577B45"/>
    <w:rsid w:val="00581D8C"/>
    <w:rsid w:val="00582BDE"/>
    <w:rsid w:val="00587AF7"/>
    <w:rsid w:val="00590A4C"/>
    <w:rsid w:val="005B5E5A"/>
    <w:rsid w:val="005E4047"/>
    <w:rsid w:val="006066E0"/>
    <w:rsid w:val="00624618"/>
    <w:rsid w:val="0062605A"/>
    <w:rsid w:val="00632603"/>
    <w:rsid w:val="006338B3"/>
    <w:rsid w:val="006357F7"/>
    <w:rsid w:val="0063678D"/>
    <w:rsid w:val="00636B9E"/>
    <w:rsid w:val="00670FC0"/>
    <w:rsid w:val="00675A1D"/>
    <w:rsid w:val="0068394B"/>
    <w:rsid w:val="006A3135"/>
    <w:rsid w:val="006B134A"/>
    <w:rsid w:val="006D0712"/>
    <w:rsid w:val="006D37DF"/>
    <w:rsid w:val="006D562B"/>
    <w:rsid w:val="006D6D48"/>
    <w:rsid w:val="006E26D3"/>
    <w:rsid w:val="006E271C"/>
    <w:rsid w:val="006F3381"/>
    <w:rsid w:val="006F3FAA"/>
    <w:rsid w:val="00701F38"/>
    <w:rsid w:val="007037E8"/>
    <w:rsid w:val="007060A3"/>
    <w:rsid w:val="007103A8"/>
    <w:rsid w:val="00710FD0"/>
    <w:rsid w:val="007134E1"/>
    <w:rsid w:val="00727A10"/>
    <w:rsid w:val="00730D45"/>
    <w:rsid w:val="00730DAA"/>
    <w:rsid w:val="00733405"/>
    <w:rsid w:val="007406CB"/>
    <w:rsid w:val="00756EE8"/>
    <w:rsid w:val="007633C4"/>
    <w:rsid w:val="0077363A"/>
    <w:rsid w:val="00781F53"/>
    <w:rsid w:val="00785BA3"/>
    <w:rsid w:val="007C60AE"/>
    <w:rsid w:val="007D5E94"/>
    <w:rsid w:val="007E04A2"/>
    <w:rsid w:val="008030FF"/>
    <w:rsid w:val="0084364F"/>
    <w:rsid w:val="008461D7"/>
    <w:rsid w:val="00856632"/>
    <w:rsid w:val="00861830"/>
    <w:rsid w:val="008673D2"/>
    <w:rsid w:val="00880A32"/>
    <w:rsid w:val="0088494C"/>
    <w:rsid w:val="008A204F"/>
    <w:rsid w:val="008D1841"/>
    <w:rsid w:val="008D4B99"/>
    <w:rsid w:val="008F0BBE"/>
    <w:rsid w:val="00905C49"/>
    <w:rsid w:val="0091035C"/>
    <w:rsid w:val="009136F5"/>
    <w:rsid w:val="0091703C"/>
    <w:rsid w:val="00924F1D"/>
    <w:rsid w:val="00926AC6"/>
    <w:rsid w:val="00941472"/>
    <w:rsid w:val="00946FB8"/>
    <w:rsid w:val="00950CCB"/>
    <w:rsid w:val="009970B9"/>
    <w:rsid w:val="009B0805"/>
    <w:rsid w:val="009B12B6"/>
    <w:rsid w:val="009D510B"/>
    <w:rsid w:val="009F2EFE"/>
    <w:rsid w:val="00A131D0"/>
    <w:rsid w:val="00A16661"/>
    <w:rsid w:val="00A173A7"/>
    <w:rsid w:val="00A2165D"/>
    <w:rsid w:val="00A269C5"/>
    <w:rsid w:val="00A3293E"/>
    <w:rsid w:val="00A554A7"/>
    <w:rsid w:val="00A67F92"/>
    <w:rsid w:val="00A70231"/>
    <w:rsid w:val="00A8120E"/>
    <w:rsid w:val="00A8743C"/>
    <w:rsid w:val="00A92923"/>
    <w:rsid w:val="00AA0FE4"/>
    <w:rsid w:val="00AA2A01"/>
    <w:rsid w:val="00AB08E1"/>
    <w:rsid w:val="00AB50A7"/>
    <w:rsid w:val="00AC6E97"/>
    <w:rsid w:val="00AF25A4"/>
    <w:rsid w:val="00AF6200"/>
    <w:rsid w:val="00B04FE5"/>
    <w:rsid w:val="00B07B1A"/>
    <w:rsid w:val="00B410EA"/>
    <w:rsid w:val="00B46760"/>
    <w:rsid w:val="00B531F8"/>
    <w:rsid w:val="00B716AE"/>
    <w:rsid w:val="00B722F2"/>
    <w:rsid w:val="00B72B7B"/>
    <w:rsid w:val="00B81369"/>
    <w:rsid w:val="00B8606D"/>
    <w:rsid w:val="00BB2547"/>
    <w:rsid w:val="00BB6307"/>
    <w:rsid w:val="00BD4C94"/>
    <w:rsid w:val="00BE7181"/>
    <w:rsid w:val="00BF2948"/>
    <w:rsid w:val="00BF7A04"/>
    <w:rsid w:val="00C00566"/>
    <w:rsid w:val="00C01297"/>
    <w:rsid w:val="00C10531"/>
    <w:rsid w:val="00C138D3"/>
    <w:rsid w:val="00C16A2F"/>
    <w:rsid w:val="00C206A3"/>
    <w:rsid w:val="00C237EC"/>
    <w:rsid w:val="00C23F75"/>
    <w:rsid w:val="00C26407"/>
    <w:rsid w:val="00C272DA"/>
    <w:rsid w:val="00C310DF"/>
    <w:rsid w:val="00C42C2B"/>
    <w:rsid w:val="00C43F72"/>
    <w:rsid w:val="00C4448E"/>
    <w:rsid w:val="00C52E41"/>
    <w:rsid w:val="00C55AA5"/>
    <w:rsid w:val="00C6348B"/>
    <w:rsid w:val="00C644B9"/>
    <w:rsid w:val="00C746F3"/>
    <w:rsid w:val="00C75A93"/>
    <w:rsid w:val="00C941C8"/>
    <w:rsid w:val="00CA5BEE"/>
    <w:rsid w:val="00CB2497"/>
    <w:rsid w:val="00CB5CC4"/>
    <w:rsid w:val="00CC5A15"/>
    <w:rsid w:val="00CC6CED"/>
    <w:rsid w:val="00CE0320"/>
    <w:rsid w:val="00CE5147"/>
    <w:rsid w:val="00CE5E8F"/>
    <w:rsid w:val="00D04816"/>
    <w:rsid w:val="00D0498B"/>
    <w:rsid w:val="00D11249"/>
    <w:rsid w:val="00D22D28"/>
    <w:rsid w:val="00D509E5"/>
    <w:rsid w:val="00D61C44"/>
    <w:rsid w:val="00D645DC"/>
    <w:rsid w:val="00D65E7D"/>
    <w:rsid w:val="00D7418A"/>
    <w:rsid w:val="00D7691A"/>
    <w:rsid w:val="00D95407"/>
    <w:rsid w:val="00DA252E"/>
    <w:rsid w:val="00DA7572"/>
    <w:rsid w:val="00DB1E86"/>
    <w:rsid w:val="00DC0BE0"/>
    <w:rsid w:val="00DC3BD4"/>
    <w:rsid w:val="00DE1882"/>
    <w:rsid w:val="00DE3523"/>
    <w:rsid w:val="00DE37A9"/>
    <w:rsid w:val="00DE3DD3"/>
    <w:rsid w:val="00DF1405"/>
    <w:rsid w:val="00E02C2C"/>
    <w:rsid w:val="00E03ACF"/>
    <w:rsid w:val="00E03F3E"/>
    <w:rsid w:val="00E21452"/>
    <w:rsid w:val="00E25DCE"/>
    <w:rsid w:val="00E25E23"/>
    <w:rsid w:val="00E65994"/>
    <w:rsid w:val="00E67EC2"/>
    <w:rsid w:val="00E71755"/>
    <w:rsid w:val="00E91953"/>
    <w:rsid w:val="00E955C4"/>
    <w:rsid w:val="00EA38E9"/>
    <w:rsid w:val="00EA3D8C"/>
    <w:rsid w:val="00EB21C6"/>
    <w:rsid w:val="00EB5A3E"/>
    <w:rsid w:val="00EB69A8"/>
    <w:rsid w:val="00EC7161"/>
    <w:rsid w:val="00ED3797"/>
    <w:rsid w:val="00ED5BC1"/>
    <w:rsid w:val="00F0058E"/>
    <w:rsid w:val="00F02FE0"/>
    <w:rsid w:val="00F10E52"/>
    <w:rsid w:val="00F1234C"/>
    <w:rsid w:val="00F3007F"/>
    <w:rsid w:val="00F309B6"/>
    <w:rsid w:val="00F33CF6"/>
    <w:rsid w:val="00F44A26"/>
    <w:rsid w:val="00F54748"/>
    <w:rsid w:val="00F54C5D"/>
    <w:rsid w:val="00FB3A07"/>
    <w:rsid w:val="00FB4B77"/>
    <w:rsid w:val="00FC7F0E"/>
    <w:rsid w:val="00FE1DC2"/>
    <w:rsid w:val="00FE71FF"/>
    <w:rsid w:val="00FF784D"/>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381"/>
  </w:style>
  <w:style w:type="paragraph" w:styleId="Ttulo1">
    <w:name w:val="heading 1"/>
    <w:basedOn w:val="Normal"/>
    <w:next w:val="Normal"/>
    <w:link w:val="Ttulo1Car"/>
    <w:uiPriority w:val="9"/>
    <w:qFormat/>
    <w:rsid w:val="00DA252E"/>
    <w:pPr>
      <w:keepNext/>
      <w:spacing w:before="240" w:after="60"/>
      <w:outlineLvl w:val="0"/>
    </w:pPr>
    <w:rPr>
      <w:rFonts w:ascii="Cambria" w:eastAsia="Times New Roman" w:hAnsi="Cambria" w:cs="Times New Roman"/>
      <w:b/>
      <w:bCs/>
      <w:kern w:val="32"/>
      <w:sz w:val="32"/>
      <w:szCs w:val="32"/>
    </w:rPr>
  </w:style>
  <w:style w:type="paragraph" w:styleId="Ttulo2">
    <w:name w:val="heading 2"/>
    <w:basedOn w:val="Normal"/>
    <w:next w:val="Normal"/>
    <w:link w:val="Ttulo2Car"/>
    <w:uiPriority w:val="9"/>
    <w:unhideWhenUsed/>
    <w:qFormat/>
    <w:rsid w:val="00DA252E"/>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unhideWhenUsed/>
    <w:qFormat/>
    <w:rsid w:val="00DA252E"/>
    <w:pPr>
      <w:keepNext/>
      <w:spacing w:before="240" w:after="60"/>
      <w:outlineLvl w:val="2"/>
    </w:pPr>
    <w:rPr>
      <w:rFonts w:ascii="Cambria" w:eastAsia="Times New Roman" w:hAnsi="Cambria" w:cs="Times New Roman"/>
      <w:b/>
      <w:bCs/>
      <w:sz w:val="26"/>
      <w:szCs w:val="26"/>
    </w:rPr>
  </w:style>
  <w:style w:type="paragraph" w:styleId="Ttulo4">
    <w:name w:val="heading 4"/>
    <w:basedOn w:val="Normal"/>
    <w:next w:val="Normal"/>
    <w:link w:val="Ttulo4Car"/>
    <w:uiPriority w:val="9"/>
    <w:unhideWhenUsed/>
    <w:qFormat/>
    <w:rsid w:val="00DA252E"/>
    <w:pPr>
      <w:spacing w:after="0" w:line="271" w:lineRule="auto"/>
      <w:outlineLvl w:val="3"/>
    </w:pPr>
    <w:rPr>
      <w:rFonts w:ascii="Verdana" w:eastAsia="Times New Roman" w:hAnsi="Verdana" w:cs="Times New Roman"/>
      <w:b/>
      <w:bCs/>
      <w:spacing w:val="5"/>
      <w:szCs w:val="24"/>
      <w:lang w:eastAsia="es-CO"/>
    </w:rPr>
  </w:style>
  <w:style w:type="paragraph" w:styleId="Ttulo5">
    <w:name w:val="heading 5"/>
    <w:basedOn w:val="Normal"/>
    <w:next w:val="Normal"/>
    <w:link w:val="Ttulo5Car"/>
    <w:uiPriority w:val="9"/>
    <w:unhideWhenUsed/>
    <w:qFormat/>
    <w:rsid w:val="00785BA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A252E"/>
    <w:rPr>
      <w:rFonts w:ascii="Cambria" w:eastAsia="Times New Roman" w:hAnsi="Cambria" w:cs="Times New Roman"/>
      <w:b/>
      <w:bCs/>
      <w:kern w:val="32"/>
      <w:sz w:val="32"/>
      <w:szCs w:val="32"/>
    </w:rPr>
  </w:style>
  <w:style w:type="character" w:customStyle="1" w:styleId="Ttulo2Car">
    <w:name w:val="Título 2 Car"/>
    <w:basedOn w:val="Fuentedeprrafopredeter"/>
    <w:link w:val="Ttulo2"/>
    <w:uiPriority w:val="9"/>
    <w:rsid w:val="00DA252E"/>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DA252E"/>
    <w:rPr>
      <w:rFonts w:ascii="Cambria" w:eastAsia="Times New Roman" w:hAnsi="Cambria" w:cs="Times New Roman"/>
      <w:b/>
      <w:bCs/>
      <w:sz w:val="26"/>
      <w:szCs w:val="26"/>
    </w:rPr>
  </w:style>
  <w:style w:type="character" w:customStyle="1" w:styleId="Ttulo4Car">
    <w:name w:val="Título 4 Car"/>
    <w:basedOn w:val="Fuentedeprrafopredeter"/>
    <w:link w:val="Ttulo4"/>
    <w:uiPriority w:val="9"/>
    <w:rsid w:val="00DA252E"/>
    <w:rPr>
      <w:rFonts w:ascii="Verdana" w:eastAsia="Times New Roman" w:hAnsi="Verdana" w:cs="Times New Roman"/>
      <w:b/>
      <w:bCs/>
      <w:spacing w:val="5"/>
      <w:szCs w:val="24"/>
      <w:lang w:eastAsia="es-CO"/>
    </w:rPr>
  </w:style>
  <w:style w:type="character" w:customStyle="1" w:styleId="Ttulo5Car">
    <w:name w:val="Título 5 Car"/>
    <w:basedOn w:val="Fuentedeprrafopredeter"/>
    <w:link w:val="Ttulo5"/>
    <w:uiPriority w:val="9"/>
    <w:rsid w:val="00785BA3"/>
    <w:rPr>
      <w:rFonts w:asciiTheme="majorHAnsi" w:eastAsiaTheme="majorEastAsia" w:hAnsiTheme="majorHAnsi" w:cstheme="majorBidi"/>
      <w:color w:val="243F60" w:themeColor="accent1" w:themeShade="7F"/>
    </w:rPr>
  </w:style>
  <w:style w:type="paragraph" w:customStyle="1" w:styleId="Default">
    <w:name w:val="Default"/>
    <w:link w:val="DefaultCar"/>
    <w:rsid w:val="001404C1"/>
    <w:pPr>
      <w:autoSpaceDE w:val="0"/>
      <w:autoSpaceDN w:val="0"/>
      <w:adjustRightInd w:val="0"/>
      <w:spacing w:after="0" w:line="240" w:lineRule="auto"/>
    </w:pPr>
    <w:rPr>
      <w:rFonts w:ascii="Segoe UI" w:hAnsi="Segoe UI" w:cs="Segoe UI"/>
      <w:color w:val="000000"/>
      <w:sz w:val="24"/>
      <w:szCs w:val="24"/>
    </w:rPr>
  </w:style>
  <w:style w:type="character" w:customStyle="1" w:styleId="DefaultCar">
    <w:name w:val="Default Car"/>
    <w:link w:val="Default"/>
    <w:locked/>
    <w:rsid w:val="00482241"/>
    <w:rPr>
      <w:rFonts w:ascii="Segoe UI" w:hAnsi="Segoe UI" w:cs="Segoe UI"/>
      <w:color w:val="000000"/>
      <w:sz w:val="24"/>
      <w:szCs w:val="24"/>
    </w:rPr>
  </w:style>
  <w:style w:type="paragraph" w:styleId="Textodeglobo">
    <w:name w:val="Balloon Text"/>
    <w:basedOn w:val="Normal"/>
    <w:link w:val="TextodegloboCar"/>
    <w:uiPriority w:val="99"/>
    <w:unhideWhenUsed/>
    <w:rsid w:val="001404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1404C1"/>
    <w:rPr>
      <w:rFonts w:ascii="Tahoma" w:hAnsi="Tahoma" w:cs="Tahoma"/>
      <w:sz w:val="16"/>
      <w:szCs w:val="16"/>
    </w:rPr>
  </w:style>
  <w:style w:type="character" w:styleId="Textoennegrita">
    <w:name w:val="Strong"/>
    <w:basedOn w:val="Fuentedeprrafopredeter"/>
    <w:uiPriority w:val="22"/>
    <w:qFormat/>
    <w:rsid w:val="00E71755"/>
    <w:rPr>
      <w:b/>
      <w:bCs/>
    </w:rPr>
  </w:style>
  <w:style w:type="paragraph" w:styleId="Prrafodelista">
    <w:name w:val="List Paragraph"/>
    <w:aliases w:val="List,titulo 3,Bullets,Ha,Párrafo de lista2,Lista vistosa - Énfasis 11,Cuadrícula clara - Énfasis 31,List Paragraph,Párrafo de lista1,Normal. Viñetas"/>
    <w:basedOn w:val="Normal"/>
    <w:link w:val="PrrafodelistaCar"/>
    <w:qFormat/>
    <w:rsid w:val="004A4C17"/>
    <w:pPr>
      <w:ind w:left="720"/>
      <w:contextualSpacing/>
    </w:pPr>
  </w:style>
  <w:style w:type="character" w:customStyle="1" w:styleId="PrrafodelistaCar">
    <w:name w:val="Párrafo de lista Car"/>
    <w:aliases w:val="List Car,titulo 3 Car,Bullets Car,Ha Car,Párrafo de lista2 Car,Lista vistosa - Énfasis 11 Car,Cuadrícula clara - Énfasis 31 Car,List Paragraph Car,Párrafo de lista1 Car,Normal. Viñetas Car"/>
    <w:link w:val="Prrafodelista"/>
    <w:locked/>
    <w:rsid w:val="00DA252E"/>
  </w:style>
  <w:style w:type="paragraph" w:styleId="Encabezado">
    <w:name w:val="header"/>
    <w:aliases w:val="encabezado,h,h8,h9,h10,h18,h18 Car Car Car Car Car,h18 Car Car Car Car Car Car Car Car,h18 Car Car Car Car Car Car Car,h18 Car Car Car,he,h18 Car Car,h1,Main Header,Alt Header"/>
    <w:basedOn w:val="Normal"/>
    <w:link w:val="EncabezadoCar"/>
    <w:uiPriority w:val="99"/>
    <w:unhideWhenUsed/>
    <w:rsid w:val="00DA252E"/>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aliases w:val="encabezado Car,h Car,h8 Car,h9 Car,h10 Car,h18 Car,h18 Car Car Car Car Car Car,h18 Car Car Car Car Car Car Car Car Car,h18 Car Car Car Car Car Car Car Car1,h18 Car Car Car Car,he Car,h18 Car Car Car1,h1 Car,Main Header Car,Alt Header Car"/>
    <w:basedOn w:val="Fuentedeprrafopredeter"/>
    <w:link w:val="Encabezado"/>
    <w:uiPriority w:val="99"/>
    <w:rsid w:val="00DA252E"/>
    <w:rPr>
      <w:rFonts w:ascii="Calibri" w:eastAsia="Calibri" w:hAnsi="Calibri" w:cs="Times New Roman"/>
    </w:rPr>
  </w:style>
  <w:style w:type="paragraph" w:styleId="Piedepgina">
    <w:name w:val="footer"/>
    <w:basedOn w:val="Normal"/>
    <w:link w:val="PiedepginaCar"/>
    <w:uiPriority w:val="99"/>
    <w:unhideWhenUsed/>
    <w:rsid w:val="00DA252E"/>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DA252E"/>
    <w:rPr>
      <w:rFonts w:ascii="Calibri" w:eastAsia="Calibri" w:hAnsi="Calibri" w:cs="Times New Roman"/>
    </w:rPr>
  </w:style>
  <w:style w:type="character" w:styleId="Refdecomentario">
    <w:name w:val="annotation reference"/>
    <w:basedOn w:val="Fuentedeprrafopredeter"/>
    <w:uiPriority w:val="99"/>
    <w:semiHidden/>
    <w:unhideWhenUsed/>
    <w:rsid w:val="00DA252E"/>
    <w:rPr>
      <w:sz w:val="16"/>
      <w:szCs w:val="16"/>
    </w:rPr>
  </w:style>
  <w:style w:type="character" w:customStyle="1" w:styleId="TextocomentarioCar">
    <w:name w:val="Texto comentario Car"/>
    <w:basedOn w:val="Fuentedeprrafopredeter"/>
    <w:link w:val="Textocomentario"/>
    <w:uiPriority w:val="99"/>
    <w:semiHidden/>
    <w:rsid w:val="00DA252E"/>
    <w:rPr>
      <w:rFonts w:ascii="Calibri" w:eastAsia="Calibri" w:hAnsi="Calibri" w:cs="Times New Roman"/>
      <w:sz w:val="20"/>
      <w:szCs w:val="20"/>
    </w:rPr>
  </w:style>
  <w:style w:type="paragraph" w:styleId="Textocomentario">
    <w:name w:val="annotation text"/>
    <w:basedOn w:val="Normal"/>
    <w:link w:val="TextocomentarioCar"/>
    <w:uiPriority w:val="99"/>
    <w:semiHidden/>
    <w:unhideWhenUsed/>
    <w:rsid w:val="00DA252E"/>
    <w:rPr>
      <w:rFonts w:ascii="Calibri" w:eastAsia="Calibri" w:hAnsi="Calibri" w:cs="Times New Roman"/>
      <w:sz w:val="20"/>
      <w:szCs w:val="20"/>
    </w:rPr>
  </w:style>
  <w:style w:type="character" w:customStyle="1" w:styleId="AsuntodelcomentarioCar">
    <w:name w:val="Asunto del comentario Car"/>
    <w:basedOn w:val="TextocomentarioCar"/>
    <w:link w:val="Asuntodelcomentario"/>
    <w:uiPriority w:val="99"/>
    <w:semiHidden/>
    <w:rsid w:val="00DA252E"/>
    <w:rPr>
      <w:b/>
      <w:bCs/>
    </w:rPr>
  </w:style>
  <w:style w:type="paragraph" w:styleId="Asuntodelcomentario">
    <w:name w:val="annotation subject"/>
    <w:basedOn w:val="Textocomentario"/>
    <w:next w:val="Textocomentario"/>
    <w:link w:val="AsuntodelcomentarioCar"/>
    <w:uiPriority w:val="99"/>
    <w:semiHidden/>
    <w:unhideWhenUsed/>
    <w:rsid w:val="00DA252E"/>
    <w:rPr>
      <w:b/>
      <w:bCs/>
    </w:rPr>
  </w:style>
  <w:style w:type="paragraph" w:styleId="Sinespaciado">
    <w:name w:val="No Spacing"/>
    <w:link w:val="SinespaciadoCar"/>
    <w:uiPriority w:val="1"/>
    <w:qFormat/>
    <w:rsid w:val="00DA252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DA252E"/>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DA252E"/>
    <w:pPr>
      <w:autoSpaceDE w:val="0"/>
      <w:autoSpaceDN w:val="0"/>
      <w:spacing w:after="0" w:line="240" w:lineRule="auto"/>
      <w:jc w:val="both"/>
    </w:pPr>
    <w:rPr>
      <w:rFonts w:ascii="Verdana" w:eastAsia="Times New Roman" w:hAnsi="Verdana" w:cs="Times New Roman"/>
      <w:sz w:val="20"/>
      <w:szCs w:val="20"/>
      <w:lang w:val="es-ES_tradnl" w:eastAsia="es-ES"/>
    </w:rPr>
  </w:style>
  <w:style w:type="paragraph" w:styleId="Ttulo">
    <w:name w:val="Title"/>
    <w:basedOn w:val="Normal"/>
    <w:link w:val="TtuloCar"/>
    <w:uiPriority w:val="10"/>
    <w:qFormat/>
    <w:rsid w:val="00DA252E"/>
    <w:pPr>
      <w:spacing w:after="0" w:line="240" w:lineRule="auto"/>
      <w:jc w:val="center"/>
    </w:pPr>
    <w:rPr>
      <w:rFonts w:ascii="Arial" w:eastAsia="Times New Roman" w:hAnsi="Arial" w:cs="Arial"/>
      <w:b/>
      <w:bCs/>
      <w:sz w:val="24"/>
      <w:szCs w:val="24"/>
      <w:lang w:val="es-ES" w:eastAsia="es-ES"/>
    </w:rPr>
  </w:style>
  <w:style w:type="character" w:customStyle="1" w:styleId="TtuloCar">
    <w:name w:val="Título Car"/>
    <w:basedOn w:val="Fuentedeprrafopredeter"/>
    <w:link w:val="Ttulo"/>
    <w:rsid w:val="00DA252E"/>
    <w:rPr>
      <w:rFonts w:ascii="Arial" w:eastAsia="Times New Roman" w:hAnsi="Arial" w:cs="Arial"/>
      <w:b/>
      <w:bCs/>
      <w:sz w:val="24"/>
      <w:szCs w:val="24"/>
      <w:lang w:val="es-ES" w:eastAsia="es-ES"/>
    </w:rPr>
  </w:style>
  <w:style w:type="table" w:styleId="Cuadrculamedia1-nfasis1">
    <w:name w:val="Medium Grid 1 Accent 1"/>
    <w:basedOn w:val="Tablanormal"/>
    <w:uiPriority w:val="67"/>
    <w:rsid w:val="00DA252E"/>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Epgrafe">
    <w:name w:val="caption"/>
    <w:basedOn w:val="Normal"/>
    <w:next w:val="Normal"/>
    <w:uiPriority w:val="35"/>
    <w:unhideWhenUsed/>
    <w:qFormat/>
    <w:rsid w:val="00DA252E"/>
    <w:pPr>
      <w:spacing w:line="240" w:lineRule="auto"/>
    </w:pPr>
    <w:rPr>
      <w:rFonts w:ascii="Calibri" w:eastAsia="Calibri" w:hAnsi="Calibri" w:cs="Times New Roman"/>
      <w:b/>
      <w:bCs/>
      <w:color w:val="4F81BD"/>
      <w:sz w:val="18"/>
      <w:szCs w:val="18"/>
    </w:rPr>
  </w:style>
  <w:style w:type="paragraph" w:styleId="Textoindependiente2">
    <w:name w:val="Body Text 2"/>
    <w:basedOn w:val="Normal"/>
    <w:link w:val="Textoindependiente2Car"/>
    <w:rsid w:val="00DA252E"/>
    <w:pPr>
      <w:spacing w:after="0" w:line="240" w:lineRule="auto"/>
      <w:jc w:val="both"/>
    </w:pPr>
    <w:rPr>
      <w:rFonts w:ascii="Times New Roman" w:eastAsia="Times New Roman" w:hAnsi="Times New Roman" w:cs="Times New Roman"/>
      <w:sz w:val="26"/>
      <w:szCs w:val="24"/>
      <w:lang w:eastAsia="es-ES"/>
    </w:rPr>
  </w:style>
  <w:style w:type="character" w:customStyle="1" w:styleId="Textoindependiente2Car">
    <w:name w:val="Texto independiente 2 Car"/>
    <w:basedOn w:val="Fuentedeprrafopredeter"/>
    <w:link w:val="Textoindependiente2"/>
    <w:rsid w:val="00DA252E"/>
    <w:rPr>
      <w:rFonts w:ascii="Times New Roman" w:eastAsia="Times New Roman" w:hAnsi="Times New Roman" w:cs="Times New Roman"/>
      <w:sz w:val="26"/>
      <w:szCs w:val="24"/>
      <w:lang w:eastAsia="es-ES"/>
    </w:rPr>
  </w:style>
  <w:style w:type="paragraph" w:styleId="TtulodeTDC">
    <w:name w:val="TOC Heading"/>
    <w:basedOn w:val="Ttulo1"/>
    <w:next w:val="Normal"/>
    <w:uiPriority w:val="39"/>
    <w:unhideWhenUsed/>
    <w:qFormat/>
    <w:rsid w:val="00DA252E"/>
    <w:pPr>
      <w:keepLines/>
      <w:spacing w:before="480" w:after="0"/>
      <w:outlineLvl w:val="9"/>
    </w:pPr>
    <w:rPr>
      <w:color w:val="365F91"/>
      <w:kern w:val="0"/>
      <w:sz w:val="28"/>
      <w:szCs w:val="28"/>
      <w:lang w:val="es-ES"/>
    </w:rPr>
  </w:style>
  <w:style w:type="paragraph" w:styleId="TDC1">
    <w:name w:val="toc 1"/>
    <w:basedOn w:val="Normal"/>
    <w:next w:val="Normal"/>
    <w:autoRedefine/>
    <w:uiPriority w:val="39"/>
    <w:unhideWhenUsed/>
    <w:qFormat/>
    <w:rsid w:val="00DA252E"/>
    <w:pPr>
      <w:tabs>
        <w:tab w:val="left" w:pos="709"/>
        <w:tab w:val="right" w:leader="dot" w:pos="9962"/>
      </w:tabs>
      <w:spacing w:after="120" w:line="240" w:lineRule="auto"/>
      <w:jc w:val="center"/>
    </w:pPr>
    <w:rPr>
      <w:rFonts w:ascii="Verdana" w:eastAsia="Calibri" w:hAnsi="Verdana" w:cs="Times New Roman"/>
      <w:noProof/>
    </w:rPr>
  </w:style>
  <w:style w:type="character" w:styleId="Hipervnculo">
    <w:name w:val="Hyperlink"/>
    <w:basedOn w:val="Fuentedeprrafopredeter"/>
    <w:uiPriority w:val="99"/>
    <w:unhideWhenUsed/>
    <w:rsid w:val="00DA252E"/>
    <w:rPr>
      <w:color w:val="0000FF"/>
      <w:u w:val="single"/>
    </w:rPr>
  </w:style>
  <w:style w:type="paragraph" w:styleId="TDC2">
    <w:name w:val="toc 2"/>
    <w:basedOn w:val="Normal"/>
    <w:next w:val="Normal"/>
    <w:autoRedefine/>
    <w:uiPriority w:val="39"/>
    <w:unhideWhenUsed/>
    <w:qFormat/>
    <w:rsid w:val="00DA252E"/>
    <w:pPr>
      <w:tabs>
        <w:tab w:val="right" w:leader="dot" w:pos="9962"/>
      </w:tabs>
      <w:ind w:left="220"/>
    </w:pPr>
    <w:rPr>
      <w:rFonts w:ascii="Verdana" w:eastAsia="Calibri" w:hAnsi="Verdana" w:cs="Times New Roman"/>
      <w:b/>
      <w:noProof/>
    </w:rPr>
  </w:style>
  <w:style w:type="paragraph" w:styleId="TDC3">
    <w:name w:val="toc 3"/>
    <w:basedOn w:val="Normal"/>
    <w:next w:val="Normal"/>
    <w:autoRedefine/>
    <w:uiPriority w:val="39"/>
    <w:unhideWhenUsed/>
    <w:qFormat/>
    <w:rsid w:val="00DA252E"/>
    <w:pPr>
      <w:tabs>
        <w:tab w:val="right" w:leader="dot" w:pos="9962"/>
      </w:tabs>
      <w:spacing w:after="100"/>
      <w:ind w:left="440"/>
    </w:pPr>
    <w:rPr>
      <w:rFonts w:ascii="Calibri" w:eastAsia="Times New Roman" w:hAnsi="Calibri" w:cs="Times New Roman"/>
      <w:lang w:val="es-ES"/>
    </w:rPr>
  </w:style>
  <w:style w:type="paragraph" w:styleId="Textonotapie">
    <w:name w:val="footnote text"/>
    <w:aliases w:val="FA Fu,Texto nota pie Car Car Car,Texto nota pie Car Car,Footnote Text Char Char Char Char Char,Footnote Text Char Char Char Char,Footnote reference,Footnote Text Char Char Char,texto de nota al pie,FA Fußnotentext,Footnote Text Cha,fn,ft"/>
    <w:basedOn w:val="Normal"/>
    <w:link w:val="TextonotapieCar"/>
    <w:uiPriority w:val="99"/>
    <w:unhideWhenUsed/>
    <w:qFormat/>
    <w:rsid w:val="00DA252E"/>
    <w:pPr>
      <w:spacing w:after="0" w:line="240" w:lineRule="auto"/>
    </w:pPr>
    <w:rPr>
      <w:rFonts w:ascii="Calibri" w:eastAsia="Calibri" w:hAnsi="Calibri" w:cs="Times New Roman"/>
      <w:sz w:val="20"/>
      <w:szCs w:val="20"/>
    </w:rPr>
  </w:style>
  <w:style w:type="character" w:customStyle="1" w:styleId="TextonotapieCar">
    <w:name w:val="Texto nota pie Car"/>
    <w:aliases w:val="FA Fu Car,Texto nota pie Car Car Car Car,Texto nota pie Car Car Car1,Footnote Text Char Char Char Char Char Car,Footnote Text Char Char Char Char Car,Footnote reference Car,Footnote Text Char Char Char Car,texto de nota al pie Car"/>
    <w:basedOn w:val="Fuentedeprrafopredeter"/>
    <w:link w:val="Textonotapie"/>
    <w:uiPriority w:val="99"/>
    <w:rsid w:val="00DA252E"/>
    <w:rPr>
      <w:rFonts w:ascii="Calibri" w:eastAsia="Calibri" w:hAnsi="Calibri" w:cs="Times New Roman"/>
      <w:sz w:val="20"/>
      <w:szCs w:val="20"/>
    </w:rPr>
  </w:style>
  <w:style w:type="character" w:styleId="Refdenotaalpie">
    <w:name w:val="footnote reference"/>
    <w:aliases w:val="referencia nota al pie,Footnote symbol,Footnote,FC,Texto de nota al pie,BVI fnr,Ref. de nota al pie2,Nota de pie,Ref,de nota al pie,Pie de pagina,Texto nota al pie,Appel note de bas de p,de nota al pi,Massilia Footnote Reference,Ref1"/>
    <w:basedOn w:val="Fuentedeprrafopredeter"/>
    <w:uiPriority w:val="99"/>
    <w:unhideWhenUsed/>
    <w:qFormat/>
    <w:rsid w:val="00DA252E"/>
    <w:rPr>
      <w:vertAlign w:val="superscript"/>
    </w:rPr>
  </w:style>
  <w:style w:type="table" w:customStyle="1" w:styleId="GridTable4Accent1">
    <w:name w:val="Grid Table 4 Accent 1"/>
    <w:basedOn w:val="Tablanormal"/>
    <w:uiPriority w:val="49"/>
    <w:rsid w:val="00FC7F0E"/>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xtoindependiente">
    <w:name w:val="Body Text"/>
    <w:basedOn w:val="Normal"/>
    <w:link w:val="TextoindependienteCar"/>
    <w:rsid w:val="00B46760"/>
    <w:pPr>
      <w:spacing w:after="120" w:line="240" w:lineRule="auto"/>
    </w:pPr>
    <w:rPr>
      <w:rFonts w:ascii="Times New Roman" w:eastAsia="Calibri"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B46760"/>
    <w:rPr>
      <w:rFonts w:ascii="Times New Roman" w:eastAsia="Calibri" w:hAnsi="Times New Roman" w:cs="Times New Roman"/>
      <w:sz w:val="24"/>
      <w:szCs w:val="24"/>
      <w:lang w:val="es-ES" w:eastAsia="es-ES"/>
    </w:rPr>
  </w:style>
  <w:style w:type="paragraph" w:styleId="TDC4">
    <w:name w:val="toc 4"/>
    <w:basedOn w:val="Normal"/>
    <w:next w:val="Normal"/>
    <w:autoRedefine/>
    <w:uiPriority w:val="39"/>
    <w:rsid w:val="00B46760"/>
    <w:pPr>
      <w:spacing w:after="0" w:line="240" w:lineRule="auto"/>
      <w:ind w:left="720"/>
    </w:pPr>
    <w:rPr>
      <w:rFonts w:eastAsia="Times New Roman" w:cs="Times New Roman"/>
      <w:sz w:val="20"/>
      <w:szCs w:val="20"/>
      <w:lang w:val="es-ES" w:eastAsia="es-ES"/>
    </w:rPr>
  </w:style>
  <w:style w:type="paragraph" w:styleId="TDC5">
    <w:name w:val="toc 5"/>
    <w:basedOn w:val="Normal"/>
    <w:next w:val="Normal"/>
    <w:autoRedefine/>
    <w:rsid w:val="00B46760"/>
    <w:pPr>
      <w:spacing w:after="0" w:line="240" w:lineRule="auto"/>
      <w:ind w:left="960"/>
    </w:pPr>
    <w:rPr>
      <w:rFonts w:eastAsia="Times New Roman" w:cs="Times New Roman"/>
      <w:sz w:val="20"/>
      <w:szCs w:val="20"/>
      <w:lang w:val="es-ES" w:eastAsia="es-ES"/>
    </w:rPr>
  </w:style>
  <w:style w:type="paragraph" w:styleId="TDC6">
    <w:name w:val="toc 6"/>
    <w:basedOn w:val="Normal"/>
    <w:next w:val="Normal"/>
    <w:autoRedefine/>
    <w:rsid w:val="00B46760"/>
    <w:pPr>
      <w:spacing w:after="0" w:line="240" w:lineRule="auto"/>
      <w:ind w:left="1200"/>
    </w:pPr>
    <w:rPr>
      <w:rFonts w:eastAsia="Times New Roman" w:cs="Times New Roman"/>
      <w:sz w:val="20"/>
      <w:szCs w:val="20"/>
      <w:lang w:val="es-ES" w:eastAsia="es-ES"/>
    </w:rPr>
  </w:style>
  <w:style w:type="paragraph" w:styleId="TDC7">
    <w:name w:val="toc 7"/>
    <w:basedOn w:val="Normal"/>
    <w:next w:val="Normal"/>
    <w:autoRedefine/>
    <w:rsid w:val="00B46760"/>
    <w:pPr>
      <w:spacing w:after="0" w:line="240" w:lineRule="auto"/>
      <w:ind w:left="1440"/>
    </w:pPr>
    <w:rPr>
      <w:rFonts w:eastAsia="Times New Roman" w:cs="Times New Roman"/>
      <w:sz w:val="20"/>
      <w:szCs w:val="20"/>
      <w:lang w:val="es-ES" w:eastAsia="es-ES"/>
    </w:rPr>
  </w:style>
  <w:style w:type="paragraph" w:styleId="TDC8">
    <w:name w:val="toc 8"/>
    <w:basedOn w:val="Normal"/>
    <w:next w:val="Normal"/>
    <w:autoRedefine/>
    <w:rsid w:val="00B46760"/>
    <w:pPr>
      <w:spacing w:after="0" w:line="240" w:lineRule="auto"/>
      <w:ind w:left="1680"/>
    </w:pPr>
    <w:rPr>
      <w:rFonts w:eastAsia="Times New Roman" w:cs="Times New Roman"/>
      <w:sz w:val="20"/>
      <w:szCs w:val="20"/>
      <w:lang w:val="es-ES" w:eastAsia="es-ES"/>
    </w:rPr>
  </w:style>
  <w:style w:type="paragraph" w:styleId="TDC9">
    <w:name w:val="toc 9"/>
    <w:basedOn w:val="Normal"/>
    <w:next w:val="Normal"/>
    <w:autoRedefine/>
    <w:rsid w:val="00B46760"/>
    <w:pPr>
      <w:spacing w:after="0" w:line="240" w:lineRule="auto"/>
      <w:ind w:left="1920"/>
    </w:pPr>
    <w:rPr>
      <w:rFonts w:eastAsia="Times New Roman" w:cs="Times New Roman"/>
      <w:sz w:val="20"/>
      <w:szCs w:val="20"/>
      <w:lang w:val="es-ES" w:eastAsia="es-ES"/>
    </w:rPr>
  </w:style>
  <w:style w:type="paragraph" w:styleId="Subttulo">
    <w:name w:val="Subtitle"/>
    <w:basedOn w:val="Normal"/>
    <w:next w:val="Normal"/>
    <w:link w:val="SubttuloCar"/>
    <w:qFormat/>
    <w:rsid w:val="00B46760"/>
    <w:pPr>
      <w:numPr>
        <w:ilvl w:val="1"/>
      </w:numPr>
      <w:spacing w:after="160" w:line="240" w:lineRule="auto"/>
    </w:pPr>
    <w:rPr>
      <w:rFonts w:eastAsiaTheme="minorEastAsia"/>
      <w:color w:val="5A5A5A" w:themeColor="text1" w:themeTint="A5"/>
      <w:spacing w:val="15"/>
      <w:lang w:val="es-ES" w:eastAsia="es-ES"/>
    </w:rPr>
  </w:style>
  <w:style w:type="character" w:customStyle="1" w:styleId="SubttuloCar">
    <w:name w:val="Subtítulo Car"/>
    <w:basedOn w:val="Fuentedeprrafopredeter"/>
    <w:link w:val="Subttulo"/>
    <w:rsid w:val="00B46760"/>
    <w:rPr>
      <w:rFonts w:eastAsiaTheme="minorEastAsia"/>
      <w:color w:val="5A5A5A" w:themeColor="text1" w:themeTint="A5"/>
      <w:spacing w:val="15"/>
      <w:lang w:val="es-ES" w:eastAsia="es-ES"/>
    </w:rPr>
  </w:style>
  <w:style w:type="character" w:styleId="Ttulodellibro">
    <w:name w:val="Book Title"/>
    <w:basedOn w:val="Fuentedeprrafopredeter"/>
    <w:uiPriority w:val="33"/>
    <w:qFormat/>
    <w:rsid w:val="00B46760"/>
    <w:rPr>
      <w:b/>
      <w:bCs/>
      <w:i/>
      <w:iCs/>
      <w:spacing w:val="5"/>
    </w:rPr>
  </w:style>
  <w:style w:type="table" w:customStyle="1" w:styleId="Tabladecuadrcula4-nfasis11">
    <w:name w:val="Tabla de cuadrícula 4 - Énfasis 11"/>
    <w:basedOn w:val="Tablanormal"/>
    <w:uiPriority w:val="49"/>
    <w:rsid w:val="00B46760"/>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Nmerodepgina">
    <w:name w:val="page number"/>
    <w:basedOn w:val="Fuentedeprrafopredeter"/>
    <w:rsid w:val="00B46760"/>
  </w:style>
  <w:style w:type="character" w:customStyle="1" w:styleId="apple-converted-space">
    <w:name w:val="apple-converted-space"/>
    <w:rsid w:val="00B46760"/>
  </w:style>
  <w:style w:type="paragraph" w:customStyle="1" w:styleId="Normal1">
    <w:name w:val="Normal1"/>
    <w:rsid w:val="00B46760"/>
    <w:pPr>
      <w:spacing w:after="0" w:line="240" w:lineRule="auto"/>
    </w:pPr>
    <w:rPr>
      <w:rFonts w:ascii="Times New Roman" w:eastAsia="Times New Roman" w:hAnsi="Times New Roman" w:cs="Times New Roman"/>
      <w:color w:val="000000"/>
      <w:sz w:val="24"/>
      <w:szCs w:val="20"/>
      <w:lang w:eastAsia="es-CO"/>
    </w:rPr>
  </w:style>
  <w:style w:type="character" w:styleId="nfasis">
    <w:name w:val="Emphasis"/>
    <w:uiPriority w:val="20"/>
    <w:qFormat/>
    <w:rsid w:val="00B46760"/>
    <w:rPr>
      <w:i/>
      <w:iCs/>
    </w:rPr>
  </w:style>
  <w:style w:type="paragraph" w:customStyle="1" w:styleId="Cuerpo">
    <w:name w:val="Cuerpo"/>
    <w:rsid w:val="00B4676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CO"/>
    </w:rPr>
  </w:style>
  <w:style w:type="paragraph" w:customStyle="1" w:styleId="TtulosPrincipalessinnumeracin">
    <w:name w:val="Títulos Principales sin numeración"/>
    <w:aliases w:val="AL Título,Título AL,TÃ­tulos Principales sin numeraciÃ³n,AL TÃ­tulo,TÃ­tulo AL"/>
    <w:basedOn w:val="Normal"/>
    <w:next w:val="Ttulo"/>
    <w:qFormat/>
    <w:rsid w:val="00B46760"/>
    <w:pPr>
      <w:tabs>
        <w:tab w:val="left" w:pos="-720"/>
      </w:tabs>
      <w:suppressAutoHyphens/>
      <w:spacing w:after="0" w:line="240" w:lineRule="auto"/>
      <w:jc w:val="center"/>
    </w:pPr>
    <w:rPr>
      <w:rFonts w:ascii="Arial" w:hAnsi="Arial" w:cs="Arial"/>
      <w:b/>
      <w:bCs/>
      <w:spacing w:val="-2"/>
      <w:lang w:val="es-ES" w:eastAsia="es-ES"/>
    </w:rPr>
  </w:style>
  <w:style w:type="character" w:customStyle="1" w:styleId="TtuloCar1">
    <w:name w:val="Título Car1"/>
    <w:basedOn w:val="Fuentedeprrafopredeter"/>
    <w:uiPriority w:val="10"/>
    <w:rsid w:val="00B46760"/>
    <w:rPr>
      <w:rFonts w:asciiTheme="majorHAnsi" w:eastAsiaTheme="majorEastAsia" w:hAnsiTheme="majorHAnsi" w:cstheme="majorBidi"/>
      <w:spacing w:val="-10"/>
      <w:kern w:val="28"/>
      <w:sz w:val="56"/>
      <w:szCs w:val="56"/>
    </w:rPr>
  </w:style>
  <w:style w:type="table" w:customStyle="1" w:styleId="GridTable5DarkAccent1">
    <w:name w:val="Grid Table 5 Dark Accent 1"/>
    <w:basedOn w:val="Tablanormal"/>
    <w:uiPriority w:val="50"/>
    <w:rsid w:val="0048224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Sombreadomedio1-nfasis11">
    <w:name w:val="Sombreado medio 1 - Énfasis 11"/>
    <w:basedOn w:val="Tablanormal"/>
    <w:uiPriority w:val="63"/>
    <w:rsid w:val="0048224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aconcuadrcula">
    <w:name w:val="Table Grid"/>
    <w:basedOn w:val="Tablanormal"/>
    <w:uiPriority w:val="39"/>
    <w:rsid w:val="00B72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785BA3"/>
    <w:pPr>
      <w:widowControl w:val="0"/>
      <w:suppressAutoHyphens/>
      <w:autoSpaceDN w:val="0"/>
      <w:spacing w:after="0" w:line="240" w:lineRule="auto"/>
      <w:textAlignment w:val="baseline"/>
    </w:pPr>
    <w:rPr>
      <w:rFonts w:ascii="Liberation Serif" w:eastAsia="Droid Sans" w:hAnsi="Liberation Serif" w:cs="FreeSans"/>
      <w:kern w:val="3"/>
      <w:sz w:val="24"/>
      <w:szCs w:val="24"/>
      <w:lang w:eastAsia="zh-CN" w:bidi="hi-IN"/>
    </w:rPr>
  </w:style>
  <w:style w:type="paragraph" w:styleId="NormalWeb">
    <w:name w:val="Normal (Web)"/>
    <w:basedOn w:val="Normal"/>
    <w:uiPriority w:val="99"/>
    <w:unhideWhenUsed/>
    <w:rsid w:val="00785BA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dyText21">
    <w:name w:val="Body Text 21"/>
    <w:basedOn w:val="Normal"/>
    <w:rsid w:val="00785BA3"/>
    <w:pPr>
      <w:widowControl w:val="0"/>
      <w:spacing w:after="0" w:line="240" w:lineRule="auto"/>
      <w:jc w:val="center"/>
    </w:pPr>
    <w:rPr>
      <w:rFonts w:ascii="Courier New" w:eastAsia="Times New Roman" w:hAnsi="Courier New" w:cs="Courier New"/>
      <w:b/>
      <w:bCs/>
      <w:sz w:val="32"/>
      <w:szCs w:val="32"/>
      <w:lang w:eastAsia="es-CO"/>
    </w:rPr>
  </w:style>
  <w:style w:type="table" w:customStyle="1" w:styleId="Tabladecuadrcula41">
    <w:name w:val="Tabla de cuadrícula 41"/>
    <w:basedOn w:val="Tablanormal"/>
    <w:uiPriority w:val="49"/>
    <w:rsid w:val="00C310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4-nfasis31">
    <w:name w:val="Tabla de lista 4 - Énfasis 31"/>
    <w:basedOn w:val="Tablanormal"/>
    <w:uiPriority w:val="49"/>
    <w:rsid w:val="00C310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r="http://schemas.openxmlformats.org/officeDocument/2006/relationships" xmlns:w="http://schemas.openxmlformats.org/wordprocessingml/2006/main">
  <w:divs>
    <w:div w:id="16465617">
      <w:bodyDiv w:val="1"/>
      <w:marLeft w:val="0"/>
      <w:marRight w:val="0"/>
      <w:marTop w:val="0"/>
      <w:marBottom w:val="0"/>
      <w:divBdr>
        <w:top w:val="none" w:sz="0" w:space="0" w:color="auto"/>
        <w:left w:val="none" w:sz="0" w:space="0" w:color="auto"/>
        <w:bottom w:val="none" w:sz="0" w:space="0" w:color="auto"/>
        <w:right w:val="none" w:sz="0" w:space="0" w:color="auto"/>
      </w:divBdr>
    </w:div>
    <w:div w:id="98724988">
      <w:bodyDiv w:val="1"/>
      <w:marLeft w:val="0"/>
      <w:marRight w:val="0"/>
      <w:marTop w:val="0"/>
      <w:marBottom w:val="0"/>
      <w:divBdr>
        <w:top w:val="none" w:sz="0" w:space="0" w:color="auto"/>
        <w:left w:val="none" w:sz="0" w:space="0" w:color="auto"/>
        <w:bottom w:val="none" w:sz="0" w:space="0" w:color="auto"/>
        <w:right w:val="none" w:sz="0" w:space="0" w:color="auto"/>
      </w:divBdr>
    </w:div>
    <w:div w:id="314991356">
      <w:bodyDiv w:val="1"/>
      <w:marLeft w:val="0"/>
      <w:marRight w:val="0"/>
      <w:marTop w:val="0"/>
      <w:marBottom w:val="0"/>
      <w:divBdr>
        <w:top w:val="none" w:sz="0" w:space="0" w:color="auto"/>
        <w:left w:val="none" w:sz="0" w:space="0" w:color="auto"/>
        <w:bottom w:val="none" w:sz="0" w:space="0" w:color="auto"/>
        <w:right w:val="none" w:sz="0" w:space="0" w:color="auto"/>
      </w:divBdr>
    </w:div>
    <w:div w:id="327367017">
      <w:bodyDiv w:val="1"/>
      <w:marLeft w:val="0"/>
      <w:marRight w:val="0"/>
      <w:marTop w:val="0"/>
      <w:marBottom w:val="0"/>
      <w:divBdr>
        <w:top w:val="none" w:sz="0" w:space="0" w:color="auto"/>
        <w:left w:val="none" w:sz="0" w:space="0" w:color="auto"/>
        <w:bottom w:val="none" w:sz="0" w:space="0" w:color="auto"/>
        <w:right w:val="none" w:sz="0" w:space="0" w:color="auto"/>
      </w:divBdr>
    </w:div>
    <w:div w:id="374501714">
      <w:bodyDiv w:val="1"/>
      <w:marLeft w:val="0"/>
      <w:marRight w:val="0"/>
      <w:marTop w:val="0"/>
      <w:marBottom w:val="0"/>
      <w:divBdr>
        <w:top w:val="none" w:sz="0" w:space="0" w:color="auto"/>
        <w:left w:val="none" w:sz="0" w:space="0" w:color="auto"/>
        <w:bottom w:val="none" w:sz="0" w:space="0" w:color="auto"/>
        <w:right w:val="none" w:sz="0" w:space="0" w:color="auto"/>
      </w:divBdr>
    </w:div>
    <w:div w:id="445514339">
      <w:bodyDiv w:val="1"/>
      <w:marLeft w:val="0"/>
      <w:marRight w:val="0"/>
      <w:marTop w:val="0"/>
      <w:marBottom w:val="0"/>
      <w:divBdr>
        <w:top w:val="none" w:sz="0" w:space="0" w:color="auto"/>
        <w:left w:val="none" w:sz="0" w:space="0" w:color="auto"/>
        <w:bottom w:val="none" w:sz="0" w:space="0" w:color="auto"/>
        <w:right w:val="none" w:sz="0" w:space="0" w:color="auto"/>
      </w:divBdr>
    </w:div>
    <w:div w:id="641622657">
      <w:bodyDiv w:val="1"/>
      <w:marLeft w:val="0"/>
      <w:marRight w:val="0"/>
      <w:marTop w:val="0"/>
      <w:marBottom w:val="0"/>
      <w:divBdr>
        <w:top w:val="none" w:sz="0" w:space="0" w:color="auto"/>
        <w:left w:val="none" w:sz="0" w:space="0" w:color="auto"/>
        <w:bottom w:val="none" w:sz="0" w:space="0" w:color="auto"/>
        <w:right w:val="none" w:sz="0" w:space="0" w:color="auto"/>
      </w:divBdr>
    </w:div>
    <w:div w:id="642153089">
      <w:bodyDiv w:val="1"/>
      <w:marLeft w:val="0"/>
      <w:marRight w:val="0"/>
      <w:marTop w:val="0"/>
      <w:marBottom w:val="0"/>
      <w:divBdr>
        <w:top w:val="none" w:sz="0" w:space="0" w:color="auto"/>
        <w:left w:val="none" w:sz="0" w:space="0" w:color="auto"/>
        <w:bottom w:val="none" w:sz="0" w:space="0" w:color="auto"/>
        <w:right w:val="none" w:sz="0" w:space="0" w:color="auto"/>
      </w:divBdr>
    </w:div>
    <w:div w:id="717510884">
      <w:bodyDiv w:val="1"/>
      <w:marLeft w:val="0"/>
      <w:marRight w:val="0"/>
      <w:marTop w:val="0"/>
      <w:marBottom w:val="0"/>
      <w:divBdr>
        <w:top w:val="none" w:sz="0" w:space="0" w:color="auto"/>
        <w:left w:val="none" w:sz="0" w:space="0" w:color="auto"/>
        <w:bottom w:val="none" w:sz="0" w:space="0" w:color="auto"/>
        <w:right w:val="none" w:sz="0" w:space="0" w:color="auto"/>
      </w:divBdr>
    </w:div>
    <w:div w:id="726535614">
      <w:bodyDiv w:val="1"/>
      <w:marLeft w:val="0"/>
      <w:marRight w:val="0"/>
      <w:marTop w:val="0"/>
      <w:marBottom w:val="0"/>
      <w:divBdr>
        <w:top w:val="none" w:sz="0" w:space="0" w:color="auto"/>
        <w:left w:val="none" w:sz="0" w:space="0" w:color="auto"/>
        <w:bottom w:val="none" w:sz="0" w:space="0" w:color="auto"/>
        <w:right w:val="none" w:sz="0" w:space="0" w:color="auto"/>
      </w:divBdr>
    </w:div>
    <w:div w:id="745542256">
      <w:bodyDiv w:val="1"/>
      <w:marLeft w:val="0"/>
      <w:marRight w:val="0"/>
      <w:marTop w:val="0"/>
      <w:marBottom w:val="0"/>
      <w:divBdr>
        <w:top w:val="none" w:sz="0" w:space="0" w:color="auto"/>
        <w:left w:val="none" w:sz="0" w:space="0" w:color="auto"/>
        <w:bottom w:val="none" w:sz="0" w:space="0" w:color="auto"/>
        <w:right w:val="none" w:sz="0" w:space="0" w:color="auto"/>
      </w:divBdr>
    </w:div>
    <w:div w:id="814949030">
      <w:bodyDiv w:val="1"/>
      <w:marLeft w:val="0"/>
      <w:marRight w:val="0"/>
      <w:marTop w:val="0"/>
      <w:marBottom w:val="0"/>
      <w:divBdr>
        <w:top w:val="none" w:sz="0" w:space="0" w:color="auto"/>
        <w:left w:val="none" w:sz="0" w:space="0" w:color="auto"/>
        <w:bottom w:val="none" w:sz="0" w:space="0" w:color="auto"/>
        <w:right w:val="none" w:sz="0" w:space="0" w:color="auto"/>
      </w:divBdr>
    </w:div>
    <w:div w:id="892694233">
      <w:bodyDiv w:val="1"/>
      <w:marLeft w:val="0"/>
      <w:marRight w:val="0"/>
      <w:marTop w:val="0"/>
      <w:marBottom w:val="0"/>
      <w:divBdr>
        <w:top w:val="none" w:sz="0" w:space="0" w:color="auto"/>
        <w:left w:val="none" w:sz="0" w:space="0" w:color="auto"/>
        <w:bottom w:val="none" w:sz="0" w:space="0" w:color="auto"/>
        <w:right w:val="none" w:sz="0" w:space="0" w:color="auto"/>
      </w:divBdr>
    </w:div>
    <w:div w:id="920988823">
      <w:bodyDiv w:val="1"/>
      <w:marLeft w:val="0"/>
      <w:marRight w:val="0"/>
      <w:marTop w:val="0"/>
      <w:marBottom w:val="0"/>
      <w:divBdr>
        <w:top w:val="none" w:sz="0" w:space="0" w:color="auto"/>
        <w:left w:val="none" w:sz="0" w:space="0" w:color="auto"/>
        <w:bottom w:val="none" w:sz="0" w:space="0" w:color="auto"/>
        <w:right w:val="none" w:sz="0" w:space="0" w:color="auto"/>
      </w:divBdr>
    </w:div>
    <w:div w:id="1051345351">
      <w:bodyDiv w:val="1"/>
      <w:marLeft w:val="0"/>
      <w:marRight w:val="0"/>
      <w:marTop w:val="0"/>
      <w:marBottom w:val="0"/>
      <w:divBdr>
        <w:top w:val="none" w:sz="0" w:space="0" w:color="auto"/>
        <w:left w:val="none" w:sz="0" w:space="0" w:color="auto"/>
        <w:bottom w:val="none" w:sz="0" w:space="0" w:color="auto"/>
        <w:right w:val="none" w:sz="0" w:space="0" w:color="auto"/>
      </w:divBdr>
    </w:div>
    <w:div w:id="1114059317">
      <w:bodyDiv w:val="1"/>
      <w:marLeft w:val="0"/>
      <w:marRight w:val="0"/>
      <w:marTop w:val="0"/>
      <w:marBottom w:val="0"/>
      <w:divBdr>
        <w:top w:val="none" w:sz="0" w:space="0" w:color="auto"/>
        <w:left w:val="none" w:sz="0" w:space="0" w:color="auto"/>
        <w:bottom w:val="none" w:sz="0" w:space="0" w:color="auto"/>
        <w:right w:val="none" w:sz="0" w:space="0" w:color="auto"/>
      </w:divBdr>
    </w:div>
    <w:div w:id="1133133227">
      <w:bodyDiv w:val="1"/>
      <w:marLeft w:val="0"/>
      <w:marRight w:val="0"/>
      <w:marTop w:val="0"/>
      <w:marBottom w:val="0"/>
      <w:divBdr>
        <w:top w:val="none" w:sz="0" w:space="0" w:color="auto"/>
        <w:left w:val="none" w:sz="0" w:space="0" w:color="auto"/>
        <w:bottom w:val="none" w:sz="0" w:space="0" w:color="auto"/>
        <w:right w:val="none" w:sz="0" w:space="0" w:color="auto"/>
      </w:divBdr>
    </w:div>
    <w:div w:id="1324166699">
      <w:bodyDiv w:val="1"/>
      <w:marLeft w:val="0"/>
      <w:marRight w:val="0"/>
      <w:marTop w:val="0"/>
      <w:marBottom w:val="0"/>
      <w:divBdr>
        <w:top w:val="none" w:sz="0" w:space="0" w:color="auto"/>
        <w:left w:val="none" w:sz="0" w:space="0" w:color="auto"/>
        <w:bottom w:val="none" w:sz="0" w:space="0" w:color="auto"/>
        <w:right w:val="none" w:sz="0" w:space="0" w:color="auto"/>
      </w:divBdr>
    </w:div>
    <w:div w:id="1359966195">
      <w:bodyDiv w:val="1"/>
      <w:marLeft w:val="0"/>
      <w:marRight w:val="0"/>
      <w:marTop w:val="0"/>
      <w:marBottom w:val="0"/>
      <w:divBdr>
        <w:top w:val="none" w:sz="0" w:space="0" w:color="auto"/>
        <w:left w:val="none" w:sz="0" w:space="0" w:color="auto"/>
        <w:bottom w:val="none" w:sz="0" w:space="0" w:color="auto"/>
        <w:right w:val="none" w:sz="0" w:space="0" w:color="auto"/>
      </w:divBdr>
    </w:div>
    <w:div w:id="1388381958">
      <w:bodyDiv w:val="1"/>
      <w:marLeft w:val="0"/>
      <w:marRight w:val="0"/>
      <w:marTop w:val="0"/>
      <w:marBottom w:val="0"/>
      <w:divBdr>
        <w:top w:val="none" w:sz="0" w:space="0" w:color="auto"/>
        <w:left w:val="none" w:sz="0" w:space="0" w:color="auto"/>
        <w:bottom w:val="none" w:sz="0" w:space="0" w:color="auto"/>
        <w:right w:val="none" w:sz="0" w:space="0" w:color="auto"/>
      </w:divBdr>
    </w:div>
    <w:div w:id="1389769144">
      <w:bodyDiv w:val="1"/>
      <w:marLeft w:val="0"/>
      <w:marRight w:val="0"/>
      <w:marTop w:val="0"/>
      <w:marBottom w:val="0"/>
      <w:divBdr>
        <w:top w:val="none" w:sz="0" w:space="0" w:color="auto"/>
        <w:left w:val="none" w:sz="0" w:space="0" w:color="auto"/>
        <w:bottom w:val="none" w:sz="0" w:space="0" w:color="auto"/>
        <w:right w:val="none" w:sz="0" w:space="0" w:color="auto"/>
      </w:divBdr>
    </w:div>
    <w:div w:id="1518929704">
      <w:bodyDiv w:val="1"/>
      <w:marLeft w:val="0"/>
      <w:marRight w:val="0"/>
      <w:marTop w:val="0"/>
      <w:marBottom w:val="0"/>
      <w:divBdr>
        <w:top w:val="none" w:sz="0" w:space="0" w:color="auto"/>
        <w:left w:val="none" w:sz="0" w:space="0" w:color="auto"/>
        <w:bottom w:val="none" w:sz="0" w:space="0" w:color="auto"/>
        <w:right w:val="none" w:sz="0" w:space="0" w:color="auto"/>
      </w:divBdr>
    </w:div>
    <w:div w:id="1551652714">
      <w:bodyDiv w:val="1"/>
      <w:marLeft w:val="0"/>
      <w:marRight w:val="0"/>
      <w:marTop w:val="0"/>
      <w:marBottom w:val="0"/>
      <w:divBdr>
        <w:top w:val="none" w:sz="0" w:space="0" w:color="auto"/>
        <w:left w:val="none" w:sz="0" w:space="0" w:color="auto"/>
        <w:bottom w:val="none" w:sz="0" w:space="0" w:color="auto"/>
        <w:right w:val="none" w:sz="0" w:space="0" w:color="auto"/>
      </w:divBdr>
    </w:div>
    <w:div w:id="1608384683">
      <w:bodyDiv w:val="1"/>
      <w:marLeft w:val="0"/>
      <w:marRight w:val="0"/>
      <w:marTop w:val="0"/>
      <w:marBottom w:val="0"/>
      <w:divBdr>
        <w:top w:val="none" w:sz="0" w:space="0" w:color="auto"/>
        <w:left w:val="none" w:sz="0" w:space="0" w:color="auto"/>
        <w:bottom w:val="none" w:sz="0" w:space="0" w:color="auto"/>
        <w:right w:val="none" w:sz="0" w:space="0" w:color="auto"/>
      </w:divBdr>
    </w:div>
    <w:div w:id="1609311447">
      <w:bodyDiv w:val="1"/>
      <w:marLeft w:val="0"/>
      <w:marRight w:val="0"/>
      <w:marTop w:val="0"/>
      <w:marBottom w:val="0"/>
      <w:divBdr>
        <w:top w:val="none" w:sz="0" w:space="0" w:color="auto"/>
        <w:left w:val="none" w:sz="0" w:space="0" w:color="auto"/>
        <w:bottom w:val="none" w:sz="0" w:space="0" w:color="auto"/>
        <w:right w:val="none" w:sz="0" w:space="0" w:color="auto"/>
      </w:divBdr>
    </w:div>
    <w:div w:id="1711688606">
      <w:bodyDiv w:val="1"/>
      <w:marLeft w:val="0"/>
      <w:marRight w:val="0"/>
      <w:marTop w:val="0"/>
      <w:marBottom w:val="0"/>
      <w:divBdr>
        <w:top w:val="none" w:sz="0" w:space="0" w:color="auto"/>
        <w:left w:val="none" w:sz="0" w:space="0" w:color="auto"/>
        <w:bottom w:val="none" w:sz="0" w:space="0" w:color="auto"/>
        <w:right w:val="none" w:sz="0" w:space="0" w:color="auto"/>
      </w:divBdr>
    </w:div>
    <w:div w:id="1861310739">
      <w:bodyDiv w:val="1"/>
      <w:marLeft w:val="0"/>
      <w:marRight w:val="0"/>
      <w:marTop w:val="0"/>
      <w:marBottom w:val="0"/>
      <w:divBdr>
        <w:top w:val="none" w:sz="0" w:space="0" w:color="auto"/>
        <w:left w:val="none" w:sz="0" w:space="0" w:color="auto"/>
        <w:bottom w:val="none" w:sz="0" w:space="0" w:color="auto"/>
        <w:right w:val="none" w:sz="0" w:space="0" w:color="auto"/>
      </w:divBdr>
    </w:div>
    <w:div w:id="1964336881">
      <w:bodyDiv w:val="1"/>
      <w:marLeft w:val="0"/>
      <w:marRight w:val="0"/>
      <w:marTop w:val="0"/>
      <w:marBottom w:val="0"/>
      <w:divBdr>
        <w:top w:val="none" w:sz="0" w:space="0" w:color="auto"/>
        <w:left w:val="none" w:sz="0" w:space="0" w:color="auto"/>
        <w:bottom w:val="none" w:sz="0" w:space="0" w:color="auto"/>
        <w:right w:val="none" w:sz="0" w:space="0" w:color="auto"/>
      </w:divBdr>
    </w:div>
    <w:div w:id="1968780420">
      <w:bodyDiv w:val="1"/>
      <w:marLeft w:val="0"/>
      <w:marRight w:val="0"/>
      <w:marTop w:val="0"/>
      <w:marBottom w:val="0"/>
      <w:divBdr>
        <w:top w:val="none" w:sz="0" w:space="0" w:color="auto"/>
        <w:left w:val="none" w:sz="0" w:space="0" w:color="auto"/>
        <w:bottom w:val="none" w:sz="0" w:space="0" w:color="auto"/>
        <w:right w:val="none" w:sz="0" w:space="0" w:color="auto"/>
      </w:divBdr>
    </w:div>
    <w:div w:id="2027830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ICBF"/><Relationship Id="rId42" Type="http://schemas.openxmlformats.org/officeDocument/2006/relationships/image" Target="media/image19.emf"/><Relationship Id="rId47" Type="http://schemas.openxmlformats.org/officeDocument/2006/relationships/image" Target="media/image22.emf"/><Relationship Id="rId63" Type="http://schemas.openxmlformats.org/officeDocument/2006/relationships/hyperlink" Target="#CONTENIDO"/><Relationship Id="rId68" Type="http://schemas.openxmlformats.org/officeDocument/2006/relationships/image" Target="media/image34.emf"/><Relationship Id="rId84" Type="http://schemas.openxmlformats.org/officeDocument/2006/relationships/hyperlink" Target="http://www.icbf.gov.co/portal/page/portal/PortalICBF/Servicios" TargetMode="External"/><Relationship Id="rId89" Type="http://schemas.openxmlformats.org/officeDocument/2006/relationships/fontTable" Target="fontTable.xml"/><Relationship Id="rId16" Type="http://schemas.openxmlformats.org/officeDocument/2006/relationships/hyperlink" Target="#DPS"/><Relationship Id="rId11" Type="http://schemas.openxmlformats.org/officeDocument/2006/relationships/image" Target="media/image4.emf"/><Relationship Id="rId32" Type="http://schemas.openxmlformats.org/officeDocument/2006/relationships/image" Target="media/image12.emf"/><Relationship Id="rId37" Type="http://schemas.openxmlformats.org/officeDocument/2006/relationships/chart" Target="charts/chart1.xml"/><Relationship Id="rId53" Type="http://schemas.openxmlformats.org/officeDocument/2006/relationships/image" Target="media/image27.emf"/><Relationship Id="rId58" Type="http://schemas.openxmlformats.org/officeDocument/2006/relationships/hyperlink" Target="http://www.centrodememoriahistorica.gov.co/noticias/noticias-cmh/construyendo-pais-mas-alla-de-las-fronteras" TargetMode="External"/><Relationship Id="rId74" Type="http://schemas.openxmlformats.org/officeDocument/2006/relationships/hyperlink" Target="#CONTENIDO"/><Relationship Id="rId79" Type="http://schemas.openxmlformats.org/officeDocument/2006/relationships/image" Target="media/image36.png"/><Relationship Id="rId5" Type="http://schemas.openxmlformats.org/officeDocument/2006/relationships/webSettings" Target="webSettings.xml"/><Relationship Id="rId90" Type="http://schemas.openxmlformats.org/officeDocument/2006/relationships/theme" Target="theme/theme1.xml"/><Relationship Id="rId22" Type="http://schemas.openxmlformats.org/officeDocument/2006/relationships/hyperlink" Target="#CONTENIDO"/><Relationship Id="rId27" Type="http://schemas.openxmlformats.org/officeDocument/2006/relationships/image" Target="media/image9.wmf"/><Relationship Id="rId43" Type="http://schemas.openxmlformats.org/officeDocument/2006/relationships/chart" Target="charts/chart2.xml"/><Relationship Id="rId48" Type="http://schemas.openxmlformats.org/officeDocument/2006/relationships/image" Target="media/image23.emf"/><Relationship Id="rId64" Type="http://schemas.openxmlformats.org/officeDocument/2006/relationships/image" Target="media/image30.jpeg"/><Relationship Id="rId69" Type="http://schemas.openxmlformats.org/officeDocument/2006/relationships/hyperlink" Target="http://centromemoria.gov.co/la-historica-encuesta-sobre-las-victimas/?q=content/planes-anuales-de-adquisiciones" TargetMode="External"/><Relationship Id="rId8" Type="http://schemas.openxmlformats.org/officeDocument/2006/relationships/image" Target="media/image1.png"/><Relationship Id="rId51" Type="http://schemas.openxmlformats.org/officeDocument/2006/relationships/image" Target="media/image26.emf"/><Relationship Id="rId72" Type="http://schemas.openxmlformats.org/officeDocument/2006/relationships/chart" Target="charts/chart6.xml"/><Relationship Id="rId80" Type="http://schemas.openxmlformats.org/officeDocument/2006/relationships/image" Target="media/image37.png"/><Relationship Id="rId85" Type="http://schemas.openxmlformats.org/officeDocument/2006/relationships/hyperlink" Target="http://www.consolidacion.gov.co/" TargetMode="External"/><Relationship Id="rId93"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ANSPE"/><Relationship Id="rId25" Type="http://schemas.openxmlformats.org/officeDocument/2006/relationships/hyperlink" Target="#CONTENIDO"/><Relationship Id="rId33" Type="http://schemas.openxmlformats.org/officeDocument/2006/relationships/image" Target="media/image13.png"/><Relationship Id="rId38" Type="http://schemas.openxmlformats.org/officeDocument/2006/relationships/hyperlink" Target="#CONTENIDO"/><Relationship Id="rId46" Type="http://schemas.openxmlformats.org/officeDocument/2006/relationships/header" Target="header1.xml"/><Relationship Id="rId59" Type="http://schemas.openxmlformats.org/officeDocument/2006/relationships/image" Target="media/image29.jpeg"/><Relationship Id="rId67" Type="http://schemas.openxmlformats.org/officeDocument/2006/relationships/image" Target="media/image33.emf"/><Relationship Id="rId20" Type="http://schemas.openxmlformats.org/officeDocument/2006/relationships/hyperlink" Target="#UACT"/><Relationship Id="rId41" Type="http://schemas.openxmlformats.org/officeDocument/2006/relationships/image" Target="media/image18.emf"/><Relationship Id="rId54" Type="http://schemas.openxmlformats.org/officeDocument/2006/relationships/hyperlink" Target="#CONTENIDO"/><Relationship Id="rId62" Type="http://schemas.openxmlformats.org/officeDocument/2006/relationships/hyperlink" Target="#CONTENIDO"/><Relationship Id="rId70" Type="http://schemas.openxmlformats.org/officeDocument/2006/relationships/chart" Target="charts/chart4.xml"/><Relationship Id="rId75" Type="http://schemas.openxmlformats.org/officeDocument/2006/relationships/hyperlink" Target="#CONTENIDO"/><Relationship Id="rId83" Type="http://schemas.openxmlformats.org/officeDocument/2006/relationships/hyperlink" Target="http://www.icbf.gov.co/portal/page/portal/PortalICBF/Servicios/PQRFormulario" TargetMode="External"/><Relationship Id="rId88" Type="http://schemas.openxmlformats.org/officeDocument/2006/relationships/header" Target="header2.xml"/><Relationship Id="rId9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SECTORINCLUSION"/><Relationship Id="rId23" Type="http://schemas.openxmlformats.org/officeDocument/2006/relationships/image" Target="media/image7.jpeg"/><Relationship Id="rId28" Type="http://schemas.openxmlformats.org/officeDocument/2006/relationships/image" Target="media/image10.wmf"/><Relationship Id="rId36" Type="http://schemas.openxmlformats.org/officeDocument/2006/relationships/image" Target="media/image16.png"/><Relationship Id="rId49" Type="http://schemas.openxmlformats.org/officeDocument/2006/relationships/image" Target="media/image24.emf"/><Relationship Id="rId57" Type="http://schemas.openxmlformats.org/officeDocument/2006/relationships/image" Target="media/image28.jpeg"/><Relationship Id="rId10" Type="http://schemas.openxmlformats.org/officeDocument/2006/relationships/image" Target="media/image3.emf"/><Relationship Id="rId31" Type="http://schemas.openxmlformats.org/officeDocument/2006/relationships/image" Target="media/image11.jpeg"/><Relationship Id="rId44" Type="http://schemas.openxmlformats.org/officeDocument/2006/relationships/chart" Target="charts/chart3.xml"/><Relationship Id="rId52" Type="http://schemas.openxmlformats.org/officeDocument/2006/relationships/hyperlink" Target="http://www.icbf.gov.co/portal/page/portal/PortalICBF" TargetMode="External"/><Relationship Id="rId60" Type="http://schemas.openxmlformats.org/officeDocument/2006/relationships/hyperlink" Target="http://www.unidadvictimas.gov.co" TargetMode="External"/><Relationship Id="rId65" Type="http://schemas.openxmlformats.org/officeDocument/2006/relationships/image" Target="media/image31.png"/><Relationship Id="rId73" Type="http://schemas.openxmlformats.org/officeDocument/2006/relationships/chart" Target="charts/chart7.xml"/><Relationship Id="rId78" Type="http://schemas.openxmlformats.org/officeDocument/2006/relationships/chart" Target="charts/chart9.xml"/><Relationship Id="rId81" Type="http://schemas.openxmlformats.org/officeDocument/2006/relationships/image" Target="media/image38.emf"/><Relationship Id="rId86" Type="http://schemas.openxmlformats.org/officeDocument/2006/relationships/hyperlink" Target="http://www.centrodememoriahistorica.gov.co" TargetMode="External"/><Relationship Id="rId94"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hyperlink" Target="#UARIV"/><Relationship Id="rId39" Type="http://schemas.openxmlformats.org/officeDocument/2006/relationships/hyperlink" Target="#CONTENIDO"/><Relationship Id="rId34" Type="http://schemas.openxmlformats.org/officeDocument/2006/relationships/image" Target="media/image14.emf"/><Relationship Id="rId50" Type="http://schemas.openxmlformats.org/officeDocument/2006/relationships/image" Target="media/image25.emf"/><Relationship Id="rId55" Type="http://schemas.openxmlformats.org/officeDocument/2006/relationships/hyperlink" Target="#CONTENIDO"/><Relationship Id="rId76" Type="http://schemas.openxmlformats.org/officeDocument/2006/relationships/image" Target="media/image35.jpeg"/><Relationship Id="rId7" Type="http://schemas.openxmlformats.org/officeDocument/2006/relationships/endnotes" Target="endnotes.xml"/><Relationship Id="rId71" Type="http://schemas.openxmlformats.org/officeDocument/2006/relationships/chart" Target="charts/chart5.xml"/><Relationship Id="rId92" Type="http://schemas.openxmlformats.org/officeDocument/2006/relationships/customXml" Target="../customXml/item3.xml"/><Relationship Id="rId2" Type="http://schemas.openxmlformats.org/officeDocument/2006/relationships/numbering" Target="numbering.xml"/><Relationship Id="rId29" Type="http://schemas.openxmlformats.org/officeDocument/2006/relationships/hyperlink" Target="#CONTENIDO"/><Relationship Id="rId24" Type="http://schemas.openxmlformats.org/officeDocument/2006/relationships/hyperlink" Target="#CONTENIDO"/><Relationship Id="rId40" Type="http://schemas.openxmlformats.org/officeDocument/2006/relationships/image" Target="media/image17.jpeg"/><Relationship Id="rId45" Type="http://schemas.openxmlformats.org/officeDocument/2006/relationships/hyperlink" Target="http://www.icbf.gov.co/portal/page/portal/PortalICBF/NormatividadC/Transparencia/%20EstrategiaAnticorrupcion" TargetMode="External"/><Relationship Id="rId66" Type="http://schemas.openxmlformats.org/officeDocument/2006/relationships/image" Target="media/image32.emf"/><Relationship Id="rId87" Type="http://schemas.openxmlformats.org/officeDocument/2006/relationships/hyperlink" Target="#CONTENIDO"/><Relationship Id="rId61" Type="http://schemas.openxmlformats.org/officeDocument/2006/relationships/hyperlink" Target="http://www.unidadvictimas.gov.co/index.php/indicadores-de-gestion/2013" TargetMode="External"/><Relationship Id="rId82" Type="http://schemas.openxmlformats.org/officeDocument/2006/relationships/chart" Target="charts/chart10.xml"/><Relationship Id="rId19" Type="http://schemas.openxmlformats.org/officeDocument/2006/relationships/hyperlink" Target="#CNMH"/><Relationship Id="rId14" Type="http://schemas.openxmlformats.org/officeDocument/2006/relationships/hyperlink" Target="#PRESENTACION"/><Relationship Id="rId30" Type="http://schemas.openxmlformats.org/officeDocument/2006/relationships/hyperlink" Target="#CONTENIDO"/><Relationship Id="rId35" Type="http://schemas.openxmlformats.org/officeDocument/2006/relationships/image" Target="media/image15.png"/><Relationship Id="rId56" Type="http://schemas.openxmlformats.org/officeDocument/2006/relationships/hyperlink" Target="http://www.centrodememoriahistorica.gov.co" TargetMode="External"/><Relationship Id="rId77" Type="http://schemas.openxmlformats.org/officeDocument/2006/relationships/chart" Target="charts/chart8.xml"/></Relationships>
</file>

<file path=word/_rels/footnotes.xml.rels><?xml version="1.0" encoding="UTF-8" standalone="yes"?>
<Relationships xmlns="http://schemas.openxmlformats.org/package/2006/relationships"><Relationship Id="rId1" Type="http://schemas.openxmlformats.org/officeDocument/2006/relationships/hyperlink" Target="http://www.anspe.gov.co/sites/default/files/documentos/lineamientos_estrategia_zolip_03.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CarlosA.Rodriguez\Documents\Seguimiento%20Ejecuci&#243;n%202015\Consejo%20directivo\Gr&#225;ficas%20y%20c&#225;culos%2023ENE20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iana.espitia\Desktop\Informe%20para%20el%20DPS%20_%20Feb%2019.15\Modelo%20Informe%20Rendici&#243;n%20de%20Cuentas%20Sectorial%2020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iana.espitia\Desktop\Informe%20para%20el%20DPS%20_%20Feb%2019.15\Modelo%20Informe%20Rendici&#243;n%20de%20Cuentas%20Sectorial%2020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OFICINA\SOSTENIBILIDAD\CREDITO\ENVIOS%20AL%20BANCO%20-%20APROBACIONES%20Y%20DEVOLUCIONES\CONSOLIDADO%20INFORMACION%20CREDITOS%202014.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OFICINA\SOSTENIBILIDAD\CREDITO\ENVIOS%20AL%20BANCO%20-%20APROBACIONES%20Y%20DEVOLUCIONES\CONSOLIDADO%20INFORMACION%20CREDITOS%202014.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ngela.aristizabal.UACT\Desktop\grafico%20indice%20por%20pilar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ina.gomez\Documents\LINA%20OCI\LINA%202014\INFORMES%20CONTRALORIA\PLAN%20DE%20MEJORAMIENTO%20CGR\SEGUNDO%20SEMESTRE\53_000012017_20131231%20SEGUIMIENTO%20LINA%20%2023%20ENERO%2015.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CarlosA.Rodriguez\Documents\Seguimiento%20Ejecuci&#243;n%202015\Consejo%20directivo\Gr&#225;ficas%20y%20c&#225;culos%2023ENE2015.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CarlosA.Rodriguez\Documents\Seguimiento%20Ejecuci&#243;n%202015\Consejo%20directivo\Gr&#225;ficas%20y%20c&#225;culos%2023ENE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style val="3"/>
  <c:chart>
    <c:title>
      <c:tx>
        <c:rich>
          <a:bodyPr/>
          <a:lstStyle/>
          <a:p>
            <a:pPr algn="ctr">
              <a:defRPr/>
            </a:pPr>
            <a:r>
              <a:rPr lang="en-US"/>
              <a:t>Plan</a:t>
            </a:r>
            <a:r>
              <a:rPr lang="en-US" baseline="0"/>
              <a:t> de Compras </a:t>
            </a:r>
            <a:r>
              <a:rPr lang="en-US"/>
              <a:t>2014</a:t>
            </a:r>
          </a:p>
        </c:rich>
      </c:tx>
    </c:title>
    <c:view3D>
      <c:rAngAx val="1"/>
    </c:view3D>
    <c:plotArea>
      <c:layout/>
      <c:bar3DChart>
        <c:barDir val="col"/>
        <c:grouping val="clustered"/>
        <c:ser>
          <c:idx val="0"/>
          <c:order val="0"/>
          <c:tx>
            <c:strRef>
              <c:f>'Gráficas Plan de Compras'!$B$1</c:f>
              <c:strCache>
                <c:ptCount val="1"/>
                <c:pt idx="0">
                  <c:v>2014</c:v>
                </c:pt>
              </c:strCache>
            </c:strRef>
          </c:tx>
          <c:dLbls>
            <c:numFmt formatCode="#,##0" sourceLinked="0"/>
            <c:spPr>
              <a:noFill/>
              <a:ln>
                <a:noFill/>
              </a:ln>
              <a:effectLst/>
            </c:spPr>
            <c:showVal val="1"/>
            <c:extLst>
              <c:ext xmlns:c15="http://schemas.microsoft.com/office/drawing/2012/chart" uri="{CE6537A1-D6FC-4f65-9D91-7224C49458BB}">
                <c15:showLeaderLines val="0"/>
              </c:ext>
            </c:extLst>
          </c:dLbls>
          <c:cat>
            <c:strRef>
              <c:f>'Gráficas Plan de Compras'!$A$2:$A$3</c:f>
              <c:strCache>
                <c:ptCount val="2"/>
                <c:pt idx="0">
                  <c:v>Funcionamiento</c:v>
                </c:pt>
                <c:pt idx="1">
                  <c:v>Inversión</c:v>
                </c:pt>
              </c:strCache>
              <c:extLst>
                <c:ext xmlns:c15="http://schemas.microsoft.com/office/drawing/2012/chart" uri="{02D57815-91ED-43cb-92C2-25804820EDAC}">
                  <c15:fullRef>
                    <c15:sqref>'Gráficas Plan de Compras'!$A$2:$A$5</c15:sqref>
                  </c15:fullRef>
                </c:ext>
              </c:extLst>
            </c:strRef>
          </c:cat>
          <c:val>
            <c:numRef>
              <c:f>'Gráficas Plan de Compras'!$B$2:$B$3</c:f>
              <c:numCache>
                <c:formatCode>General</c:formatCode>
                <c:ptCount val="2"/>
                <c:pt idx="0">
                  <c:v>6753.4872670000004</c:v>
                </c:pt>
                <c:pt idx="1">
                  <c:v>203191.7</c:v>
                </c:pt>
              </c:numCache>
              <c:extLst>
                <c:ext xmlns:c15="http://schemas.microsoft.com/office/drawing/2012/chart" uri="{02D57815-91ED-43cb-92C2-25804820EDAC}">
                  <c15:fullRef>
                    <c15:sqref>'Gráficas Plan de Compras'!$B$2:$B$5</c15:sqref>
                  </c15:fullRef>
                </c:ext>
              </c:extLst>
            </c:numRef>
          </c:val>
        </c:ser>
        <c:shape val="box"/>
        <c:axId val="216611072"/>
        <c:axId val="216621056"/>
        <c:axId val="0"/>
      </c:bar3DChart>
      <c:catAx>
        <c:axId val="216611072"/>
        <c:scaling>
          <c:orientation val="minMax"/>
        </c:scaling>
        <c:axPos val="b"/>
        <c:numFmt formatCode="General" sourceLinked="0"/>
        <c:tickLblPos val="nextTo"/>
        <c:crossAx val="216621056"/>
        <c:crosses val="autoZero"/>
        <c:auto val="1"/>
        <c:lblAlgn val="ctr"/>
        <c:lblOffset val="100"/>
      </c:catAx>
      <c:valAx>
        <c:axId val="216621056"/>
        <c:scaling>
          <c:orientation val="minMax"/>
        </c:scaling>
        <c:axPos val="l"/>
        <c:majorGridlines/>
        <c:numFmt formatCode="General" sourceLinked="1"/>
        <c:tickLblPos val="nextTo"/>
        <c:crossAx val="216611072"/>
        <c:crosses val="autoZero"/>
        <c:crossBetween val="between"/>
      </c:valAx>
    </c:plotArea>
    <c:legend>
      <c:legendPos val="r"/>
    </c:legend>
    <c:plotVisOnly val="1"/>
    <c:dispBlanksAs val="gap"/>
  </c:chart>
  <c:txPr>
    <a:bodyPr/>
    <a:lstStyle/>
    <a:p>
      <a:pPr>
        <a:defRPr baseline="0">
          <a:latin typeface="Verdana" panose="020B0604030504040204" pitchFamily="34" charset="0"/>
        </a:defRPr>
      </a:pPr>
      <a:endParaRPr lang="es-CO"/>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CO"/>
  <c:chart>
    <c:autoTitleDeleted val="1"/>
    <c:plotArea>
      <c:layout>
        <c:manualLayout>
          <c:layoutTarget val="inner"/>
          <c:xMode val="edge"/>
          <c:yMode val="edge"/>
          <c:x val="0.10142464886248413"/>
          <c:y val="0.14781569292351018"/>
          <c:w val="0.78082446507586667"/>
          <c:h val="0.65059137577373205"/>
        </c:manualLayout>
      </c:layout>
      <c:barChart>
        <c:barDir val="col"/>
        <c:grouping val="clustered"/>
        <c:ser>
          <c:idx val="1"/>
          <c:order val="0"/>
          <c:tx>
            <c:strRef>
              <c:f>Reservas!$B$1</c:f>
              <c:strCache>
                <c:ptCount val="1"/>
                <c:pt idx="0">
                  <c:v>Reservas</c:v>
                </c:pt>
              </c:strCache>
            </c:strRef>
          </c:tx>
          <c:spPr>
            <a:solidFill>
              <a:schemeClr val="accent1">
                <a:lumMod val="40000"/>
                <a:lumOff val="6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es-CO"/>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Histórico!$A$11:$A$14</c:f>
              <c:numCache>
                <c:formatCode>General</c:formatCode>
                <c:ptCount val="4"/>
                <c:pt idx="0">
                  <c:v>2011</c:v>
                </c:pt>
                <c:pt idx="1">
                  <c:v>2012</c:v>
                </c:pt>
                <c:pt idx="2">
                  <c:v>2013</c:v>
                </c:pt>
                <c:pt idx="3">
                  <c:v>2014</c:v>
                </c:pt>
              </c:numCache>
            </c:numRef>
          </c:cat>
          <c:val>
            <c:numRef>
              <c:f>Reservas!$B$11:$B$14</c:f>
              <c:numCache>
                <c:formatCode>_-* #,##0_-;\-* #,##0_-;_-* "-"??_-;_-@_-</c:formatCode>
                <c:ptCount val="4"/>
                <c:pt idx="0">
                  <c:v>172129.56262760938</c:v>
                </c:pt>
                <c:pt idx="1">
                  <c:v>188181.78340021972</c:v>
                </c:pt>
                <c:pt idx="2">
                  <c:v>163849.65170576581</c:v>
                </c:pt>
                <c:pt idx="3">
                  <c:v>71123.761934553273</c:v>
                </c:pt>
              </c:numCache>
            </c:numRef>
          </c:val>
        </c:ser>
        <c:gapWidth val="269"/>
        <c:axId val="217592960"/>
        <c:axId val="217594496"/>
      </c:barChart>
      <c:lineChart>
        <c:grouping val="standard"/>
        <c:ser>
          <c:idx val="0"/>
          <c:order val="1"/>
          <c:tx>
            <c:strRef>
              <c:f>Reservas!$C$1</c:f>
              <c:strCache>
                <c:ptCount val="1"/>
                <c:pt idx="0">
                  <c:v>Var. %</c:v>
                </c:pt>
              </c:strCache>
            </c:strRef>
          </c:tx>
          <c:spPr>
            <a:ln w="34925" cap="rnd">
              <a:solidFill>
                <a:srgbClr val="C00000"/>
              </a:solidFill>
              <a:round/>
            </a:ln>
            <a:effectLst>
              <a:outerShdw blurRad="57150" dist="19050" dir="5400000" algn="ctr" rotWithShape="0">
                <a:srgbClr val="000000">
                  <a:alpha val="63000"/>
                </a:srgbClr>
              </a:outerShdw>
            </a:effectLst>
          </c:spPr>
          <c:marker>
            <c:symbol val="circle"/>
            <c:size val="6"/>
            <c:spPr>
              <a:solidFill>
                <a:srgbClr val="C00000"/>
              </a:solidFill>
              <a:ln w="9525">
                <a:no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dLbls>
            <c:dLbl>
              <c:idx val="2"/>
              <c:layout>
                <c:manualLayout>
                  <c:x val="-5.7426624266032483E-2"/>
                  <c:y val="7.8038050202144063E-2"/>
                </c:manualLayout>
              </c:layout>
              <c:dLblPos val="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es-CO"/>
              </a:p>
            </c:txPr>
            <c:dLblPos val="b"/>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Histórico!$A$11:$A$14</c:f>
              <c:numCache>
                <c:formatCode>General</c:formatCode>
                <c:ptCount val="4"/>
                <c:pt idx="0">
                  <c:v>2011</c:v>
                </c:pt>
                <c:pt idx="1">
                  <c:v>2012</c:v>
                </c:pt>
                <c:pt idx="2">
                  <c:v>2013</c:v>
                </c:pt>
                <c:pt idx="3">
                  <c:v>2014</c:v>
                </c:pt>
              </c:numCache>
            </c:numRef>
          </c:cat>
          <c:val>
            <c:numRef>
              <c:f>Reservas!$C$11:$C$14</c:f>
              <c:numCache>
                <c:formatCode>0.0%</c:formatCode>
                <c:ptCount val="4"/>
                <c:pt idx="1">
                  <c:v>9.3256617443095643E-2</c:v>
                </c:pt>
                <c:pt idx="2">
                  <c:v>-0.12930120681609891</c:v>
                </c:pt>
                <c:pt idx="3">
                  <c:v>-0.56592057905454474</c:v>
                </c:pt>
              </c:numCache>
            </c:numRef>
          </c:val>
        </c:ser>
        <c:marker val="1"/>
        <c:axId val="217642880"/>
        <c:axId val="217641344"/>
      </c:lineChart>
      <c:catAx>
        <c:axId val="217592960"/>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crossAx val="217594496"/>
        <c:crosses val="autoZero"/>
        <c:auto val="1"/>
        <c:lblAlgn val="ctr"/>
        <c:lblOffset val="100"/>
      </c:catAx>
      <c:valAx>
        <c:axId val="217594496"/>
        <c:scaling>
          <c:orientation val="minMax"/>
        </c:scaling>
        <c:axPos val="l"/>
        <c:majorGridlines>
          <c:spPr>
            <a:ln w="9525" cap="flat" cmpd="sng" algn="ctr">
              <a:solidFill>
                <a:schemeClr val="tx1">
                  <a:lumMod val="15000"/>
                  <a:lumOff val="85000"/>
                </a:schemeClr>
              </a:solidFill>
              <a:round/>
            </a:ln>
            <a:effectLst/>
          </c:spPr>
        </c:majorGridlines>
        <c:numFmt formatCode="_-* #,##0_-;\-* #,##0_-;_-* &quot;-&quot;??_-;_-@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7592960"/>
        <c:crosses val="autoZero"/>
        <c:crossBetween val="between"/>
        <c:majorUnit val="40000"/>
      </c:valAx>
      <c:valAx>
        <c:axId val="217641344"/>
        <c:scaling>
          <c:orientation val="minMax"/>
          <c:max val="0.2"/>
        </c:scaling>
        <c:axPos val="r"/>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7642880"/>
        <c:crosses val="max"/>
        <c:crossBetween val="between"/>
        <c:majorUnit val="0.2"/>
      </c:valAx>
      <c:catAx>
        <c:axId val="217642880"/>
        <c:scaling>
          <c:orientation val="minMax"/>
        </c:scaling>
        <c:delete val="1"/>
        <c:axPos val="b"/>
        <c:numFmt formatCode="General" sourceLinked="1"/>
        <c:majorTickMark val="none"/>
        <c:tickLblPos val="none"/>
        <c:crossAx val="217641344"/>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legend>
    <c:plotVisOnly val="1"/>
    <c:dispBlanksAs val="gap"/>
  </c:chart>
  <c:spPr>
    <a:solidFill>
      <a:schemeClr val="bg1"/>
    </a:solidFill>
    <a:ln w="9525" cap="flat" cmpd="sng" algn="ctr">
      <a:noFill/>
      <a:round/>
    </a:ln>
    <a:effectLst/>
  </c:spPr>
  <c:txPr>
    <a:bodyPr/>
    <a:lstStyle/>
    <a:p>
      <a:pPr>
        <a:defRPr/>
      </a:pPr>
      <a:endParaRPr lang="es-CO"/>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O"/>
  <c:style val="3"/>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9.7122703412073505E-2"/>
          <c:y val="5.5555555555555455E-2"/>
          <c:w val="0.89723293963254558"/>
          <c:h val="0.73179634346243005"/>
        </c:manualLayout>
      </c:layout>
      <c:bar3DChart>
        <c:barDir val="col"/>
        <c:grouping val="clustered"/>
        <c:ser>
          <c:idx val="0"/>
          <c:order val="0"/>
          <c:tx>
            <c:strRef>
              <c:f>GRAFICOS!$D$4</c:f>
              <c:strCache>
                <c:ptCount val="1"/>
                <c:pt idx="0">
                  <c:v>2013</c:v>
                </c:pt>
              </c:strCache>
            </c:strRef>
          </c:tx>
          <c:spPr>
            <a:gradFill rotWithShape="1">
              <a:gsLst>
                <a:gs pos="0">
                  <a:schemeClr val="accent1">
                    <a:shade val="58000"/>
                    <a:shade val="51000"/>
                    <a:satMod val="130000"/>
                  </a:schemeClr>
                </a:gs>
                <a:gs pos="80000">
                  <a:schemeClr val="accent1">
                    <a:shade val="58000"/>
                    <a:shade val="93000"/>
                    <a:satMod val="130000"/>
                  </a:schemeClr>
                </a:gs>
                <a:gs pos="100000">
                  <a:schemeClr val="accent1">
                    <a:shade val="58000"/>
                    <a:shade val="94000"/>
                    <a:satMod val="135000"/>
                  </a:schemeClr>
                </a:gs>
              </a:gsLst>
              <a:lin ang="16200000" scaled="0"/>
            </a:gradFill>
            <a:ln>
              <a:noFill/>
            </a:ln>
            <a:effectLst>
              <a:outerShdw blurRad="40000" dist="23000" dir="5400000" rotWithShape="0">
                <a:srgbClr val="000000">
                  <a:alpha val="35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GRAFICOS!$C$5:$C$8</c:f>
              <c:strCache>
                <c:ptCount val="4"/>
                <c:pt idx="0">
                  <c:v>GASTOS DE PERSONAL</c:v>
                </c:pt>
                <c:pt idx="1">
                  <c:v>GASTOS GENERALES</c:v>
                </c:pt>
                <c:pt idx="2">
                  <c:v>TRANSFERENCIAS</c:v>
                </c:pt>
                <c:pt idx="3">
                  <c:v>GASTOS DE INVERSIÓN</c:v>
                </c:pt>
              </c:strCache>
            </c:strRef>
          </c:cat>
          <c:val>
            <c:numRef>
              <c:f>GRAFICOS!$D$5:$D$8</c:f>
              <c:numCache>
                <c:formatCode>0%</c:formatCode>
                <c:ptCount val="4"/>
                <c:pt idx="0">
                  <c:v>0.90872796456626259</c:v>
                </c:pt>
                <c:pt idx="1">
                  <c:v>0.88779216937924266</c:v>
                </c:pt>
                <c:pt idx="2">
                  <c:v>0.9353925179881778</c:v>
                </c:pt>
                <c:pt idx="3">
                  <c:v>0.99026001831239718</c:v>
                </c:pt>
              </c:numCache>
            </c:numRef>
          </c:val>
        </c:ser>
        <c:ser>
          <c:idx val="1"/>
          <c:order val="1"/>
          <c:tx>
            <c:strRef>
              <c:f>GRAFICOS!$E$4</c:f>
              <c:strCache>
                <c:ptCount val="1"/>
                <c:pt idx="0">
                  <c:v>2014</c:v>
                </c:pt>
              </c:strCache>
            </c:strRef>
          </c:tx>
          <c:spPr>
            <a:gradFill rotWithShape="1">
              <a:gsLst>
                <a:gs pos="0">
                  <a:schemeClr val="accent1">
                    <a:shade val="86000"/>
                    <a:shade val="51000"/>
                    <a:satMod val="130000"/>
                  </a:schemeClr>
                </a:gs>
                <a:gs pos="80000">
                  <a:schemeClr val="accent1">
                    <a:shade val="86000"/>
                    <a:shade val="93000"/>
                    <a:satMod val="130000"/>
                  </a:schemeClr>
                </a:gs>
                <a:gs pos="100000">
                  <a:schemeClr val="accent1">
                    <a:shade val="86000"/>
                    <a:shade val="94000"/>
                    <a:satMod val="135000"/>
                  </a:schemeClr>
                </a:gs>
              </a:gsLst>
              <a:lin ang="16200000" scaled="0"/>
            </a:gradFill>
            <a:ln>
              <a:noFill/>
            </a:ln>
            <a:effectLst>
              <a:outerShdw blurRad="40000" dist="23000" dir="5400000" rotWithShape="0">
                <a:srgbClr val="000000">
                  <a:alpha val="35000"/>
                </a:srgbClr>
              </a:outerShdw>
            </a:effectLst>
            <a:sp3d/>
          </c:spPr>
          <c:dLbls>
            <c:dLbl>
              <c:idx val="0"/>
              <c:layout>
                <c:manualLayout>
                  <c:x val="1.9444444444444445E-2"/>
                  <c:y val="0"/>
                </c:manualLayout>
              </c:layout>
              <c:showVal val="1"/>
              <c:extLst>
                <c:ext xmlns:c15="http://schemas.microsoft.com/office/drawing/2012/chart" uri="{CE6537A1-D6FC-4f65-9D91-7224C49458BB}"/>
              </c:extLst>
            </c:dLbl>
            <c:dLbl>
              <c:idx val="1"/>
              <c:layout>
                <c:manualLayout>
                  <c:x val="1.1111111111111141E-2"/>
                  <c:y val="0"/>
                </c:manualLayout>
              </c:layout>
              <c:showVal val="1"/>
              <c:extLst>
                <c:ext xmlns:c15="http://schemas.microsoft.com/office/drawing/2012/chart" uri="{CE6537A1-D6FC-4f65-9D91-7224C49458BB}"/>
              </c:extLst>
            </c:dLbl>
            <c:dLbl>
              <c:idx val="2"/>
              <c:layout>
                <c:manualLayout>
                  <c:x val="1.91256830601093E-2"/>
                  <c:y val="-7.7639751552795533E-3"/>
                </c:manualLayout>
              </c:layout>
              <c:showVal val="1"/>
              <c:extLst>
                <c:ext xmlns:c15="http://schemas.microsoft.com/office/drawing/2012/chart" uri="{CE6537A1-D6FC-4f65-9D91-7224C49458BB}"/>
              </c:extLst>
            </c:dLbl>
            <c:dLbl>
              <c:idx val="3"/>
              <c:layout>
                <c:manualLayout>
                  <c:x val="1.639344262295072E-2"/>
                  <c:y val="-1.1645962732919285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GRAFICOS!$C$5:$C$8</c:f>
              <c:strCache>
                <c:ptCount val="4"/>
                <c:pt idx="0">
                  <c:v>GASTOS DE PERSONAL</c:v>
                </c:pt>
                <c:pt idx="1">
                  <c:v>GASTOS GENERALES</c:v>
                </c:pt>
                <c:pt idx="2">
                  <c:v>TRANSFERENCIAS</c:v>
                </c:pt>
                <c:pt idx="3">
                  <c:v>GASTOS DE INVERSIÓN</c:v>
                </c:pt>
              </c:strCache>
            </c:strRef>
          </c:cat>
          <c:val>
            <c:numRef>
              <c:f>GRAFICOS!$E$5:$E$8</c:f>
              <c:numCache>
                <c:formatCode>0%</c:formatCode>
                <c:ptCount val="4"/>
                <c:pt idx="0">
                  <c:v>0.95068589642187173</c:v>
                </c:pt>
                <c:pt idx="1">
                  <c:v>0.89568489685454855</c:v>
                </c:pt>
                <c:pt idx="2">
                  <c:v>0.92198285441276828</c:v>
                </c:pt>
                <c:pt idx="3">
                  <c:v>0.98558473656943968</c:v>
                </c:pt>
              </c:numCache>
            </c:numRef>
          </c:val>
        </c:ser>
        <c:dLbls>
          <c:showVal val="1"/>
        </c:dLbls>
        <c:shape val="box"/>
        <c:axId val="216644224"/>
        <c:axId val="229719040"/>
        <c:axId val="0"/>
      </c:bar3DChart>
      <c:catAx>
        <c:axId val="216644224"/>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229719040"/>
        <c:crosses val="autoZero"/>
        <c:auto val="1"/>
        <c:lblAlgn val="ctr"/>
        <c:lblOffset val="100"/>
      </c:catAx>
      <c:valAx>
        <c:axId val="229719040"/>
        <c:scaling>
          <c:orientation val="minMax"/>
        </c:scaling>
        <c:axPos val="l"/>
        <c:majorGridlines>
          <c:spPr>
            <a:ln w="9525" cap="flat" cmpd="sng" algn="ctr">
              <a:solidFill>
                <a:schemeClr val="tx1">
                  <a:lumMod val="50000"/>
                  <a:lumOff val="50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216644224"/>
        <c:crosses val="autoZero"/>
        <c:crossBetween val="between"/>
      </c:valAx>
      <c:spPr>
        <a:noFill/>
        <a:ln>
          <a:noFill/>
        </a:ln>
        <a:effectLst/>
      </c:spPr>
    </c:plotArea>
    <c:legend>
      <c:legendPos val="b"/>
      <c:layout>
        <c:manualLayout>
          <c:xMode val="edge"/>
          <c:yMode val="edge"/>
          <c:x val="3.0467847769029555E-2"/>
          <c:y val="0.90192796314914569"/>
          <c:w val="0.91406430446193498"/>
          <c:h val="7.0294224509502012E-2"/>
        </c:manualLayout>
      </c:layout>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s-CO"/>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O"/>
  <c:style val="3"/>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0267825896763055"/>
          <c:y val="2.5972850498047016E-2"/>
          <c:w val="0.89723293963254558"/>
          <c:h val="0.73179634346243005"/>
        </c:manualLayout>
      </c:layout>
      <c:bar3DChart>
        <c:barDir val="col"/>
        <c:grouping val="clustered"/>
        <c:ser>
          <c:idx val="0"/>
          <c:order val="0"/>
          <c:tx>
            <c:strRef>
              <c:f>GRAFICOS!$D$22</c:f>
              <c:strCache>
                <c:ptCount val="1"/>
                <c:pt idx="0">
                  <c:v>2013</c:v>
                </c:pt>
              </c:strCache>
            </c:strRef>
          </c:tx>
          <c:spPr>
            <a:gradFill rotWithShape="1">
              <a:gsLst>
                <a:gs pos="0">
                  <a:schemeClr val="accent1">
                    <a:shade val="58000"/>
                    <a:shade val="51000"/>
                    <a:satMod val="130000"/>
                  </a:schemeClr>
                </a:gs>
                <a:gs pos="80000">
                  <a:schemeClr val="accent1">
                    <a:shade val="58000"/>
                    <a:shade val="93000"/>
                    <a:satMod val="130000"/>
                  </a:schemeClr>
                </a:gs>
                <a:gs pos="100000">
                  <a:schemeClr val="accent1">
                    <a:shade val="58000"/>
                    <a:shade val="94000"/>
                    <a:satMod val="135000"/>
                  </a:schemeClr>
                </a:gs>
              </a:gsLst>
              <a:lin ang="16200000" scaled="0"/>
            </a:gradFill>
            <a:ln>
              <a:noFill/>
            </a:ln>
            <a:effectLst>
              <a:outerShdw blurRad="40000" dist="23000" dir="5400000" rotWithShape="0">
                <a:srgbClr val="000000">
                  <a:alpha val="35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GRAFICOS!$C$23:$C$26</c:f>
              <c:strCache>
                <c:ptCount val="4"/>
                <c:pt idx="0">
                  <c:v>GASTOS DE PERSONAL</c:v>
                </c:pt>
                <c:pt idx="1">
                  <c:v>GASTOS GENERALES</c:v>
                </c:pt>
                <c:pt idx="2">
                  <c:v>TRANSFERENCIAS</c:v>
                </c:pt>
                <c:pt idx="3">
                  <c:v>GASTOS DE INVERSIÓN</c:v>
                </c:pt>
              </c:strCache>
            </c:strRef>
          </c:cat>
          <c:val>
            <c:numRef>
              <c:f>GRAFICOS!$D$23:$D$26</c:f>
              <c:numCache>
                <c:formatCode>0%</c:formatCode>
                <c:ptCount val="4"/>
                <c:pt idx="0">
                  <c:v>0.90872796456626259</c:v>
                </c:pt>
                <c:pt idx="1">
                  <c:v>0.81765432228509716</c:v>
                </c:pt>
                <c:pt idx="2">
                  <c:v>0.93508577527913461</c:v>
                </c:pt>
                <c:pt idx="3">
                  <c:v>0.98134578960174457</c:v>
                </c:pt>
              </c:numCache>
            </c:numRef>
          </c:val>
        </c:ser>
        <c:ser>
          <c:idx val="1"/>
          <c:order val="1"/>
          <c:tx>
            <c:strRef>
              <c:f>GRAFICOS!$E$22</c:f>
              <c:strCache>
                <c:ptCount val="1"/>
                <c:pt idx="0">
                  <c:v>2014</c:v>
                </c:pt>
              </c:strCache>
            </c:strRef>
          </c:tx>
          <c:spPr>
            <a:gradFill rotWithShape="1">
              <a:gsLst>
                <a:gs pos="0">
                  <a:schemeClr val="accent1">
                    <a:shade val="86000"/>
                    <a:shade val="51000"/>
                    <a:satMod val="130000"/>
                  </a:schemeClr>
                </a:gs>
                <a:gs pos="80000">
                  <a:schemeClr val="accent1">
                    <a:shade val="86000"/>
                    <a:shade val="93000"/>
                    <a:satMod val="130000"/>
                  </a:schemeClr>
                </a:gs>
                <a:gs pos="100000">
                  <a:schemeClr val="accent1">
                    <a:shade val="86000"/>
                    <a:shade val="94000"/>
                    <a:satMod val="135000"/>
                  </a:schemeClr>
                </a:gs>
              </a:gsLst>
              <a:lin ang="16200000" scaled="0"/>
            </a:gradFill>
            <a:ln>
              <a:noFill/>
            </a:ln>
            <a:effectLst>
              <a:outerShdw blurRad="40000" dist="23000" dir="5400000" rotWithShape="0">
                <a:srgbClr val="000000">
                  <a:alpha val="35000"/>
                </a:srgbClr>
              </a:outerShdw>
            </a:effectLst>
            <a:sp3d/>
          </c:spPr>
          <c:dLbls>
            <c:dLbl>
              <c:idx val="0"/>
              <c:layout>
                <c:manualLayout>
                  <c:x val="1.9444444444444445E-2"/>
                  <c:y val="0"/>
                </c:manualLayout>
              </c:layout>
              <c:showVal val="1"/>
              <c:extLst>
                <c:ext xmlns:c15="http://schemas.microsoft.com/office/drawing/2012/chart" uri="{CE6537A1-D6FC-4f65-9D91-7224C49458BB}"/>
              </c:extLst>
            </c:dLbl>
            <c:dLbl>
              <c:idx val="1"/>
              <c:layout>
                <c:manualLayout>
                  <c:x val="1.1111111111111125E-2"/>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GRAFICOS!$C$23:$C$26</c:f>
              <c:strCache>
                <c:ptCount val="4"/>
                <c:pt idx="0">
                  <c:v>GASTOS DE PERSONAL</c:v>
                </c:pt>
                <c:pt idx="1">
                  <c:v>GASTOS GENERALES</c:v>
                </c:pt>
                <c:pt idx="2">
                  <c:v>TRANSFERENCIAS</c:v>
                </c:pt>
                <c:pt idx="3">
                  <c:v>GASTOS DE INVERSIÓN</c:v>
                </c:pt>
              </c:strCache>
            </c:strRef>
          </c:cat>
          <c:val>
            <c:numRef>
              <c:f>GRAFICOS!$E$23:$E$26</c:f>
              <c:numCache>
                <c:formatCode>0%</c:formatCode>
                <c:ptCount val="4"/>
                <c:pt idx="0">
                  <c:v>0.94999288979979812</c:v>
                </c:pt>
                <c:pt idx="1">
                  <c:v>0.89568489685454844</c:v>
                </c:pt>
                <c:pt idx="2">
                  <c:v>0.92073725771707804</c:v>
                </c:pt>
                <c:pt idx="3">
                  <c:v>0.97725469060736592</c:v>
                </c:pt>
              </c:numCache>
            </c:numRef>
          </c:val>
        </c:ser>
        <c:dLbls>
          <c:showVal val="1"/>
        </c:dLbls>
        <c:shape val="box"/>
        <c:axId val="260567424"/>
        <c:axId val="260568960"/>
        <c:axId val="0"/>
      </c:bar3DChart>
      <c:catAx>
        <c:axId val="260567424"/>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260568960"/>
        <c:crosses val="autoZero"/>
        <c:auto val="1"/>
        <c:lblAlgn val="ctr"/>
        <c:lblOffset val="100"/>
      </c:catAx>
      <c:valAx>
        <c:axId val="260568960"/>
        <c:scaling>
          <c:orientation val="minMax"/>
        </c:scaling>
        <c:axPos val="l"/>
        <c:majorGridlines>
          <c:spPr>
            <a:ln w="9525" cap="flat" cmpd="sng" algn="ctr">
              <a:solidFill>
                <a:schemeClr val="tx1">
                  <a:lumMod val="50000"/>
                  <a:lumOff val="50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260567424"/>
        <c:crosses val="autoZero"/>
        <c:crossBetween val="between"/>
      </c:valAx>
      <c:spPr>
        <a:noFill/>
        <a:ln>
          <a:noFill/>
        </a:ln>
        <a:effectLst/>
      </c:spPr>
    </c:plotArea>
    <c:legend>
      <c:legendPos val="b"/>
      <c:layout>
        <c:manualLayout>
          <c:xMode val="edge"/>
          <c:yMode val="edge"/>
          <c:x val="3.0467847769029568E-2"/>
          <c:y val="0.8229155730533686"/>
          <c:w val="0.91406430446193476"/>
          <c:h val="0.14930664916885389"/>
        </c:manualLayout>
      </c:layout>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s-CO"/>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CO"/>
  <c:style val="3"/>
  <c:chart>
    <c:title>
      <c:tx>
        <c:rich>
          <a:bodyPr/>
          <a:lstStyle/>
          <a:p>
            <a:pPr>
              <a:defRPr/>
            </a:pPr>
            <a:r>
              <a:rPr lang="es-CO"/>
              <a:t>Gestión de Crédito Convenio</a:t>
            </a:r>
          </a:p>
        </c:rich>
      </c:tx>
    </c:title>
    <c:plotArea>
      <c:layout/>
      <c:barChart>
        <c:barDir val="col"/>
        <c:grouping val="clustered"/>
        <c:ser>
          <c:idx val="0"/>
          <c:order val="0"/>
          <c:tx>
            <c:v>Gestión de Credito</c:v>
          </c:tx>
          <c:dLbls>
            <c:spPr>
              <a:noFill/>
              <a:ln>
                <a:noFill/>
              </a:ln>
              <a:effectLst/>
            </c:spPr>
            <c:showVal val="1"/>
            <c:extLst>
              <c:ext xmlns:c15="http://schemas.microsoft.com/office/drawing/2012/chart" uri="{CE6537A1-D6FC-4f65-9D91-7224C49458BB}">
                <c15:showLeaderLines val="0"/>
              </c:ext>
            </c:extLst>
          </c:dLbls>
          <c:cat>
            <c:strRef>
              <c:f>'INFORME '!$G$66:$G$70</c:f>
              <c:strCache>
                <c:ptCount val="5"/>
                <c:pt idx="0">
                  <c:v>2011</c:v>
                </c:pt>
                <c:pt idx="1">
                  <c:v>2012</c:v>
                </c:pt>
                <c:pt idx="2">
                  <c:v>2013</c:v>
                </c:pt>
                <c:pt idx="3">
                  <c:v>2014</c:v>
                </c:pt>
                <c:pt idx="4">
                  <c:v>Total</c:v>
                </c:pt>
              </c:strCache>
            </c:strRef>
          </c:cat>
          <c:val>
            <c:numRef>
              <c:f>'INFORME '!$H$66:$H$70</c:f>
              <c:numCache>
                <c:formatCode>General</c:formatCode>
                <c:ptCount val="5"/>
                <c:pt idx="0" formatCode="#,##0">
                  <c:v>1577</c:v>
                </c:pt>
                <c:pt idx="1">
                  <c:v>1338</c:v>
                </c:pt>
                <c:pt idx="2">
                  <c:v>2034</c:v>
                </c:pt>
                <c:pt idx="3" formatCode="#,##0_);\(#,##0\)">
                  <c:v>772</c:v>
                </c:pt>
                <c:pt idx="4" formatCode="#,##0">
                  <c:v>7923</c:v>
                </c:pt>
              </c:numCache>
            </c:numRef>
          </c:val>
        </c:ser>
        <c:axId val="217268224"/>
        <c:axId val="217269760"/>
      </c:barChart>
      <c:catAx>
        <c:axId val="217268224"/>
        <c:scaling>
          <c:orientation val="minMax"/>
        </c:scaling>
        <c:axPos val="b"/>
        <c:numFmt formatCode="General" sourceLinked="1"/>
        <c:majorTickMark val="none"/>
        <c:tickLblPos val="nextTo"/>
        <c:crossAx val="217269760"/>
        <c:crosses val="autoZero"/>
        <c:auto val="1"/>
        <c:lblAlgn val="ctr"/>
        <c:lblOffset val="100"/>
      </c:catAx>
      <c:valAx>
        <c:axId val="217269760"/>
        <c:scaling>
          <c:orientation val="minMax"/>
        </c:scaling>
        <c:axPos val="l"/>
        <c:majorGridlines/>
        <c:numFmt formatCode="#,##0" sourceLinked="1"/>
        <c:majorTickMark val="none"/>
        <c:tickLblPos val="nextTo"/>
        <c:crossAx val="217268224"/>
        <c:crosses val="autoZero"/>
        <c:crossBetween val="between"/>
      </c:valAx>
    </c:plotArea>
    <c:legend>
      <c:legendPos val="r"/>
    </c:legend>
    <c:plotVisOnly val="1"/>
    <c:dispBlanksAs val="gap"/>
  </c:chart>
  <c:spPr>
    <a:ln w="12700"/>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CO"/>
  <c:style val="3"/>
  <c:chart>
    <c:title>
      <c:tx>
        <c:rich>
          <a:bodyPr/>
          <a:lstStyle/>
          <a:p>
            <a:pPr>
              <a:defRPr/>
            </a:pPr>
            <a:r>
              <a:rPr lang="es-CO"/>
              <a:t>Desembolsos Crédito Convenio</a:t>
            </a:r>
          </a:p>
        </c:rich>
      </c:tx>
    </c:title>
    <c:plotArea>
      <c:layout/>
      <c:barChart>
        <c:barDir val="col"/>
        <c:grouping val="clustered"/>
        <c:ser>
          <c:idx val="0"/>
          <c:order val="0"/>
          <c:tx>
            <c:v>No. Desembolsos</c:v>
          </c:tx>
          <c:dLbls>
            <c:spPr>
              <a:noFill/>
              <a:ln>
                <a:noFill/>
              </a:ln>
              <a:effectLst/>
            </c:spPr>
            <c:showVal val="1"/>
            <c:extLst>
              <c:ext xmlns:c15="http://schemas.microsoft.com/office/drawing/2012/chart" uri="{CE6537A1-D6FC-4f65-9D91-7224C49458BB}">
                <c15:showLeaderLines val="0"/>
              </c:ext>
            </c:extLst>
          </c:dLbls>
          <c:cat>
            <c:strRef>
              <c:f>'INFORME '!$G$66:$G$70</c:f>
              <c:strCache>
                <c:ptCount val="5"/>
                <c:pt idx="0">
                  <c:v>2011</c:v>
                </c:pt>
                <c:pt idx="1">
                  <c:v>2012</c:v>
                </c:pt>
                <c:pt idx="2">
                  <c:v>2013</c:v>
                </c:pt>
                <c:pt idx="3">
                  <c:v>2014</c:v>
                </c:pt>
                <c:pt idx="4">
                  <c:v>Total</c:v>
                </c:pt>
              </c:strCache>
            </c:strRef>
          </c:cat>
          <c:val>
            <c:numRef>
              <c:f>'INFORME '!$J$66:$J$70</c:f>
              <c:numCache>
                <c:formatCode>#,##0</c:formatCode>
                <c:ptCount val="5"/>
                <c:pt idx="0">
                  <c:v>1054</c:v>
                </c:pt>
                <c:pt idx="1">
                  <c:v>1048</c:v>
                </c:pt>
                <c:pt idx="2">
                  <c:v>1004</c:v>
                </c:pt>
                <c:pt idx="3">
                  <c:v>432</c:v>
                </c:pt>
                <c:pt idx="4">
                  <c:v>5139</c:v>
                </c:pt>
              </c:numCache>
            </c:numRef>
          </c:val>
        </c:ser>
        <c:ser>
          <c:idx val="1"/>
          <c:order val="1"/>
          <c:tx>
            <c:v>Valor Desembolsos (millones)</c:v>
          </c:tx>
          <c:dLbls>
            <c:dLbl>
              <c:idx val="1"/>
              <c:layout>
                <c:manualLayout>
                  <c:x val="0"/>
                  <c:y val="-6.1032841287626732E-2"/>
                </c:manualLayout>
              </c:layout>
              <c:dLblPos val="outEnd"/>
              <c:showVal val="1"/>
              <c:extLst>
                <c:ext xmlns:c15="http://schemas.microsoft.com/office/drawing/2012/chart" uri="{CE6537A1-D6FC-4f65-9D91-7224C49458BB}"/>
              </c:extLst>
            </c:dLbl>
            <c:dLbl>
              <c:idx val="3"/>
              <c:layout>
                <c:manualLayout>
                  <c:x val="-3.9682545882163064E-3"/>
                  <c:y val="-3.286383761641512E-2"/>
                </c:manualLayout>
              </c:layout>
              <c:dLblPos val="outEnd"/>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'INFORME '!$G$66:$G$70</c:f>
              <c:strCache>
                <c:ptCount val="5"/>
                <c:pt idx="0">
                  <c:v>2011</c:v>
                </c:pt>
                <c:pt idx="1">
                  <c:v>2012</c:v>
                </c:pt>
                <c:pt idx="2">
                  <c:v>2013</c:v>
                </c:pt>
                <c:pt idx="3">
                  <c:v>2014</c:v>
                </c:pt>
                <c:pt idx="4">
                  <c:v>Total</c:v>
                </c:pt>
              </c:strCache>
            </c:strRef>
          </c:cat>
          <c:val>
            <c:numRef>
              <c:f>'INFORME '!$N$66:$N$70</c:f>
              <c:numCache>
                <c:formatCode>_("$"* #,##0.00_);_("$"* \(#,##0.00\);_("$"* "-"??_);_(@_)</c:formatCode>
                <c:ptCount val="5"/>
                <c:pt idx="0">
                  <c:v>11284.111000000004</c:v>
                </c:pt>
                <c:pt idx="1">
                  <c:v>12766.541400000016</c:v>
                </c:pt>
                <c:pt idx="2">
                  <c:v>12399.404</c:v>
                </c:pt>
                <c:pt idx="3">
                  <c:v>5368.317</c:v>
                </c:pt>
                <c:pt idx="4">
                  <c:v>49415.982400000001</c:v>
                </c:pt>
              </c:numCache>
            </c:numRef>
          </c:val>
        </c:ser>
        <c:axId val="216947328"/>
        <c:axId val="217313664"/>
      </c:barChart>
      <c:catAx>
        <c:axId val="216947328"/>
        <c:scaling>
          <c:orientation val="minMax"/>
        </c:scaling>
        <c:axPos val="b"/>
        <c:numFmt formatCode="General" sourceLinked="1"/>
        <c:majorTickMark val="none"/>
        <c:tickLblPos val="nextTo"/>
        <c:crossAx val="217313664"/>
        <c:crosses val="autoZero"/>
        <c:auto val="1"/>
        <c:lblAlgn val="ctr"/>
        <c:lblOffset val="100"/>
      </c:catAx>
      <c:valAx>
        <c:axId val="217313664"/>
        <c:scaling>
          <c:orientation val="minMax"/>
        </c:scaling>
        <c:axPos val="l"/>
        <c:majorGridlines/>
        <c:numFmt formatCode="#,##0" sourceLinked="1"/>
        <c:majorTickMark val="none"/>
        <c:tickLblPos val="nextTo"/>
        <c:crossAx val="216947328"/>
        <c:crosses val="autoZero"/>
        <c:crossBetween val="between"/>
      </c:valAx>
    </c:plotArea>
    <c:legend>
      <c:legendPos val="r"/>
    </c:legend>
    <c:plotVisOnly val="1"/>
    <c:dispBlanksAs val="gap"/>
  </c:chart>
  <c:spPr>
    <a:ln w="12700">
      <a:solidFill>
        <a:schemeClr val="tx1"/>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CO"/>
  <c:style val="3"/>
  <c:chart>
    <c:plotArea>
      <c:layout>
        <c:manualLayout>
          <c:layoutTarget val="inner"/>
          <c:xMode val="edge"/>
          <c:yMode val="edge"/>
          <c:x val="7.0127969244450181E-2"/>
          <c:y val="7.0949256342957095E-2"/>
          <c:w val="0.86206288906948125"/>
          <c:h val="0.73017273270538685"/>
        </c:manualLayout>
      </c:layout>
      <c:barChart>
        <c:barDir val="col"/>
        <c:grouping val="clustered"/>
        <c:ser>
          <c:idx val="0"/>
          <c:order val="0"/>
          <c:tx>
            <c:v>2011</c:v>
          </c:tx>
          <c:spPr>
            <a:solidFill>
              <a:schemeClr val="accent1">
                <a:shade val="65000"/>
              </a:schemeClr>
            </a:solidFill>
            <a:ln>
              <a:noFill/>
            </a:ln>
            <a:effectLst/>
          </c:spPr>
          <c:dLbls>
            <c:dLbl>
              <c:idx val="0"/>
              <c:layout>
                <c:manualLayout>
                  <c:x val="-1.779569165943414E-17"/>
                  <c:y val="1.4656741108353952E-2"/>
                </c:manualLayout>
              </c:layout>
              <c:dLblPos val="outEnd"/>
              <c:showVal val="1"/>
              <c:extLst>
                <c:ext xmlns:c15="http://schemas.microsoft.com/office/drawing/2012/chart" uri="{CE6537A1-D6FC-4f65-9D91-7224C49458BB}"/>
              </c:extLst>
            </c:dLbl>
            <c:dLbl>
              <c:idx val="1"/>
              <c:layout>
                <c:manualLayout>
                  <c:x val="-1.9413706076490361E-3"/>
                  <c:y val="1.4226633581472291E-3"/>
                </c:manualLayout>
              </c:layout>
              <c:dLblPos val="outEnd"/>
              <c:showVal val="1"/>
              <c:extLst>
                <c:ext xmlns:c15="http://schemas.microsoft.com/office/drawing/2012/chart" uri="{CE6537A1-D6FC-4f65-9D91-7224C49458BB}"/>
              </c:extLst>
            </c:dLbl>
            <c:dLbl>
              <c:idx val="2"/>
              <c:layout>
                <c:manualLayout>
                  <c:x val="-7.1182766637736635E-17"/>
                  <c:y val="8.0397022332506455E-3"/>
                </c:manualLayout>
              </c:layout>
              <c:dLblPos val="outEnd"/>
              <c:showVal val="1"/>
              <c:extLst>
                <c:ext xmlns:c15="http://schemas.microsoft.com/office/drawing/2012/chart" uri="{CE6537A1-D6FC-4f65-9D91-7224C49458BB}"/>
              </c:extLst>
            </c:dLbl>
            <c:dLbl>
              <c:idx val="3"/>
              <c:layout>
                <c:manualLayout>
                  <c:x val="0"/>
                  <c:y val="1.1348221670802358E-2"/>
                </c:manualLayout>
              </c:layout>
              <c:dLblPos val="outEnd"/>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O"/>
              </a:p>
            </c:txPr>
            <c:dLblPos val="inEnd"/>
            <c:showVal val="1"/>
            <c:extLst>
              <c:ext xmlns:c15="http://schemas.microsoft.com/office/drawing/2012/chart" uri="{CE6537A1-D6FC-4f65-9D91-7224C49458BB}">
                <c15:showLeaderLines val="0"/>
              </c:ext>
            </c:extLst>
          </c:dLbls>
          <c:cat>
            <c:strRef>
              <c:f>'inice pilares'!$P$27:$P$30</c:f>
              <c:strCache>
                <c:ptCount val="4"/>
                <c:pt idx="0">
                  <c:v>Institucionalización del Territorio</c:v>
                </c:pt>
                <c:pt idx="1">
                  <c:v>Participación Ciudadana y Buen Gobierno</c:v>
                </c:pt>
                <c:pt idx="2">
                  <c:v>Integración Regional</c:v>
                </c:pt>
                <c:pt idx="3">
                  <c:v>Indice de Consolidación</c:v>
                </c:pt>
              </c:strCache>
            </c:strRef>
          </c:cat>
          <c:val>
            <c:numRef>
              <c:f>'inice pilares'!$Q$27:$Q$30</c:f>
              <c:numCache>
                <c:formatCode>General</c:formatCode>
                <c:ptCount val="4"/>
                <c:pt idx="0">
                  <c:v>43.1</c:v>
                </c:pt>
                <c:pt idx="1">
                  <c:v>47.1</c:v>
                </c:pt>
                <c:pt idx="2">
                  <c:v>72.5</c:v>
                </c:pt>
                <c:pt idx="3">
                  <c:v>54.2</c:v>
                </c:pt>
              </c:numCache>
            </c:numRef>
          </c:val>
        </c:ser>
        <c:ser>
          <c:idx val="1"/>
          <c:order val="1"/>
          <c:tx>
            <c:v>2012</c:v>
          </c:tx>
          <c:spPr>
            <a:solidFill>
              <a:schemeClr val="accent1"/>
            </a:solidFill>
            <a:ln>
              <a:noFill/>
            </a:ln>
            <a:effectLst/>
          </c:spPr>
          <c:dLbls>
            <c:dLbl>
              <c:idx val="0"/>
              <c:layout>
                <c:manualLayout>
                  <c:x val="0"/>
                  <c:y val="2.7129859387923418E-3"/>
                </c:manualLayout>
              </c:layout>
              <c:dLblPos val="outEnd"/>
              <c:showVal val="1"/>
              <c:extLst>
                <c:ext xmlns:c15="http://schemas.microsoft.com/office/drawing/2012/chart" uri="{CE6537A1-D6FC-4f65-9D91-7224C49458BB}"/>
              </c:extLst>
            </c:dLbl>
            <c:dLbl>
              <c:idx val="1"/>
              <c:layout>
                <c:manualLayout>
                  <c:x val="-1.9413706076490001E-3"/>
                  <c:y val="9.3300248138957747E-3"/>
                </c:manualLayout>
              </c:layout>
              <c:dLblPos val="outEnd"/>
              <c:showVal val="1"/>
              <c:extLst>
                <c:ext xmlns:c15="http://schemas.microsoft.com/office/drawing/2012/chart" uri="{CE6537A1-D6FC-4f65-9D91-7224C49458BB}"/>
              </c:extLst>
            </c:dLbl>
            <c:dLbl>
              <c:idx val="2"/>
              <c:layout>
                <c:manualLayout>
                  <c:x val="-7.1182766637736635E-17"/>
                  <c:y val="1.2638544251447481E-2"/>
                </c:manualLayout>
              </c:layout>
              <c:dLblPos val="outEnd"/>
              <c:showVal val="1"/>
              <c:extLst>
                <c:ext xmlns:c15="http://schemas.microsoft.com/office/drawing/2012/chart" uri="{CE6537A1-D6FC-4f65-9D91-7224C49458BB}"/>
              </c:extLst>
            </c:dLbl>
            <c:dLbl>
              <c:idx val="3"/>
              <c:layout>
                <c:manualLayout>
                  <c:x val="0"/>
                  <c:y val="9.3300248138958267E-3"/>
                </c:manualLayout>
              </c:layout>
              <c:dLblPos val="outEnd"/>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CO"/>
              </a:p>
            </c:txPr>
            <c:dLblPos val="inEnd"/>
            <c:showVal val="1"/>
            <c:extLst>
              <c:ext xmlns:c15="http://schemas.microsoft.com/office/drawing/2012/chart" uri="{CE6537A1-D6FC-4f65-9D91-7224C49458BB}">
                <c15:showLeaderLines val="0"/>
              </c:ext>
            </c:extLst>
          </c:dLbls>
          <c:cat>
            <c:strRef>
              <c:f>'inice pilares'!$P$27:$P$30</c:f>
              <c:strCache>
                <c:ptCount val="4"/>
                <c:pt idx="0">
                  <c:v>Institucionalización del Territorio</c:v>
                </c:pt>
                <c:pt idx="1">
                  <c:v>Participación Ciudadana y Buen Gobierno</c:v>
                </c:pt>
                <c:pt idx="2">
                  <c:v>Integración Regional</c:v>
                </c:pt>
                <c:pt idx="3">
                  <c:v>Indice de Consolidación</c:v>
                </c:pt>
              </c:strCache>
            </c:strRef>
          </c:cat>
          <c:val>
            <c:numRef>
              <c:f>'inice pilares'!$R$27:$R$30</c:f>
              <c:numCache>
                <c:formatCode>General</c:formatCode>
                <c:ptCount val="4"/>
                <c:pt idx="0">
                  <c:v>43.5</c:v>
                </c:pt>
                <c:pt idx="1">
                  <c:v>54.7</c:v>
                </c:pt>
                <c:pt idx="2">
                  <c:v>72.599999999999994</c:v>
                </c:pt>
                <c:pt idx="3">
                  <c:v>56.9</c:v>
                </c:pt>
              </c:numCache>
            </c:numRef>
          </c:val>
        </c:ser>
        <c:ser>
          <c:idx val="2"/>
          <c:order val="2"/>
          <c:tx>
            <c:v>2013</c:v>
          </c:tx>
          <c:spPr>
            <a:solidFill>
              <a:schemeClr val="accent1">
                <a:tint val="65000"/>
              </a:schemeClr>
            </a:solidFill>
            <a:ln>
              <a:noFill/>
            </a:ln>
            <a:effectLst/>
          </c:spPr>
          <c:dLbls>
            <c:dLbl>
              <c:idx val="0"/>
              <c:layout>
                <c:manualLayout>
                  <c:x val="-3.8827412152980011E-3"/>
                  <c:y val="9.8760607777625513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CO"/>
                </a:p>
              </c:txPr>
              <c:dLblPos val="outEnd"/>
              <c:showVal val="1"/>
              <c:extLst>
                <c:ext xmlns:c15="http://schemas.microsoft.com/office/drawing/2012/chart" uri="{CE6537A1-D6FC-4f65-9D91-7224C49458BB}"/>
              </c:extLst>
            </c:dLbl>
            <c:dLbl>
              <c:idx val="1"/>
              <c:layout>
                <c:manualLayout>
                  <c:x val="-7.1182766637736635E-17"/>
                  <c:y val="6.5675413402108574E-3"/>
                </c:manualLayout>
              </c:layout>
              <c:dLblPos val="outEnd"/>
              <c:showVal val="1"/>
              <c:extLst>
                <c:ext xmlns:c15="http://schemas.microsoft.com/office/drawing/2012/chart" uri="{CE6537A1-D6FC-4f65-9D91-7224C49458BB}"/>
              </c:extLst>
            </c:dLbl>
            <c:dLbl>
              <c:idx val="2"/>
              <c:layout>
                <c:manualLayout>
                  <c:x val="0"/>
                  <c:y val="1.3184580215314374E-2"/>
                </c:manualLayout>
              </c:layout>
              <c:dLblPos val="outEnd"/>
              <c:showVal val="1"/>
              <c:extLst>
                <c:ext xmlns:c15="http://schemas.microsoft.com/office/drawing/2012/chart" uri="{CE6537A1-D6FC-4f65-9D91-7224C49458BB}"/>
              </c:extLst>
            </c:dLbl>
            <c:dLbl>
              <c:idx val="3"/>
              <c:layout>
                <c:manualLayout>
                  <c:x val="0"/>
                  <c:y val="9.8760607777625548E-3"/>
                </c:manualLayout>
              </c:layout>
              <c:dLblPos val="outEnd"/>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Val val="1"/>
            <c:extLst>
              <c:ext xmlns:c15="http://schemas.microsoft.com/office/drawing/2012/chart" uri="{CE6537A1-D6FC-4f65-9D91-7224C49458BB}">
                <c15:showLeaderLines val="0"/>
              </c:ext>
            </c:extLst>
          </c:dLbls>
          <c:cat>
            <c:strRef>
              <c:f>'inice pilares'!$P$27:$P$30</c:f>
              <c:strCache>
                <c:ptCount val="4"/>
                <c:pt idx="0">
                  <c:v>Institucionalización del Territorio</c:v>
                </c:pt>
                <c:pt idx="1">
                  <c:v>Participación Ciudadana y Buen Gobierno</c:v>
                </c:pt>
                <c:pt idx="2">
                  <c:v>Integración Regional</c:v>
                </c:pt>
                <c:pt idx="3">
                  <c:v>Indice de Consolidación</c:v>
                </c:pt>
              </c:strCache>
            </c:strRef>
          </c:cat>
          <c:val>
            <c:numRef>
              <c:f>'inice pilares'!$S$27:$S$30</c:f>
              <c:numCache>
                <c:formatCode>General</c:formatCode>
                <c:ptCount val="4"/>
                <c:pt idx="0">
                  <c:v>51.8</c:v>
                </c:pt>
                <c:pt idx="1">
                  <c:v>64</c:v>
                </c:pt>
                <c:pt idx="2">
                  <c:v>73.8</c:v>
                </c:pt>
                <c:pt idx="3">
                  <c:v>63.2</c:v>
                </c:pt>
              </c:numCache>
            </c:numRef>
          </c:val>
        </c:ser>
        <c:dLbls>
          <c:showVal val="1"/>
        </c:dLbls>
        <c:gapWidth val="219"/>
        <c:overlap val="-27"/>
        <c:axId val="217211264"/>
        <c:axId val="217212800"/>
      </c:barChart>
      <c:catAx>
        <c:axId val="217211264"/>
        <c:scaling>
          <c:orientation val="minMax"/>
        </c:scaling>
        <c:axPos val="b"/>
        <c:numFmt formatCode="General" sourceLinked="0"/>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s-CO"/>
          </a:p>
        </c:txPr>
        <c:crossAx val="217212800"/>
        <c:crosses val="autoZero"/>
        <c:lblAlgn val="ctr"/>
        <c:lblOffset val="100"/>
      </c:catAx>
      <c:valAx>
        <c:axId val="2172128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72112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CO"/>
  <c:chart>
    <c:title>
      <c:tx>
        <c:rich>
          <a:bodyPr rot="0" spcFirstLastPara="1" vertOverflow="ellipsis" vert="horz" wrap="square" anchor="ctr" anchorCtr="1"/>
          <a:lstStyle/>
          <a:p>
            <a:pPr>
              <a:defRPr sz="960" b="1"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r>
              <a:rPr lang="es-CO"/>
              <a:t>CUMPLIMIENTO DE HALLAZGOS PLAN DE MEJORAMIENTO CGR 31/12/2014</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s-CO"/>
              </a:p>
            </c:txPr>
            <c:showVal val="1"/>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Hoja1!$R$49:$R$50</c:f>
              <c:strCache>
                <c:ptCount val="2"/>
                <c:pt idx="0">
                  <c:v>HALLAZGOS CUMPLIDOS AL 100%</c:v>
                </c:pt>
                <c:pt idx="1">
                  <c:v>HALLAZGOS PENDIENTES POR CUMPLIR ACCIONES</c:v>
                </c:pt>
              </c:strCache>
            </c:strRef>
          </c:cat>
          <c:val>
            <c:numRef>
              <c:f>Hoja1!$S$49:$S$50</c:f>
              <c:numCache>
                <c:formatCode>General</c:formatCode>
                <c:ptCount val="2"/>
                <c:pt idx="0">
                  <c:v>33</c:v>
                </c:pt>
                <c:pt idx="1">
                  <c:v>5</c:v>
                </c:pt>
              </c:numCache>
            </c:numRef>
          </c:val>
        </c:ser>
      </c:pie3DChart>
      <c:spPr>
        <a:noFill/>
        <a:ln>
          <a:noFill/>
        </a:ln>
        <a:effectLst/>
      </c:spPr>
    </c:plotArea>
    <c:legend>
      <c:legendPos val="b"/>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s-CO"/>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defRPr sz="80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s-CO"/>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CO"/>
  <c:style val="3"/>
  <c:chart>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hade val="76000"/>
                </a:schemeClr>
              </a:solidFill>
              <a:ln>
                <a:noFill/>
              </a:ln>
              <a:effectLst>
                <a:outerShdw blurRad="254000" sx="102000" sy="102000" algn="ctr" rotWithShape="0">
                  <a:prstClr val="black">
                    <a:alpha val="20000"/>
                  </a:prstClr>
                </a:outerShdw>
              </a:effectLst>
              <a:sp3d/>
            </c:spPr>
          </c:dPt>
          <c:dPt>
            <c:idx val="1"/>
            <c:spPr>
              <a:solidFill>
                <a:schemeClr val="accent1">
                  <a:tint val="77000"/>
                </a:schemeClr>
              </a:solidFill>
              <a:ln>
                <a:noFill/>
              </a:ln>
              <a:effectLst>
                <a:outerShdw blurRad="254000" sx="102000" sy="102000" algn="ctr" rotWithShape="0">
                  <a:prstClr val="black">
                    <a:alpha val="20000"/>
                  </a:prstClr>
                </a:outerShdw>
              </a:effectLst>
              <a:sp3d/>
            </c:spPr>
          </c:dPt>
          <c:dLbls>
            <c:dLbl>
              <c:idx val="0"/>
              <c:tx>
                <c:rich>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Verdana" pitchFamily="34" charset="0"/>
                        <a:ea typeface="Verdana" pitchFamily="34" charset="0"/>
                        <a:cs typeface="Verdana" pitchFamily="34" charset="0"/>
                      </a:defRPr>
                    </a:pPr>
                    <a:r>
                      <a:rPr lang="en-US" sz="900" baseline="0">
                        <a:latin typeface="Verdana" pitchFamily="34" charset="0"/>
                        <a:ea typeface="Verdana" pitchFamily="34" charset="0"/>
                        <a:cs typeface="Verdana" pitchFamily="34" charset="0"/>
                      </a:rPr>
                      <a:t>FUNCIONAMIENTO  </a:t>
                    </a:r>
                  </a:p>
                  <a:p>
                    <a:pPr>
                      <a:defRPr sz="900" b="1" i="0" u="none" strike="noStrike" kern="1200" baseline="0">
                        <a:solidFill>
                          <a:schemeClr val="lt1"/>
                        </a:solidFill>
                        <a:latin typeface="Verdana" pitchFamily="34" charset="0"/>
                        <a:ea typeface="Verdana" pitchFamily="34" charset="0"/>
                        <a:cs typeface="Verdana" pitchFamily="34" charset="0"/>
                      </a:defRPr>
                    </a:pPr>
                    <a:r>
                      <a:rPr lang="en-US" sz="900" baseline="0">
                        <a:latin typeface="Verdana" pitchFamily="34" charset="0"/>
                        <a:ea typeface="Verdana" pitchFamily="34" charset="0"/>
                        <a:cs typeface="Verdana" pitchFamily="34" charset="0"/>
                      </a:rPr>
                      <a:t>6.9%</a:t>
                    </a:r>
                  </a:p>
                </c:rich>
              </c:tx>
              <c:numFmt formatCode="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dLblPos val="ctr"/>
              <c:showVal val="1"/>
              <c:showCatName val="1"/>
              <c:showPercent val="1"/>
              <c:extLst>
                <c:ext xmlns:c15="http://schemas.microsoft.com/office/drawing/2012/chart" uri="{CE6537A1-D6FC-4f65-9D91-7224C49458BB}">
                  <c15:dlblFieldTable/>
                  <c15:showDataLabelsRange val="0"/>
                </c:ext>
              </c:extLst>
            </c:dLbl>
            <c:dLbl>
              <c:idx val="1"/>
              <c:tx>
                <c:rich>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Verdana" pitchFamily="34" charset="0"/>
                        <a:ea typeface="Verdana" pitchFamily="34" charset="0"/>
                        <a:cs typeface="Verdana" pitchFamily="34" charset="0"/>
                      </a:defRPr>
                    </a:pPr>
                    <a:r>
                      <a:rPr lang="en-US" sz="1000" baseline="0">
                        <a:latin typeface="Verdana" pitchFamily="34" charset="0"/>
                        <a:ea typeface="Verdana" pitchFamily="34" charset="0"/>
                        <a:cs typeface="Verdana" pitchFamily="34" charset="0"/>
                      </a:rPr>
                      <a:t>INVERSION</a:t>
                    </a:r>
                  </a:p>
                  <a:p>
                    <a:pPr>
                      <a:defRPr sz="1000" b="1" i="0" u="none" strike="noStrike" kern="1200" baseline="0">
                        <a:solidFill>
                          <a:schemeClr val="lt1"/>
                        </a:solidFill>
                        <a:latin typeface="Verdana" pitchFamily="34" charset="0"/>
                        <a:ea typeface="Verdana" pitchFamily="34" charset="0"/>
                        <a:cs typeface="Verdana" pitchFamily="34" charset="0"/>
                      </a:defRPr>
                    </a:pPr>
                    <a:r>
                      <a:rPr lang="en-US" sz="1000" baseline="0">
                        <a:latin typeface="Verdana" pitchFamily="34" charset="0"/>
                        <a:ea typeface="Verdana" pitchFamily="34" charset="0"/>
                        <a:cs typeface="Verdana" pitchFamily="34" charset="0"/>
                      </a:rPr>
                      <a:t>93.1%</a:t>
                    </a:r>
                  </a:p>
                </c:rich>
              </c:tx>
              <c:numFmt formatCode="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dLblPos val="ctr"/>
              <c:showVal val="1"/>
              <c:showCatName val="1"/>
              <c:showPercent val="1"/>
              <c:extLst>
                <c:ext xmlns:c15="http://schemas.microsoft.com/office/drawing/2012/chart" uri="{CE6537A1-D6FC-4f65-9D91-7224C49458BB}">
                  <c15:dlblFieldTable/>
                  <c15:showDataLabelsRange val="0"/>
                </c:ext>
              </c:extLst>
            </c:dLbl>
            <c:numFmt formatCode="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Val val="1"/>
            <c:showCatName val="1"/>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'Ejecución General'!$A$5:$A$6</c:f>
              <c:strCache>
                <c:ptCount val="2"/>
                <c:pt idx="0">
                  <c:v>Funcionamiento</c:v>
                </c:pt>
                <c:pt idx="1">
                  <c:v>Inversión</c:v>
                </c:pt>
              </c:strCache>
            </c:strRef>
          </c:cat>
          <c:val>
            <c:numRef>
              <c:f>'Ejecución General'!$B$5:$B$6</c:f>
              <c:numCache>
                <c:formatCode>_-* #,##0_-;\-* #,##0_-;_-* "-"??_-;_-@_-</c:formatCode>
                <c:ptCount val="2"/>
                <c:pt idx="0">
                  <c:v>320320</c:v>
                </c:pt>
                <c:pt idx="1">
                  <c:v>4306802.9484090433</c:v>
                </c:pt>
              </c:numCache>
            </c:numRef>
          </c:val>
        </c:ser>
        <c:dLbls>
          <c:showVal val="1"/>
          <c:showCatName val="1"/>
        </c:dLbls>
      </c:pie3DChart>
      <c:spPr>
        <a:noFill/>
        <a:ln>
          <a:noFill/>
        </a:ln>
        <a:effectLst/>
      </c:spPr>
    </c:plotArea>
    <c:plotVisOnly val="1"/>
    <c:dispBlanksAs val="zero"/>
  </c:chart>
  <c:spPr>
    <a:noFill/>
    <a:ln w="9525" cap="flat" cmpd="sng" algn="ctr">
      <a:noFill/>
      <a:round/>
    </a:ln>
    <a:effectLst/>
  </c:spPr>
  <c:txPr>
    <a:bodyPr/>
    <a:lstStyle/>
    <a:p>
      <a:pPr>
        <a:defRPr/>
      </a:pPr>
      <a:endParaRPr lang="es-CO"/>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CO"/>
  <c:chart>
    <c:autoTitleDeleted val="1"/>
    <c:plotArea>
      <c:layout>
        <c:manualLayout>
          <c:layoutTarget val="inner"/>
          <c:xMode val="edge"/>
          <c:yMode val="edge"/>
          <c:x val="3.6993442071632791E-2"/>
          <c:y val="7.4148972025615101E-2"/>
          <c:w val="0.92601311585672919"/>
          <c:h val="0.7702533644366244"/>
        </c:manualLayout>
      </c:layout>
      <c:barChart>
        <c:barDir val="col"/>
        <c:grouping val="clustered"/>
        <c:ser>
          <c:idx val="0"/>
          <c:order val="0"/>
          <c:tx>
            <c:strRef>
              <c:f>'Ejecución General'!$A$43</c:f>
              <c:strCache>
                <c:ptCount val="1"/>
                <c:pt idx="0">
                  <c:v>Nación</c:v>
                </c:pt>
              </c:strCache>
            </c:strRef>
          </c:tx>
          <c:spPr>
            <a:solidFill>
              <a:schemeClr val="accent1"/>
            </a:solidFill>
            <a:ln>
              <a:noFill/>
            </a:ln>
            <a:effectLst/>
          </c:spPr>
          <c:dLbls>
            <c:delete val="1"/>
          </c:dLbls>
          <c:val>
            <c:numRef>
              <c:f>'Ejecución General'!$B$43</c:f>
              <c:numCache>
                <c:formatCode>_-* #,##0_-;\-* #,##0_-;_-* "-"??_-;_-@_-</c:formatCode>
                <c:ptCount val="1"/>
                <c:pt idx="0">
                  <c:v>3113987.9484089967</c:v>
                </c:pt>
              </c:numCache>
            </c:numRef>
          </c:val>
        </c:ser>
        <c:ser>
          <c:idx val="1"/>
          <c:order val="1"/>
          <c:tx>
            <c:strRef>
              <c:f>'Ejecución General'!$A$44</c:f>
              <c:strCache>
                <c:ptCount val="1"/>
                <c:pt idx="0">
                  <c:v>Propios</c:v>
                </c:pt>
              </c:strCache>
            </c:strRef>
          </c:tx>
          <c:spPr>
            <a:solidFill>
              <a:schemeClr val="accent2"/>
            </a:solidFill>
            <a:ln>
              <a:noFill/>
            </a:ln>
            <a:effectLst/>
          </c:spPr>
          <c:dLbls>
            <c:delete val="1"/>
          </c:dLbls>
          <c:val>
            <c:numRef>
              <c:f>'Ejecución General'!$B$44</c:f>
              <c:numCache>
                <c:formatCode>_-* #,##0_-;\-* #,##0_-;_-* "-"??_-;_-@_-</c:formatCode>
                <c:ptCount val="1"/>
                <c:pt idx="0">
                  <c:v>1513135</c:v>
                </c:pt>
              </c:numCache>
            </c:numRef>
          </c:val>
        </c:ser>
        <c:dLbls>
          <c:showVal val="1"/>
        </c:dLbls>
        <c:overlap val="-25"/>
        <c:axId val="217376256"/>
        <c:axId val="217377792"/>
      </c:barChart>
      <c:catAx>
        <c:axId val="217376256"/>
        <c:scaling>
          <c:orientation val="minMax"/>
        </c:scaling>
        <c:delete val="1"/>
        <c:axPos val="b"/>
        <c:majorTickMark val="none"/>
        <c:tickLblPos val="none"/>
        <c:crossAx val="217377792"/>
        <c:crosses val="autoZero"/>
        <c:auto val="1"/>
        <c:lblAlgn val="ctr"/>
        <c:lblOffset val="100"/>
      </c:catAx>
      <c:valAx>
        <c:axId val="217377792"/>
        <c:scaling>
          <c:orientation val="minMax"/>
        </c:scaling>
        <c:delete val="1"/>
        <c:axPos val="l"/>
        <c:numFmt formatCode="_-* #,##0_-;\-* #,##0_-;_-* &quot;-&quot;??_-;_-@_-" sourceLinked="1"/>
        <c:majorTickMark val="none"/>
        <c:tickLblPos val="none"/>
        <c:crossAx val="217376256"/>
        <c:crosses val="autoZero"/>
        <c:crossBetween val="between"/>
      </c:valAx>
      <c:spPr>
        <a:noFill/>
        <a:ln>
          <a:noFill/>
        </a:ln>
        <a:effectLst/>
      </c:spPr>
    </c:plotArea>
    <c:legend>
      <c:legendPos val="b"/>
      <c:layout>
        <c:manualLayout>
          <c:xMode val="edge"/>
          <c:yMode val="edge"/>
          <c:x val="0.30687259614644852"/>
          <c:y val="0.83984126407195325"/>
          <c:w val="0.38625449976750875"/>
          <c:h val="0.15176595372074544"/>
        </c:manualLayout>
      </c:layout>
      <c:spPr>
        <a:noFill/>
        <a:ln>
          <a:noFill/>
        </a:ln>
        <a:effectLst/>
      </c:spPr>
      <c:txPr>
        <a:bodyPr rot="0" vert="horz"/>
        <a:lstStyle/>
        <a:p>
          <a:pPr>
            <a:defRPr/>
          </a:pPr>
          <a:endParaRPr lang="es-CO"/>
        </a:p>
      </c:txPr>
    </c:legend>
    <c:plotVisOnly val="1"/>
    <c:dispBlanksAs val="gap"/>
  </c:chart>
  <c:spPr>
    <a:noFill/>
    <a:ln w="9525" cap="flat" cmpd="sng" algn="ctr">
      <a:noFill/>
      <a:round/>
    </a:ln>
    <a:effectLst/>
  </c:spPr>
  <c:txPr>
    <a:bodyPr/>
    <a:lstStyle/>
    <a:p>
      <a:pPr>
        <a:defRPr>
          <a:latin typeface="Verdana" pitchFamily="34" charset="0"/>
          <a:ea typeface="Verdana" pitchFamily="34" charset="0"/>
          <a:cs typeface="Verdana" pitchFamily="34" charset="0"/>
        </a:defRPr>
      </a:pPr>
      <a:endParaRPr lang="es-CO"/>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0.56903</cdr:x>
      <cdr:y>0.39671</cdr:y>
    </cdr:from>
    <cdr:to>
      <cdr:x>0.73642</cdr:x>
      <cdr:y>0.5402</cdr:y>
    </cdr:to>
    <cdr:sp macro="" textlink="">
      <cdr:nvSpPr>
        <cdr:cNvPr id="2" name="CuadroTexto 1"/>
        <cdr:cNvSpPr txBox="1"/>
      </cdr:nvSpPr>
      <cdr:spPr>
        <a:xfrm xmlns:a="http://schemas.openxmlformats.org/drawingml/2006/main">
          <a:off x="1847850" y="600304"/>
          <a:ext cx="543593" cy="2171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1100" b="1">
              <a:solidFill>
                <a:schemeClr val="accent4">
                  <a:lumMod val="50000"/>
                </a:schemeClr>
              </a:solidFill>
            </a:rPr>
            <a:t>32,7%</a:t>
          </a:r>
        </a:p>
      </cdr:txBody>
    </cdr:sp>
  </cdr:relSizeAnchor>
  <cdr:relSizeAnchor xmlns:cdr="http://schemas.openxmlformats.org/drawingml/2006/chartDrawing">
    <cdr:from>
      <cdr:x>0.25958</cdr:x>
      <cdr:y>0.10989</cdr:y>
    </cdr:from>
    <cdr:to>
      <cdr:x>0.44538</cdr:x>
      <cdr:y>0.19322</cdr:y>
    </cdr:to>
    <cdr:sp macro="" textlink="">
      <cdr:nvSpPr>
        <cdr:cNvPr id="3" name="CuadroTexto 1"/>
        <cdr:cNvSpPr txBox="1"/>
      </cdr:nvSpPr>
      <cdr:spPr>
        <a:xfrm xmlns:a="http://schemas.openxmlformats.org/drawingml/2006/main">
          <a:off x="842963" y="166288"/>
          <a:ext cx="603356" cy="12609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100" b="1">
              <a:solidFill>
                <a:schemeClr val="accent1">
                  <a:lumMod val="50000"/>
                </a:schemeClr>
              </a:solidFill>
            </a:rPr>
            <a:t>67,3%</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Sección xmlns="fe5c55e1-1529-428c-8c16-ada3460a0e7a" xsi:nil="true"/>
    <TaxCatchAll xmlns="fe5c55e1-1529-428c-8c16-ada3460a0e7a"/>
    <TaxKeywordTaxHTField xmlns="fe5c55e1-1529-428c-8c16-ada3460a0e7a">
      <Terms xmlns="http://schemas.microsoft.com/office/infopath/2007/PartnerControls"/>
    </TaxKeywordTaxHTField>
    <_dlc_DocId xmlns="fe5c55e1-1529-428c-8c16-ada3460a0e7a">A65FJVFR3NAS-661729355-4337</_dlc_DocId>
    <_dlc_DocIdUrl xmlns="fe5c55e1-1529-428c-8c16-ada3460a0e7a">
      <Url>http://tame/_layouts/15/DocIdRedir.aspx?ID=A65FJVFR3NAS-661729355-4337</Url>
      <Description>A65FJVFR3NAS-661729355-4337</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o" ma:contentTypeID="0x010100F31986CF69E9FE48A57BECBE308E1A45" ma:contentTypeVersion="7" ma:contentTypeDescription="Crear nuevo documento." ma:contentTypeScope="" ma:versionID="dd578b968dcbfd24ff96657311c2d1a4">
  <xsd:schema xmlns:xsd="http://www.w3.org/2001/XMLSchema" xmlns:xs="http://www.w3.org/2001/XMLSchema" xmlns:p="http://schemas.microsoft.com/office/2006/metadata/properties" xmlns:ns2="fe5c55e1-1529-428c-8c16-ada3460a0e7a" targetNamespace="http://schemas.microsoft.com/office/2006/metadata/properties" ma:root="true" ma:fieldsID="85b82ad8e91d4bef59f7a11170726caa" ns2:_="">
    <xsd:import namespace="fe5c55e1-1529-428c-8c16-ada3460a0e7a"/>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ección" minOccurs="0"/>
                <xsd:element ref="ns2:TaxKeywordTaxHTField"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5c55e1-1529-428c-8c16-ada3460a0e7a"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ción" ma:index="12" nillable="true" ma:displayName="Sección" ma:description="Columnas para búsqueda" ma:format="RadioButtons" ma:indexed="true" ma:internalName="Secci_x00f3_n">
      <xsd:simpleType>
        <xsd:restriction base="dms:Choice">
          <xsd:enumeration value="Talento Humano"/>
          <xsd:enumeration value="Jóvenes en Acción"/>
          <xsd:enumeration value="Familias en Acción"/>
          <xsd:enumeration value="Control Interno"/>
        </xsd:restriction>
      </xsd:simpleType>
    </xsd:element>
    <xsd:element name="TaxKeywordTaxHTField" ma:index="14" nillable="true" ma:taxonomy="true" ma:internalName="TaxKeywordTaxHTField" ma:taxonomyFieldName="TaxKeyword" ma:displayName="Palabras clave de empresa" ma:fieldId="{23f27201-bee3-471e-b2e7-b64fd8b7ca38}" ma:taxonomyMulti="true" ma:sspId="a9584801-e361-45bf-9b1e-b4f377865fcc"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hidden="true" ma:list="{bd2de93b-9b0b-4beb-873c-04226923d0ee}" ma:internalName="TaxCatchAll" ma:showField="CatchAllData" ma:web="fe5c55e1-1529-428c-8c16-ada3460a0e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ma:index="16" ma:displayName="Palabras clave"/>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CED96A-D4D6-442F-AB20-3EA1907F2219}"/>
</file>

<file path=customXml/itemProps2.xml><?xml version="1.0" encoding="utf-8"?>
<ds:datastoreItem xmlns:ds="http://schemas.openxmlformats.org/officeDocument/2006/customXml" ds:itemID="{0AE7E62C-B409-4888-9C80-833521A33808}"/>
</file>

<file path=customXml/itemProps3.xml><?xml version="1.0" encoding="utf-8"?>
<ds:datastoreItem xmlns:ds="http://schemas.openxmlformats.org/officeDocument/2006/customXml" ds:itemID="{EF0CCA0B-18A5-46B1-8864-6B0FE10F6689}"/>
</file>

<file path=customXml/itemProps4.xml><?xml version="1.0" encoding="utf-8"?>
<ds:datastoreItem xmlns:ds="http://schemas.openxmlformats.org/officeDocument/2006/customXml" ds:itemID="{A11CB17F-D6EE-497F-87A3-ED7CE9093929}"/>
</file>

<file path=customXml/itemProps5.xml><?xml version="1.0" encoding="utf-8"?>
<ds:datastoreItem xmlns:ds="http://schemas.openxmlformats.org/officeDocument/2006/customXml" ds:itemID="{DE725F66-2BAF-447D-A8DD-7A76BB3265A9}"/>
</file>

<file path=docProps/app.xml><?xml version="1.0" encoding="utf-8"?>
<Properties xmlns="http://schemas.openxmlformats.org/officeDocument/2006/extended-properties" xmlns:vt="http://schemas.openxmlformats.org/officeDocument/2006/docPropsVTypes">
  <Template>Normal.dotm</Template>
  <TotalTime>1</TotalTime>
  <Pages>239</Pages>
  <Words>74429</Words>
  <Characters>409363</Characters>
  <Application>Microsoft Office Word</Application>
  <DocSecurity>0</DocSecurity>
  <Lines>3411</Lines>
  <Paragraphs>965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482827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sandra.acosta</dc:creator>
  <cp:lastModifiedBy>joaquin.silva</cp:lastModifiedBy>
  <cp:revision>2</cp:revision>
  <dcterms:created xsi:type="dcterms:W3CDTF">2015-04-07T16:27:00Z</dcterms:created>
  <dcterms:modified xsi:type="dcterms:W3CDTF">2015-04-07T16:27:00Z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0x010100F31986CF69E9FE48A57BECBE308E1A45</vt:lpwstr>
  </property>
  <property fmtid="{D5CDD505-2E9C-101B-9397-08002B2CF9AE}" pid="3" name="Order">
    <vt:r8>2500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y fmtid="{D5CDD505-2E9C-101B-9397-08002B2CF9AE}" pid="9" name="_dlc_DocIdItemGuid">
    <vt:lpwstr>06ae0b6e-f050-41a0-ba3e-ab6665441b0b</vt:lpwstr>
  </property>
  <property fmtid="{D5CDD505-2E9C-101B-9397-08002B2CF9AE}" pid="10" name="TaxKeyword">
    <vt:lpwstr/>
  </property>
</Properties>
</file>